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17E" w14:textId="77777777" w:rsidR="005A44E3" w:rsidRDefault="005A44E3">
      <w:pPr>
        <w:pStyle w:val="Ttulo1"/>
        <w:spacing w:line="360" w:lineRule="auto"/>
        <w:ind w:right="338" w:firstLine="101"/>
        <w:jc w:val="both"/>
      </w:pPr>
    </w:p>
    <w:p w14:paraId="5B40130D" w14:textId="7701DC9B" w:rsidR="00D24337" w:rsidRDefault="002F2EC9" w:rsidP="00704F1B">
      <w:pPr>
        <w:pStyle w:val="Ttulo1"/>
        <w:spacing w:line="360" w:lineRule="auto"/>
        <w:ind w:right="338"/>
        <w:jc w:val="both"/>
      </w:pPr>
      <w:bookmarkStart w:id="0" w:name="_GoBack"/>
      <w:bookmarkEnd w:id="0"/>
      <w:r>
        <w:t>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VIGÉSIMA SEGUNDA SESIÓN ORDINARIA CELEBRADA EL CATORCE DE JUNIO DE DOS MIL VEINTITRÉS, EN EL RECURSO DE REVISIÓN NÚMERO 16844/INFOEM/IP/RR/2022.</w:t>
      </w:r>
    </w:p>
    <w:p w14:paraId="4427BF2D" w14:textId="77777777" w:rsidR="00D24337" w:rsidRDefault="00D24337"/>
    <w:p w14:paraId="43DDF8F0" w14:textId="74ECD61F" w:rsidR="00D24337" w:rsidRPr="005A44E3" w:rsidRDefault="002F2EC9">
      <w:pPr>
        <w:pStyle w:val="Ttulo1"/>
        <w:spacing w:before="0" w:line="360" w:lineRule="auto"/>
        <w:ind w:right="338" w:firstLine="101"/>
        <w:jc w:val="both"/>
        <w:rPr>
          <w:b w:val="0"/>
          <w:sz w:val="22"/>
          <w:szCs w:val="22"/>
        </w:rPr>
      </w:pPr>
      <w:r w:rsidRPr="005A44E3">
        <w:rPr>
          <w:b w:val="0"/>
          <w:sz w:val="22"/>
          <w:szCs w:val="22"/>
        </w:rPr>
        <w:t>Con fundamento en lo dispuesto por el artículo 14, fracciones X y XI, del Reglamento del Instituto de Transparencia, Acceso a la Información Pública y Protección de Datos Personales del Estado de México y Municipios, las que</w:t>
      </w:r>
      <w:r w:rsidRPr="005A44E3">
        <w:rPr>
          <w:sz w:val="22"/>
          <w:szCs w:val="22"/>
        </w:rPr>
        <w:t xml:space="preserve"> suscriben GUADALUPE RAM</w:t>
      </w:r>
      <w:r w:rsidR="005972D1">
        <w:rPr>
          <w:sz w:val="22"/>
          <w:szCs w:val="22"/>
        </w:rPr>
        <w:t xml:space="preserve">ÍREZ PEÑA y SHARON CRISTINA </w:t>
      </w:r>
      <w:r w:rsidRPr="005A44E3">
        <w:rPr>
          <w:sz w:val="22"/>
          <w:szCs w:val="22"/>
        </w:rPr>
        <w:t xml:space="preserve">MORALES MARTÍNEZ emiten VOTO PARTICULAR CONCURRENTE </w:t>
      </w:r>
      <w:r w:rsidRPr="005A44E3">
        <w:rPr>
          <w:b w:val="0"/>
          <w:sz w:val="22"/>
          <w:szCs w:val="22"/>
        </w:rPr>
        <w:t xml:space="preserve">respecto a la resolución dictada en el recurso de revisión número </w:t>
      </w:r>
      <w:r w:rsidRPr="005A44E3">
        <w:rPr>
          <w:sz w:val="22"/>
          <w:szCs w:val="22"/>
        </w:rPr>
        <w:t xml:space="preserve">16844/INFOEM/IP/RR/2022 </w:t>
      </w:r>
      <w:r w:rsidRPr="005A44E3">
        <w:rPr>
          <w:b w:val="0"/>
          <w:sz w:val="22"/>
          <w:szCs w:val="22"/>
        </w:rPr>
        <w:t>pronunciada por el Pleno de este Instituto, en el tenor siguiente:</w:t>
      </w:r>
    </w:p>
    <w:p w14:paraId="35A3F5FD" w14:textId="77777777" w:rsidR="00D24337" w:rsidRPr="005A44E3" w:rsidRDefault="00D24337">
      <w:pPr>
        <w:pStyle w:val="Ttulo1"/>
        <w:spacing w:before="0" w:line="360" w:lineRule="auto"/>
        <w:ind w:right="338" w:firstLine="101"/>
        <w:jc w:val="both"/>
        <w:rPr>
          <w:b w:val="0"/>
          <w:sz w:val="22"/>
          <w:szCs w:val="22"/>
        </w:rPr>
      </w:pPr>
    </w:p>
    <w:p w14:paraId="6E20CCD7" w14:textId="77777777" w:rsidR="00D24337" w:rsidRPr="005A44E3" w:rsidRDefault="002F2EC9">
      <w:pPr>
        <w:pStyle w:val="Ttulo1"/>
        <w:spacing w:before="0" w:line="360" w:lineRule="auto"/>
        <w:ind w:right="338" w:firstLine="101"/>
        <w:jc w:val="both"/>
        <w:rPr>
          <w:sz w:val="22"/>
          <w:szCs w:val="22"/>
        </w:rPr>
      </w:pPr>
      <w:r w:rsidRPr="005A44E3">
        <w:rPr>
          <w:sz w:val="22"/>
          <w:szCs w:val="22"/>
        </w:rPr>
        <w:t>I.</w:t>
      </w:r>
      <w:r w:rsidRPr="005A44E3">
        <w:rPr>
          <w:sz w:val="22"/>
          <w:szCs w:val="22"/>
        </w:rPr>
        <w:tab/>
        <w:t>Antecedentes.</w:t>
      </w:r>
    </w:p>
    <w:p w14:paraId="7B5F3D74" w14:textId="77777777" w:rsidR="00D24337" w:rsidRPr="005A44E3" w:rsidRDefault="00D24337">
      <w:pPr>
        <w:pStyle w:val="Ttulo1"/>
        <w:spacing w:before="0" w:line="360" w:lineRule="auto"/>
        <w:ind w:right="338" w:firstLine="101"/>
        <w:jc w:val="both"/>
        <w:rPr>
          <w:sz w:val="22"/>
          <w:szCs w:val="22"/>
        </w:rPr>
      </w:pPr>
    </w:p>
    <w:p w14:paraId="0FC573F8" w14:textId="77777777" w:rsidR="00D24337" w:rsidRPr="005A44E3" w:rsidRDefault="002F2EC9">
      <w:pPr>
        <w:pStyle w:val="Ttulo1"/>
        <w:spacing w:before="0" w:line="360" w:lineRule="auto"/>
        <w:ind w:right="338" w:firstLine="101"/>
        <w:jc w:val="both"/>
        <w:rPr>
          <w:b w:val="0"/>
          <w:sz w:val="22"/>
          <w:szCs w:val="22"/>
        </w:rPr>
      </w:pPr>
      <w:r w:rsidRPr="005A44E3">
        <w:rPr>
          <w:b w:val="0"/>
          <w:sz w:val="22"/>
          <w:szCs w:val="22"/>
        </w:rPr>
        <w:t xml:space="preserve">En el asunto que nos ocupa, como quedó debidamente asentado en la resolución, materia del presente voto particular, se requirió del Sujeto Obligado la entrega de lo </w:t>
      </w:r>
      <w:proofErr w:type="gramStart"/>
      <w:r w:rsidRPr="005A44E3">
        <w:rPr>
          <w:b w:val="0"/>
          <w:sz w:val="22"/>
          <w:szCs w:val="22"/>
        </w:rPr>
        <w:t>siguiente</w:t>
      </w:r>
      <w:proofErr w:type="gramEnd"/>
      <w:r w:rsidRPr="005A44E3">
        <w:rPr>
          <w:b w:val="0"/>
          <w:sz w:val="22"/>
          <w:szCs w:val="22"/>
        </w:rPr>
        <w:t>:</w:t>
      </w:r>
    </w:p>
    <w:p w14:paraId="24FEA911" w14:textId="77777777" w:rsidR="00D24337" w:rsidRDefault="00D24337">
      <w:pPr>
        <w:spacing w:after="0" w:line="276" w:lineRule="auto"/>
        <w:ind w:left="851" w:right="900"/>
        <w:jc w:val="both"/>
        <w:rPr>
          <w:rFonts w:ascii="Palatino Linotype" w:eastAsia="Palatino Linotype" w:hAnsi="Palatino Linotype" w:cs="Palatino Linotype"/>
          <w:i/>
        </w:rPr>
      </w:pPr>
    </w:p>
    <w:p w14:paraId="58A8BEF3" w14:textId="77777777" w:rsidR="00D24337" w:rsidRDefault="00D24337">
      <w:pPr>
        <w:spacing w:after="0" w:line="276" w:lineRule="auto"/>
        <w:ind w:left="851" w:right="900"/>
        <w:jc w:val="both"/>
        <w:rPr>
          <w:rFonts w:ascii="Palatino Linotype" w:eastAsia="Palatino Linotype" w:hAnsi="Palatino Linotype" w:cs="Palatino Linotype"/>
          <w:i/>
        </w:rPr>
      </w:pPr>
    </w:p>
    <w:p w14:paraId="5CB25EF2" w14:textId="77777777" w:rsidR="00D24337" w:rsidRDefault="00D24337">
      <w:pPr>
        <w:spacing w:after="0" w:line="276" w:lineRule="auto"/>
        <w:ind w:left="851" w:right="900"/>
        <w:jc w:val="both"/>
        <w:rPr>
          <w:rFonts w:ascii="Palatino Linotype" w:eastAsia="Palatino Linotype" w:hAnsi="Palatino Linotype" w:cs="Palatino Linotype"/>
          <w:i/>
        </w:rPr>
      </w:pPr>
    </w:p>
    <w:p w14:paraId="6161E208" w14:textId="77777777" w:rsidR="00D24337" w:rsidRDefault="002F2EC9">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“Titulo profesional de todos los directores y/o secretarios y/o comisarios de la administración pública municipal administración 2022-2024. E </w:t>
      </w:r>
      <w:proofErr w:type="spellStart"/>
      <w:r>
        <w:rPr>
          <w:rFonts w:ascii="Palatino Linotype" w:eastAsia="Palatino Linotype" w:hAnsi="Palatino Linotype" w:cs="Palatino Linotype"/>
          <w:i/>
        </w:rPr>
        <w:t>inforle</w:t>
      </w:r>
      <w:proofErr w:type="spellEnd"/>
      <w:r>
        <w:rPr>
          <w:rFonts w:ascii="Palatino Linotype" w:eastAsia="Palatino Linotype" w:hAnsi="Palatino Linotype" w:cs="Palatino Linotype"/>
          <w:i/>
        </w:rPr>
        <w:t xml:space="preserve"> de las comisiones edilicias del ayuntamiento periodo 2022-2024. </w:t>
      </w:r>
      <w:proofErr w:type="spellStart"/>
      <w:r>
        <w:rPr>
          <w:rFonts w:ascii="Palatino Linotype" w:eastAsia="Palatino Linotype" w:hAnsi="Palatino Linotype" w:cs="Palatino Linotype"/>
          <w:i/>
        </w:rPr>
        <w:t>Curriculum</w:t>
      </w:r>
      <w:proofErr w:type="spellEnd"/>
      <w:r>
        <w:rPr>
          <w:rFonts w:ascii="Palatino Linotype" w:eastAsia="Palatino Linotype" w:hAnsi="Palatino Linotype" w:cs="Palatino Linotype"/>
          <w:i/>
        </w:rPr>
        <w:t xml:space="preserve"> vitae de los directores, </w:t>
      </w:r>
      <w:proofErr w:type="spellStart"/>
      <w:r>
        <w:rPr>
          <w:rFonts w:ascii="Palatino Linotype" w:eastAsia="Palatino Linotype" w:hAnsi="Palatino Linotype" w:cs="Palatino Linotype"/>
          <w:i/>
        </w:rPr>
        <w:t>coordinsdores</w:t>
      </w:r>
      <w:proofErr w:type="spellEnd"/>
      <w:r>
        <w:rPr>
          <w:rFonts w:ascii="Palatino Linotype" w:eastAsia="Palatino Linotype" w:hAnsi="Palatino Linotype" w:cs="Palatino Linotype"/>
          <w:i/>
        </w:rPr>
        <w:t>, oficiales, y miembros del ayuntamiento periodo 2022-2024.” [Sic]</w:t>
      </w:r>
    </w:p>
    <w:p w14:paraId="0329368F" w14:textId="77777777" w:rsidR="00D24337" w:rsidRDefault="00D24337">
      <w:pPr>
        <w:spacing w:after="0" w:line="360" w:lineRule="auto"/>
        <w:ind w:right="84"/>
        <w:jc w:val="both"/>
        <w:rPr>
          <w:rFonts w:ascii="Palatino Linotype" w:eastAsia="Palatino Linotype" w:hAnsi="Palatino Linotype" w:cs="Palatino Linotype"/>
          <w:sz w:val="24"/>
          <w:szCs w:val="24"/>
        </w:rPr>
      </w:pPr>
    </w:p>
    <w:p w14:paraId="5F1EC3C5" w14:textId="77777777" w:rsidR="00D24337" w:rsidRDefault="002F2EC9">
      <w:pPr>
        <w:spacing w:after="0" w:line="360" w:lineRule="auto"/>
        <w:ind w:right="8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a la solicitud,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refirio</w:t>
      </w:r>
      <w:proofErr w:type="spellEnd"/>
      <w:r>
        <w:rPr>
          <w:rFonts w:ascii="Palatino Linotype" w:eastAsia="Palatino Linotype" w:hAnsi="Palatino Linotype" w:cs="Palatino Linotype"/>
          <w:sz w:val="24"/>
          <w:szCs w:val="24"/>
        </w:rPr>
        <w:t xml:space="preserve"> lo siguiente:</w:t>
      </w:r>
    </w:p>
    <w:p w14:paraId="3A4942C6" w14:textId="77777777" w:rsidR="00D24337" w:rsidRDefault="00D24337"/>
    <w:p w14:paraId="2793671E" w14:textId="77777777" w:rsidR="00D24337" w:rsidRDefault="002F2EC9">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solicito se someta a comité el </w:t>
      </w:r>
      <w:r>
        <w:rPr>
          <w:rFonts w:ascii="Palatino Linotype" w:eastAsia="Palatino Linotype" w:hAnsi="Palatino Linotype" w:cs="Palatino Linotype"/>
          <w:b/>
          <w:i/>
          <w:u w:val="single"/>
        </w:rPr>
        <w:t>cambio de modalidad de la entrega de información</w:t>
      </w:r>
      <w:r>
        <w:rPr>
          <w:rFonts w:ascii="Palatino Linotype" w:eastAsia="Palatino Linotype" w:hAnsi="Palatino Linotype" w:cs="Palatino Linotype"/>
          <w:i/>
        </w:rPr>
        <w:t xml:space="preserve">, en virtud de que excede las capacidades humanas de la Unidad de Transparencia y Acceso a la Información Pública del Ayuntamiento de Zumpango, para realizar el procesamiento de la información, porque la estructura orgánica se conforma por 2 personas adscritas a dicha Unidad lo cual le resulta insuficiente para atender el número de solicitudes de información en el tiempo establecido por la ley, haciendo mención de igual forma que no contamos con los elementos suficientes para poder escanear de manera eficiente y pronta todos y cada uno </w:t>
      </w:r>
      <w:r>
        <w:rPr>
          <w:rFonts w:ascii="Palatino Linotype" w:eastAsia="Palatino Linotype" w:hAnsi="Palatino Linotype" w:cs="Palatino Linotype"/>
          <w:b/>
          <w:i/>
          <w:u w:val="single"/>
        </w:rPr>
        <w:t>de los recibos que solicita el usuario.</w:t>
      </w:r>
      <w:r>
        <w:rPr>
          <w:rFonts w:ascii="Palatino Linotype" w:eastAsia="Palatino Linotype" w:hAnsi="Palatino Linotype" w:cs="Palatino Linotype"/>
          <w:i/>
        </w:rPr>
        <w:t xml:space="preserve"> Por lo que una vez aprobado el cambio de modalidad informó que para la consulta directa de la información requerida salvo aquella que sea clasificada como confidencial o reservada, el mecanismo para asegurar el acceso del particular era que la misma acudiera de manera calendarizada en el día 17 de noviembre del presente año, en un horario de 9:00 a 17:00 horas, en la oficina de la Dirección de Administración del Ayuntamiento de Zumpango situada en planta alta, en el domicilio en Plaza Juárez, Sin número, Colonia Centro, Bo. San Juan, Zumpango, Código Postal 55600, Estado de México; para que se lleve a cabo esta modalidad de entrega de la información.</w:t>
      </w:r>
    </w:p>
    <w:p w14:paraId="5CE7C4C9" w14:textId="77777777" w:rsidR="00D24337" w:rsidRDefault="00D24337">
      <w:pPr>
        <w:ind w:right="900"/>
        <w:jc w:val="both"/>
        <w:rPr>
          <w:rFonts w:ascii="Palatino Linotype" w:eastAsia="Palatino Linotype" w:hAnsi="Palatino Linotype" w:cs="Palatino Linotype"/>
          <w:i/>
        </w:rPr>
      </w:pPr>
    </w:p>
    <w:p w14:paraId="42753986" w14:textId="77777777" w:rsidR="00D24337" w:rsidRDefault="002F2E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conocida la respuesta del Sujeto Obligado, la ahora Recurrente interpuso el medio de impugnación citado al rubro, expresando lo siguiente:</w:t>
      </w:r>
    </w:p>
    <w:p w14:paraId="262C8FBD" w14:textId="77777777" w:rsidR="00D24337" w:rsidRDefault="00D24337">
      <w:pPr>
        <w:spacing w:after="0" w:line="360" w:lineRule="auto"/>
        <w:jc w:val="both"/>
        <w:rPr>
          <w:rFonts w:ascii="Palatino Linotype" w:eastAsia="Palatino Linotype" w:hAnsi="Palatino Linotype" w:cs="Palatino Linotype"/>
          <w:sz w:val="24"/>
          <w:szCs w:val="24"/>
        </w:rPr>
      </w:pPr>
    </w:p>
    <w:p w14:paraId="16931922" w14:textId="77777777" w:rsidR="00D24337" w:rsidRDefault="00D24337">
      <w:pPr>
        <w:spacing w:after="0" w:line="360" w:lineRule="auto"/>
        <w:jc w:val="both"/>
        <w:rPr>
          <w:rFonts w:ascii="Palatino Linotype" w:eastAsia="Palatino Linotype" w:hAnsi="Palatino Linotype" w:cs="Palatino Linotype"/>
          <w:sz w:val="24"/>
          <w:szCs w:val="24"/>
        </w:rPr>
      </w:pPr>
    </w:p>
    <w:p w14:paraId="2437EE2B" w14:textId="77777777" w:rsidR="00D24337" w:rsidRDefault="00D24337">
      <w:pPr>
        <w:spacing w:after="0" w:line="360" w:lineRule="auto"/>
        <w:jc w:val="both"/>
        <w:rPr>
          <w:rFonts w:ascii="Palatino Linotype" w:eastAsia="Palatino Linotype" w:hAnsi="Palatino Linotype" w:cs="Palatino Linotype"/>
          <w:sz w:val="24"/>
          <w:szCs w:val="24"/>
        </w:rPr>
      </w:pPr>
    </w:p>
    <w:p w14:paraId="10B89FAC" w14:textId="77777777" w:rsidR="00D24337" w:rsidRDefault="00D24337">
      <w:pPr>
        <w:spacing w:after="0" w:line="360" w:lineRule="auto"/>
        <w:jc w:val="both"/>
        <w:rPr>
          <w:rFonts w:ascii="Palatino Linotype" w:eastAsia="Palatino Linotype" w:hAnsi="Palatino Linotype" w:cs="Palatino Linotype"/>
          <w:sz w:val="24"/>
          <w:szCs w:val="24"/>
        </w:rPr>
      </w:pPr>
    </w:p>
    <w:p w14:paraId="15D237DE" w14:textId="77777777" w:rsidR="00D24337" w:rsidRDefault="002F2EC9">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lastRenderedPageBreak/>
        <w:t>Acto Impugnado:</w:t>
      </w:r>
    </w:p>
    <w:p w14:paraId="3CB603D5" w14:textId="77777777" w:rsidR="00D24337" w:rsidRDefault="002F2EC9">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que se otorga.</w:t>
      </w:r>
      <w:r>
        <w:rPr>
          <w:rFonts w:ascii="Palatino Linotype" w:eastAsia="Palatino Linotype" w:hAnsi="Palatino Linotype" w:cs="Palatino Linotype"/>
          <w:i/>
        </w:rPr>
        <w:t>”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14:paraId="2DBDE775" w14:textId="77777777" w:rsidR="00D24337" w:rsidRDefault="002F2EC9">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69654E9D" w14:textId="77777777" w:rsidR="00D24337" w:rsidRDefault="002F2EC9">
      <w:pPr>
        <w:spacing w:before="240" w:after="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El sujeto obligado menciona incapacidades técnicas para entregar la información, cuando dicha información debe ser pública y estar debidamente publicada en las diversas plataformas, lo que implica que no tiene actualizado el sistema de información que conforma el portal de transparencia, y solicita una vía distinta para entrega de información, </w:t>
      </w:r>
      <w:proofErr w:type="spellStart"/>
      <w:r>
        <w:rPr>
          <w:rFonts w:ascii="Palatino Linotype" w:eastAsia="Palatino Linotype" w:hAnsi="Palatino Linotype" w:cs="Palatino Linotype"/>
          <w:i/>
          <w:color w:val="000000"/>
        </w:rPr>
        <w:t>alejandose</w:t>
      </w:r>
      <w:proofErr w:type="spellEnd"/>
      <w:r>
        <w:rPr>
          <w:rFonts w:ascii="Palatino Linotype" w:eastAsia="Palatino Linotype" w:hAnsi="Palatino Linotype" w:cs="Palatino Linotype"/>
          <w:i/>
          <w:color w:val="000000"/>
        </w:rPr>
        <w:t xml:space="preserve"> de los principios de máxima publicidad. Por lo que solicito me sea entregada la información a la brevedad y por la vía solicitada.” </w:t>
      </w:r>
      <w:r>
        <w:rPr>
          <w:rFonts w:ascii="Palatino Linotype" w:eastAsia="Palatino Linotype" w:hAnsi="Palatino Linotype" w:cs="Palatino Linotype"/>
          <w:i/>
        </w:rPr>
        <w:t>[</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14:paraId="6E85D871" w14:textId="77777777" w:rsidR="00D24337" w:rsidRDefault="00D24337">
      <w:pPr>
        <w:ind w:right="900"/>
        <w:jc w:val="both"/>
        <w:rPr>
          <w:rFonts w:ascii="Palatino Linotype" w:eastAsia="Palatino Linotype" w:hAnsi="Palatino Linotype" w:cs="Palatino Linotype"/>
          <w:i/>
        </w:rPr>
      </w:pPr>
    </w:p>
    <w:p w14:paraId="1FCD471C" w14:textId="77777777" w:rsidR="00D24337" w:rsidRDefault="002F2EC9">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resultaron omisos de emitir sus manifestaciones en el apartado de informe justificado conforme a derecho les corresponde. </w:t>
      </w:r>
    </w:p>
    <w:p w14:paraId="212DD1EB" w14:textId="77777777" w:rsidR="00D24337" w:rsidRDefault="00D24337">
      <w:pPr>
        <w:spacing w:after="0" w:line="360" w:lineRule="auto"/>
        <w:ind w:right="142"/>
        <w:jc w:val="both"/>
        <w:rPr>
          <w:rFonts w:ascii="Palatino Linotype" w:eastAsia="Palatino Linotype" w:hAnsi="Palatino Linotype" w:cs="Palatino Linotype"/>
          <w:sz w:val="24"/>
          <w:szCs w:val="24"/>
        </w:rPr>
      </w:pPr>
    </w:p>
    <w:p w14:paraId="75DAE88E" w14:textId="77777777" w:rsidR="00D24337" w:rsidRDefault="002F2EC9">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consideró 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la respuesta del Sujeto Obligado, ordenando lo siguiente:</w:t>
      </w:r>
    </w:p>
    <w:p w14:paraId="6A1874A9" w14:textId="77777777" w:rsidR="00D24337" w:rsidRDefault="00D24337">
      <w:pPr>
        <w:ind w:right="900"/>
        <w:jc w:val="both"/>
        <w:rPr>
          <w:rFonts w:ascii="Palatino Linotype" w:eastAsia="Palatino Linotype" w:hAnsi="Palatino Linotype" w:cs="Palatino Linotype"/>
          <w:i/>
        </w:rPr>
      </w:pPr>
    </w:p>
    <w:p w14:paraId="474078F2"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REVOCA la respuesta del SUJETO OBLIGADO, se ORDENA que en términos del Considerando Cuarto y Quinto de esta resolución haga entrega, vía SAIMEX, de ser el caso en versión pública, de la siguiente información: </w:t>
      </w:r>
    </w:p>
    <w:p w14:paraId="0F6CB7EE"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58D8DB09"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De todos los Directores, Secretarios y Comisarios, en funciones al treinta y uno de octubre de dos mil veintidós:</w:t>
      </w:r>
    </w:p>
    <w:p w14:paraId="1257BD3E"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4B03A640"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75353BD1"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1644BB36"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65CECAE0"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4949DF6C"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320D093A"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660DBDF7"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Título profesional.</w:t>
      </w:r>
    </w:p>
    <w:p w14:paraId="383D88F8"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2BBC5C93"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De las comisiones edilicias del Ayuntamiento:</w:t>
      </w:r>
    </w:p>
    <w:p w14:paraId="74383C01"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2C62F2F1"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El informe del primero, segundo y tercer semestre del año dos mil veintidós.</w:t>
      </w:r>
    </w:p>
    <w:p w14:paraId="6B0ED5B3"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33291F2D"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De los Directores, Coordinadores, Oficiales, y miembros del Ayuntamiento en funciones al treinta y uno de octubre de dos mil veintidós:</w:t>
      </w:r>
    </w:p>
    <w:p w14:paraId="4B9DD198"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007EA2AB"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Documento donde conste su información curricular. </w:t>
      </w:r>
    </w:p>
    <w:p w14:paraId="1533238F"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65E7E995"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0CF8ED29" w14:textId="77777777" w:rsidR="00D24337" w:rsidRDefault="00D24337" w:rsidP="005A44E3">
      <w:pPr>
        <w:tabs>
          <w:tab w:val="left" w:pos="4962"/>
        </w:tabs>
        <w:spacing w:after="0" w:line="240" w:lineRule="auto"/>
        <w:ind w:left="851" w:right="758"/>
        <w:jc w:val="both"/>
        <w:rPr>
          <w:rFonts w:ascii="Palatino Linotype" w:eastAsia="Palatino Linotype" w:hAnsi="Palatino Linotype" w:cs="Palatino Linotype"/>
          <w:i/>
        </w:rPr>
      </w:pPr>
    </w:p>
    <w:p w14:paraId="44AEE89B"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el caso de que el Sujeto Obligado no cuente con la información que se ordena en el punto a)  en relación al Secretario del Ayuntamiento, el Tesorero Municipal, Director de Turismo, Director/a de las Mujeres o equivalente, del Coordinador General Municipal de Mejora Regulatoria, del Director del Instituto Municipal de Cultura Física y Deporte, del Director de la Unidad Municipal de Control y Bienestar Animal o equivalente y del Contralor Municipal deberá emitir el Acuerdo de Inexistencia, en términos de los artículos 169 y 170 de la Ley de Transparencia y Acceso a la Información Pública del Estado de México y Municipios.</w:t>
      </w:r>
    </w:p>
    <w:p w14:paraId="051E4A52" w14:textId="77777777" w:rsidR="00D24337" w:rsidRDefault="00D24337">
      <w:pPr>
        <w:tabs>
          <w:tab w:val="left" w:pos="4962"/>
        </w:tabs>
        <w:spacing w:after="0" w:line="360" w:lineRule="auto"/>
        <w:ind w:left="851" w:right="758"/>
        <w:jc w:val="both"/>
        <w:rPr>
          <w:rFonts w:ascii="Palatino Linotype" w:eastAsia="Palatino Linotype" w:hAnsi="Palatino Linotype" w:cs="Palatino Linotype"/>
          <w:i/>
        </w:rPr>
      </w:pPr>
    </w:p>
    <w:p w14:paraId="3D9682BB" w14:textId="77777777" w:rsidR="00D24337" w:rsidRDefault="002F2EC9" w:rsidP="005A44E3">
      <w:pPr>
        <w:tabs>
          <w:tab w:val="left" w:pos="4962"/>
        </w:tabs>
        <w:spacing w:after="0" w:line="24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En el supuesto que la información ordenada en el inciso a), en relación a los servidores públicos que no están obligados a contar con un Título Profesional, bastará con que así lo haga del conocimiento de la parte Recurrente, de manera fundada y motivada, para tener por colmado el requerimiento de información.”</w:t>
      </w:r>
    </w:p>
    <w:p w14:paraId="3927CB7D"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46B656F2"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5C326844"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14D6D731"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110A2827"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4DB3203B"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6BE85CE2"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4C40480E"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591927F6" w14:textId="77777777" w:rsidR="005972D1" w:rsidRDefault="005972D1" w:rsidP="005A44E3">
      <w:pPr>
        <w:tabs>
          <w:tab w:val="left" w:pos="4962"/>
        </w:tabs>
        <w:spacing w:after="0" w:line="240" w:lineRule="auto"/>
        <w:ind w:left="851" w:right="758"/>
        <w:jc w:val="both"/>
        <w:rPr>
          <w:rFonts w:ascii="Palatino Linotype" w:eastAsia="Palatino Linotype" w:hAnsi="Palatino Linotype" w:cs="Palatino Linotype"/>
          <w:i/>
        </w:rPr>
      </w:pPr>
    </w:p>
    <w:p w14:paraId="52222828" w14:textId="77777777" w:rsidR="00D24337" w:rsidRDefault="00D24337">
      <w:pPr>
        <w:ind w:right="900"/>
        <w:jc w:val="both"/>
        <w:rPr>
          <w:rFonts w:ascii="Palatino Linotype" w:eastAsia="Palatino Linotype" w:hAnsi="Palatino Linotype" w:cs="Palatino Linotype"/>
          <w:i/>
        </w:rPr>
      </w:pPr>
    </w:p>
    <w:p w14:paraId="036B79C6" w14:textId="77777777" w:rsidR="00D24337" w:rsidRDefault="002F2EC9">
      <w:pPr>
        <w:numPr>
          <w:ilvl w:val="0"/>
          <w:numId w:val="4"/>
        </w:num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Razones del </w:t>
      </w:r>
      <w:r>
        <w:rPr>
          <w:rFonts w:ascii="Palatino Linotype" w:eastAsia="Palatino Linotype" w:hAnsi="Palatino Linotype" w:cs="Palatino Linotype"/>
          <w:b/>
          <w:sz w:val="24"/>
          <w:szCs w:val="24"/>
        </w:rPr>
        <w:t xml:space="preserve">voto particular </w:t>
      </w:r>
    </w:p>
    <w:p w14:paraId="14689367" w14:textId="77777777" w:rsidR="00D24337" w:rsidRDefault="002F2E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iniciar la emisión del presente voto, conviene mencionar, que de manera respetuosa, las suscritas no comparten de forma parcial las consideraciones que fueron vertidas en la presente resolución respecto a la información que se ordena referente a la información curricular de los miembros del Ayuntamiento,</w:t>
      </w:r>
      <w:r>
        <w:t xml:space="preserve"> </w:t>
      </w:r>
      <w:r>
        <w:rPr>
          <w:rFonts w:ascii="Palatino Linotype" w:eastAsia="Palatino Linotype" w:hAnsi="Palatino Linotype" w:cs="Palatino Linotype"/>
          <w:sz w:val="24"/>
          <w:szCs w:val="24"/>
        </w:rPr>
        <w:t xml:space="preserve">por lo que para las emisoras del voto en el presente caso, los documentos ordenados, no son requisito necesario, pues al tratarse de servidores públicos designados por elección popular, no se requiere currículo, ficha curricular o documento análogo. </w:t>
      </w:r>
    </w:p>
    <w:p w14:paraId="0AEB8A32" w14:textId="77777777" w:rsidR="00D24337" w:rsidRDefault="00D24337">
      <w:pPr>
        <w:spacing w:after="0" w:line="360" w:lineRule="auto"/>
        <w:jc w:val="both"/>
        <w:rPr>
          <w:rFonts w:ascii="Palatino Linotype" w:eastAsia="Palatino Linotype" w:hAnsi="Palatino Linotype" w:cs="Palatino Linotype"/>
          <w:sz w:val="24"/>
          <w:szCs w:val="24"/>
        </w:rPr>
      </w:pPr>
    </w:p>
    <w:p w14:paraId="0921675A" w14:textId="77777777" w:rsidR="00D24337" w:rsidRDefault="002F2E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Determinado lo anterior, es pertinente mencionar que en estas circunstancias no resulta exigible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requerirle la entrega de información que no obra en sus archivos, toda vez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el currículo, ficha curricular o documento análogo, de los miembros del Cabildo del </w:t>
      </w:r>
      <w:r>
        <w:rPr>
          <w:rFonts w:ascii="Palatino Linotype" w:eastAsia="Palatino Linotype" w:hAnsi="Palatino Linotype" w:cs="Palatino Linotype"/>
          <w:sz w:val="24"/>
          <w:szCs w:val="24"/>
        </w:rPr>
        <w:t>Sujeto Obligado</w:t>
      </w:r>
      <w:r>
        <w:rPr>
          <w:rFonts w:ascii="Palatino Linotype" w:eastAsia="Palatino Linotype" w:hAnsi="Palatino Linotype" w:cs="Palatino Linotype"/>
          <w:color w:val="000000"/>
          <w:sz w:val="24"/>
          <w:szCs w:val="24"/>
        </w:rPr>
        <w:t>, sirve de ilustración la siguiente cita:</w:t>
      </w:r>
    </w:p>
    <w:p w14:paraId="61868A3C" w14:textId="77777777" w:rsidR="00D24337" w:rsidRDefault="00D24337">
      <w:pPr>
        <w:rPr>
          <w:sz w:val="28"/>
          <w:szCs w:val="28"/>
        </w:rPr>
      </w:pPr>
    </w:p>
    <w:p w14:paraId="017215E3" w14:textId="77777777" w:rsidR="00D24337" w:rsidRDefault="002F2EC9">
      <w:pPr>
        <w:spacing w:line="276" w:lineRule="auto"/>
        <w:ind w:left="1053" w:right="1090" w:firstLine="55"/>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w:t>
      </w:r>
      <w:r>
        <w:rPr>
          <w:rFonts w:ascii="Palatino Linotype" w:eastAsia="Palatino Linotype" w:hAnsi="Palatino Linotype" w:cs="Palatino Linotype"/>
          <w:i/>
        </w:rPr>
        <w:lastRenderedPageBreak/>
        <w:t>que establezca la ley de la materia, respetando el principio de paridad de género.</w:t>
      </w:r>
    </w:p>
    <w:p w14:paraId="202E2073" w14:textId="77777777" w:rsidR="005A44E3" w:rsidRDefault="005A44E3" w:rsidP="005A44E3">
      <w:pPr>
        <w:widowControl w:val="0"/>
        <w:pBdr>
          <w:top w:val="nil"/>
          <w:left w:val="nil"/>
          <w:bottom w:val="nil"/>
          <w:right w:val="nil"/>
          <w:between w:val="nil"/>
        </w:pBdr>
        <w:spacing w:before="31" w:after="0" w:line="240" w:lineRule="auto"/>
        <w:ind w:left="934"/>
        <w:jc w:val="both"/>
        <w:rPr>
          <w:rFonts w:ascii="Palatino Linotype" w:eastAsia="Palatino Linotype" w:hAnsi="Palatino Linotype" w:cs="Palatino Linotype"/>
          <w:i/>
        </w:rPr>
      </w:pPr>
    </w:p>
    <w:p w14:paraId="72EDD5A2" w14:textId="41EF9B85" w:rsidR="00D24337" w:rsidRDefault="002F2EC9" w:rsidP="005A44E3">
      <w:pPr>
        <w:widowControl w:val="0"/>
        <w:pBdr>
          <w:top w:val="nil"/>
          <w:left w:val="nil"/>
          <w:bottom w:val="nil"/>
          <w:right w:val="nil"/>
          <w:between w:val="nil"/>
        </w:pBdr>
        <w:spacing w:before="31" w:after="0" w:line="240" w:lineRule="auto"/>
        <w:ind w:left="934"/>
        <w:jc w:val="both"/>
        <w:rPr>
          <w:rFonts w:ascii="Palatino Linotype" w:eastAsia="Palatino Linotype" w:hAnsi="Palatino Linotype" w:cs="Palatino Linotype"/>
          <w:i/>
          <w:color w:val="000000"/>
        </w:rPr>
      </w:pPr>
      <w:r>
        <w:rPr>
          <w:rFonts w:ascii="Palatino Linotype" w:eastAsia="Palatino Linotype" w:hAnsi="Palatino Linotype" w:cs="Palatino Linotype"/>
          <w:i/>
        </w:rPr>
        <w:t>CAPÍTULO</w:t>
      </w:r>
      <w:r>
        <w:rPr>
          <w:rFonts w:ascii="Palatino Linotype" w:eastAsia="Palatino Linotype" w:hAnsi="Palatino Linotype" w:cs="Palatino Linotype"/>
          <w:i/>
          <w:color w:val="000000"/>
        </w:rPr>
        <w:t xml:space="preserve"> SEGUNDO</w:t>
      </w:r>
    </w:p>
    <w:p w14:paraId="29299BBB" w14:textId="77777777" w:rsidR="00D24337" w:rsidRDefault="00D24337" w:rsidP="005A44E3">
      <w:pPr>
        <w:spacing w:before="3" w:line="240" w:lineRule="auto"/>
        <w:rPr>
          <w:i/>
          <w:sz w:val="24"/>
          <w:szCs w:val="24"/>
        </w:rPr>
      </w:pPr>
    </w:p>
    <w:p w14:paraId="3C481825" w14:textId="77777777" w:rsidR="00D24337" w:rsidRDefault="002F2EC9" w:rsidP="005A44E3">
      <w:pPr>
        <w:widowControl w:val="0"/>
        <w:pBdr>
          <w:top w:val="nil"/>
          <w:left w:val="nil"/>
          <w:bottom w:val="nil"/>
          <w:right w:val="nil"/>
          <w:between w:val="nil"/>
        </w:pBdr>
        <w:spacing w:after="0" w:line="240" w:lineRule="auto"/>
        <w:ind w:left="93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los Miembros de los Ayuntamientos</w:t>
      </w:r>
    </w:p>
    <w:p w14:paraId="1A108DBA" w14:textId="77777777" w:rsidR="005A44E3" w:rsidRDefault="005A44E3" w:rsidP="005A44E3">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p>
    <w:p w14:paraId="21B2895B" w14:textId="3C2CDED8" w:rsidR="00D24337" w:rsidRDefault="002F2EC9" w:rsidP="005A44E3">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118.- </w:t>
      </w:r>
      <w:r>
        <w:rPr>
          <w:rFonts w:ascii="Palatino Linotype" w:eastAsia="Palatino Linotype" w:hAnsi="Palatino Linotype" w:cs="Palatino Linotype"/>
          <w:b/>
          <w:i/>
          <w:color w:val="000000"/>
        </w:rPr>
        <w:t xml:space="preserve">Los miembros de un ayuntamiento serán designados en una sola elección. </w:t>
      </w:r>
      <w:r>
        <w:rPr>
          <w:rFonts w:ascii="Palatino Linotype" w:eastAsia="Palatino Linotype" w:hAnsi="Palatino Linotype" w:cs="Palatino Linotype"/>
          <w:i/>
          <w:color w:val="000000"/>
        </w:rPr>
        <w:t>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14:paraId="594C383B" w14:textId="77777777" w:rsidR="00D24337" w:rsidRDefault="00D24337" w:rsidP="005A44E3">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p>
    <w:p w14:paraId="5C1616E8" w14:textId="77777777" w:rsidR="00D24337" w:rsidRDefault="002F2EC9" w:rsidP="005A44E3">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119.- Para ser miembro propietario o suplente de un ayuntamiento se requiere:</w:t>
      </w:r>
    </w:p>
    <w:p w14:paraId="58D983C8" w14:textId="77777777" w:rsidR="00D24337" w:rsidRDefault="00D24337" w:rsidP="005A44E3">
      <w:pPr>
        <w:spacing w:before="8" w:line="240" w:lineRule="auto"/>
        <w:rPr>
          <w:rFonts w:ascii="Palatino Linotype" w:eastAsia="Palatino Linotype" w:hAnsi="Palatino Linotype" w:cs="Palatino Linotype"/>
          <w:b/>
          <w:i/>
          <w:color w:val="000000"/>
          <w:sz w:val="18"/>
          <w:szCs w:val="18"/>
        </w:rPr>
      </w:pPr>
    </w:p>
    <w:p w14:paraId="2BA16C32" w14:textId="77777777" w:rsidR="00D24337" w:rsidRDefault="002F2EC9" w:rsidP="005A44E3">
      <w:pPr>
        <w:widowControl w:val="0"/>
        <w:numPr>
          <w:ilvl w:val="1"/>
          <w:numId w:val="1"/>
        </w:numPr>
        <w:pBdr>
          <w:top w:val="nil"/>
          <w:left w:val="nil"/>
          <w:bottom w:val="nil"/>
          <w:right w:val="nil"/>
          <w:between w:val="nil"/>
        </w:pBdr>
        <w:tabs>
          <w:tab w:val="left" w:pos="1482"/>
        </w:tabs>
        <w:spacing w:after="0" w:line="240" w:lineRule="auto"/>
        <w:ind w:left="851" w:right="1093" w:firstLine="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rPr>
        <w:t>Ser mexicana o mexicano, ciudadana o ciudadano del Estado, en pleno ejercicio de sus derechos;</w:t>
      </w:r>
    </w:p>
    <w:p w14:paraId="6AC07A27" w14:textId="77777777" w:rsidR="00D24337" w:rsidRDefault="00D24337" w:rsidP="005A44E3">
      <w:pPr>
        <w:spacing w:before="6" w:line="240" w:lineRule="auto"/>
        <w:ind w:left="851"/>
        <w:rPr>
          <w:rFonts w:ascii="Palatino Linotype" w:eastAsia="Palatino Linotype" w:hAnsi="Palatino Linotype" w:cs="Palatino Linotype"/>
          <w:b/>
          <w:i/>
          <w:color w:val="000000"/>
          <w:sz w:val="20"/>
          <w:szCs w:val="20"/>
        </w:rPr>
      </w:pPr>
    </w:p>
    <w:p w14:paraId="751B08A6" w14:textId="77777777" w:rsidR="00D24337" w:rsidRDefault="002F2EC9" w:rsidP="005A44E3">
      <w:pPr>
        <w:pStyle w:val="Ttulo4"/>
        <w:keepNext w:val="0"/>
        <w:keepLines w:val="0"/>
        <w:widowControl w:val="0"/>
        <w:numPr>
          <w:ilvl w:val="1"/>
          <w:numId w:val="1"/>
        </w:numPr>
        <w:tabs>
          <w:tab w:val="left" w:pos="1482"/>
        </w:tabs>
        <w:spacing w:before="0" w:line="240" w:lineRule="auto"/>
        <w:ind w:left="851" w:right="1092"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Ser mexiquense con residencia efectiva en el municipio no menor a un año o vecino del mismo, con residencia efectiva en su territorio no menor a tres años, anteriores al día de la elección; y</w:t>
      </w:r>
    </w:p>
    <w:p w14:paraId="2927CA62" w14:textId="77777777" w:rsidR="00D24337" w:rsidRDefault="00D24337" w:rsidP="005A44E3">
      <w:pPr>
        <w:spacing w:before="6" w:line="240" w:lineRule="auto"/>
        <w:ind w:left="851"/>
        <w:rPr>
          <w:rFonts w:ascii="Palatino Linotype" w:eastAsia="Palatino Linotype" w:hAnsi="Palatino Linotype" w:cs="Palatino Linotype"/>
          <w:b/>
          <w:i/>
          <w:color w:val="000000"/>
          <w:sz w:val="20"/>
          <w:szCs w:val="20"/>
        </w:rPr>
      </w:pPr>
    </w:p>
    <w:p w14:paraId="768BD1AA" w14:textId="77777777" w:rsidR="00D24337" w:rsidRDefault="002F2EC9" w:rsidP="005A44E3">
      <w:pPr>
        <w:widowControl w:val="0"/>
        <w:numPr>
          <w:ilvl w:val="1"/>
          <w:numId w:val="1"/>
        </w:numPr>
        <w:pBdr>
          <w:top w:val="nil"/>
          <w:left w:val="nil"/>
          <w:bottom w:val="nil"/>
          <w:right w:val="nil"/>
          <w:between w:val="nil"/>
        </w:pBdr>
        <w:tabs>
          <w:tab w:val="left" w:pos="1487"/>
          <w:tab w:val="left" w:pos="1489"/>
        </w:tabs>
        <w:spacing w:after="0" w:line="240" w:lineRule="auto"/>
        <w:ind w:left="851" w:firstLine="0"/>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rPr>
        <w:t>Ser de reconocida probidad y buena fama pública.</w:t>
      </w:r>
    </w:p>
    <w:p w14:paraId="6CF74C35" w14:textId="77777777" w:rsidR="00D24337" w:rsidRDefault="00D24337" w:rsidP="005A44E3">
      <w:pPr>
        <w:spacing w:before="8" w:line="240" w:lineRule="auto"/>
        <w:ind w:left="851"/>
        <w:rPr>
          <w:rFonts w:ascii="Palatino Linotype" w:eastAsia="Palatino Linotype" w:hAnsi="Palatino Linotype" w:cs="Palatino Linotype"/>
          <w:b/>
          <w:i/>
          <w:color w:val="000000"/>
          <w:sz w:val="18"/>
          <w:szCs w:val="18"/>
        </w:rPr>
      </w:pPr>
    </w:p>
    <w:p w14:paraId="66338B5B" w14:textId="77777777" w:rsidR="00D24337" w:rsidRDefault="002F2EC9" w:rsidP="005A44E3">
      <w:pPr>
        <w:pStyle w:val="Ttulo4"/>
        <w:keepNext w:val="0"/>
        <w:keepLines w:val="0"/>
        <w:widowControl w:val="0"/>
        <w:numPr>
          <w:ilvl w:val="1"/>
          <w:numId w:val="1"/>
        </w:numPr>
        <w:tabs>
          <w:tab w:val="left" w:pos="1482"/>
        </w:tabs>
        <w:spacing w:before="0" w:line="240" w:lineRule="auto"/>
        <w:ind w:left="851" w:right="109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estar condenada o condenado por sentencia ejecutoriada por el delito de violencia política contra las mujeres en razón de género;</w:t>
      </w:r>
    </w:p>
    <w:p w14:paraId="627616DF" w14:textId="77777777" w:rsidR="00D24337" w:rsidRDefault="00D24337" w:rsidP="005A44E3">
      <w:pPr>
        <w:spacing w:before="1" w:line="240" w:lineRule="auto"/>
        <w:ind w:left="851"/>
        <w:rPr>
          <w:rFonts w:ascii="Palatino Linotype" w:eastAsia="Palatino Linotype" w:hAnsi="Palatino Linotype" w:cs="Palatino Linotype"/>
          <w:b/>
          <w:i/>
          <w:color w:val="000000"/>
          <w:sz w:val="18"/>
          <w:szCs w:val="18"/>
        </w:rPr>
      </w:pPr>
    </w:p>
    <w:p w14:paraId="675849AB" w14:textId="77777777" w:rsidR="00D24337" w:rsidRPr="005972D1" w:rsidRDefault="002F2EC9" w:rsidP="005A44E3">
      <w:pPr>
        <w:widowControl w:val="0"/>
        <w:numPr>
          <w:ilvl w:val="1"/>
          <w:numId w:val="1"/>
        </w:numPr>
        <w:pBdr>
          <w:top w:val="nil"/>
          <w:left w:val="nil"/>
          <w:bottom w:val="nil"/>
          <w:right w:val="nil"/>
          <w:between w:val="nil"/>
        </w:pBdr>
        <w:tabs>
          <w:tab w:val="left" w:pos="1482"/>
        </w:tabs>
        <w:spacing w:after="0" w:line="240" w:lineRule="auto"/>
        <w:ind w:left="851" w:right="1095" w:firstLine="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rPr>
        <w:t>No estar inscrito en el Registro de Deudores Alimentarios Morosos en el Estado, ni en otra entidad federativa, y</w:t>
      </w:r>
    </w:p>
    <w:p w14:paraId="051B078C" w14:textId="77777777" w:rsidR="005972D1" w:rsidRDefault="005972D1" w:rsidP="005972D1">
      <w:pPr>
        <w:pStyle w:val="Prrafodelista"/>
        <w:rPr>
          <w:rFonts w:ascii="Palatino Linotype" w:eastAsia="Palatino Linotype" w:hAnsi="Palatino Linotype" w:cs="Palatino Linotype"/>
          <w:b/>
          <w:i/>
          <w:color w:val="000000"/>
          <w:sz w:val="24"/>
          <w:szCs w:val="24"/>
        </w:rPr>
      </w:pPr>
    </w:p>
    <w:p w14:paraId="3BE96D83" w14:textId="77777777" w:rsidR="005972D1" w:rsidRDefault="005972D1" w:rsidP="005972D1">
      <w:pPr>
        <w:widowControl w:val="0"/>
        <w:pBdr>
          <w:top w:val="nil"/>
          <w:left w:val="nil"/>
          <w:bottom w:val="nil"/>
          <w:right w:val="nil"/>
          <w:between w:val="nil"/>
        </w:pBdr>
        <w:tabs>
          <w:tab w:val="left" w:pos="1482"/>
        </w:tabs>
        <w:spacing w:after="0" w:line="240" w:lineRule="auto"/>
        <w:ind w:right="1095"/>
        <w:jc w:val="both"/>
        <w:rPr>
          <w:rFonts w:ascii="Palatino Linotype" w:eastAsia="Palatino Linotype" w:hAnsi="Palatino Linotype" w:cs="Palatino Linotype"/>
          <w:b/>
          <w:i/>
          <w:color w:val="000000"/>
          <w:sz w:val="24"/>
          <w:szCs w:val="24"/>
        </w:rPr>
      </w:pPr>
    </w:p>
    <w:p w14:paraId="78FD27E0" w14:textId="77777777" w:rsidR="005972D1" w:rsidRDefault="005972D1" w:rsidP="005972D1">
      <w:pPr>
        <w:widowControl w:val="0"/>
        <w:pBdr>
          <w:top w:val="nil"/>
          <w:left w:val="nil"/>
          <w:bottom w:val="nil"/>
          <w:right w:val="nil"/>
          <w:between w:val="nil"/>
        </w:pBdr>
        <w:tabs>
          <w:tab w:val="left" w:pos="1482"/>
        </w:tabs>
        <w:spacing w:after="0" w:line="240" w:lineRule="auto"/>
        <w:ind w:right="1095"/>
        <w:jc w:val="both"/>
        <w:rPr>
          <w:rFonts w:ascii="Palatino Linotype" w:eastAsia="Palatino Linotype" w:hAnsi="Palatino Linotype" w:cs="Palatino Linotype"/>
          <w:b/>
          <w:i/>
          <w:color w:val="000000"/>
          <w:sz w:val="24"/>
          <w:szCs w:val="24"/>
        </w:rPr>
      </w:pPr>
    </w:p>
    <w:p w14:paraId="22EFA80D" w14:textId="77777777" w:rsidR="005972D1" w:rsidRDefault="005972D1" w:rsidP="005972D1">
      <w:pPr>
        <w:widowControl w:val="0"/>
        <w:pBdr>
          <w:top w:val="nil"/>
          <w:left w:val="nil"/>
          <w:bottom w:val="nil"/>
          <w:right w:val="nil"/>
          <w:between w:val="nil"/>
        </w:pBdr>
        <w:tabs>
          <w:tab w:val="left" w:pos="1482"/>
        </w:tabs>
        <w:spacing w:after="0" w:line="240" w:lineRule="auto"/>
        <w:ind w:right="1095"/>
        <w:jc w:val="both"/>
        <w:rPr>
          <w:rFonts w:ascii="Palatino Linotype" w:eastAsia="Palatino Linotype" w:hAnsi="Palatino Linotype" w:cs="Palatino Linotype"/>
          <w:b/>
          <w:i/>
          <w:color w:val="000000"/>
          <w:sz w:val="24"/>
          <w:szCs w:val="24"/>
        </w:rPr>
      </w:pPr>
    </w:p>
    <w:p w14:paraId="410F0B19" w14:textId="77777777" w:rsidR="00D24337" w:rsidRDefault="002F2EC9" w:rsidP="005A44E3">
      <w:pPr>
        <w:pStyle w:val="Ttulo4"/>
        <w:keepNext w:val="0"/>
        <w:keepLines w:val="0"/>
        <w:widowControl w:val="0"/>
        <w:numPr>
          <w:ilvl w:val="1"/>
          <w:numId w:val="1"/>
        </w:numPr>
        <w:tabs>
          <w:tab w:val="left" w:pos="1668"/>
          <w:tab w:val="left" w:pos="1669"/>
        </w:tabs>
        <w:spacing w:before="0" w:line="240" w:lineRule="auto"/>
        <w:ind w:left="851" w:right="1093"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estar condenada o condenado por sentencia ejecutoriada por delitos de violencia familiar, contra la libertad sexual o de violencia de género.</w:t>
      </w:r>
    </w:p>
    <w:p w14:paraId="7929A016" w14:textId="77777777" w:rsidR="00D24337" w:rsidRDefault="00D24337" w:rsidP="005A44E3">
      <w:pPr>
        <w:spacing w:before="3" w:line="240" w:lineRule="auto"/>
        <w:rPr>
          <w:rFonts w:ascii="Palatino Linotype" w:eastAsia="Palatino Linotype" w:hAnsi="Palatino Linotype" w:cs="Palatino Linotype"/>
          <w:b/>
          <w:i/>
          <w:color w:val="000000"/>
          <w:sz w:val="15"/>
          <w:szCs w:val="15"/>
        </w:rPr>
      </w:pPr>
    </w:p>
    <w:p w14:paraId="4CEF5C4F" w14:textId="77777777" w:rsidR="00D24337" w:rsidRDefault="002F2EC9" w:rsidP="005A44E3">
      <w:pPr>
        <w:widowControl w:val="0"/>
        <w:pBdr>
          <w:top w:val="nil"/>
          <w:left w:val="nil"/>
          <w:bottom w:val="nil"/>
          <w:right w:val="nil"/>
          <w:between w:val="nil"/>
        </w:pBdr>
        <w:spacing w:after="0" w:line="240" w:lineRule="auto"/>
        <w:ind w:left="851" w:right="109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120.- </w:t>
      </w:r>
      <w:r>
        <w:rPr>
          <w:rFonts w:ascii="Palatino Linotype" w:eastAsia="Palatino Linotype" w:hAnsi="Palatino Linotype" w:cs="Palatino Linotype"/>
          <w:i/>
          <w:color w:val="000000"/>
        </w:rPr>
        <w:t>No pueden ser miembros propietarios o suplentes de los ayuntamientos:</w:t>
      </w:r>
    </w:p>
    <w:p w14:paraId="15B52755" w14:textId="77777777" w:rsidR="00D24337" w:rsidRDefault="00D24337" w:rsidP="005A44E3">
      <w:pPr>
        <w:spacing w:line="240" w:lineRule="auto"/>
        <w:rPr>
          <w:rFonts w:ascii="Palatino Linotype" w:eastAsia="Palatino Linotype" w:hAnsi="Palatino Linotype" w:cs="Palatino Linotype"/>
          <w:i/>
          <w:sz w:val="20"/>
          <w:szCs w:val="20"/>
        </w:rPr>
      </w:pPr>
    </w:p>
    <w:p w14:paraId="61B2992E" w14:textId="77777777" w:rsidR="00D24337" w:rsidRDefault="002F2EC9" w:rsidP="005A44E3">
      <w:pPr>
        <w:widowControl w:val="0"/>
        <w:numPr>
          <w:ilvl w:val="2"/>
          <w:numId w:val="1"/>
        </w:numPr>
        <w:pBdr>
          <w:top w:val="nil"/>
          <w:left w:val="nil"/>
          <w:bottom w:val="nil"/>
          <w:right w:val="nil"/>
          <w:between w:val="nil"/>
        </w:pBdr>
        <w:tabs>
          <w:tab w:val="left" w:pos="1605"/>
          <w:tab w:val="left" w:pos="1606"/>
        </w:tabs>
        <w:spacing w:before="31" w:after="0" w:line="240" w:lineRule="auto"/>
        <w:ind w:left="1053" w:right="907" w:hanging="130"/>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diputadas o diputados y senadoras o senadores al Congreso de la Unión que se encuentren en ejercicio de su cargo;</w:t>
      </w:r>
    </w:p>
    <w:p w14:paraId="1BAB677C" w14:textId="0314AD4A" w:rsidR="00D24337" w:rsidRDefault="00D24337">
      <w:pPr>
        <w:spacing w:before="1" w:line="276" w:lineRule="auto"/>
        <w:rPr>
          <w:rFonts w:ascii="Palatino Linotype" w:eastAsia="Palatino Linotype" w:hAnsi="Palatino Linotype" w:cs="Palatino Linotype"/>
          <w:i/>
          <w:sz w:val="15"/>
          <w:szCs w:val="15"/>
        </w:rPr>
      </w:pPr>
    </w:p>
    <w:p w14:paraId="19ADB77F" w14:textId="77777777" w:rsidR="00D24337" w:rsidRDefault="002F2EC9" w:rsidP="005A44E3">
      <w:pPr>
        <w:widowControl w:val="0"/>
        <w:numPr>
          <w:ilvl w:val="2"/>
          <w:numId w:val="1"/>
        </w:numPr>
        <w:pBdr>
          <w:top w:val="nil"/>
          <w:left w:val="nil"/>
          <w:bottom w:val="nil"/>
          <w:right w:val="nil"/>
          <w:between w:val="nil"/>
        </w:pBdr>
        <w:tabs>
          <w:tab w:val="left" w:pos="1602"/>
        </w:tabs>
        <w:spacing w:before="1" w:after="0" w:line="240" w:lineRule="auto"/>
        <w:ind w:left="1053" w:right="1095"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diputadas o diputados a la Legislatura del Estado que se encuentren en ejercicio de su cargo;</w:t>
      </w:r>
    </w:p>
    <w:p w14:paraId="3865467F" w14:textId="77777777" w:rsidR="00D24337" w:rsidRDefault="00D24337" w:rsidP="005A44E3">
      <w:pPr>
        <w:spacing w:before="1" w:line="240" w:lineRule="auto"/>
        <w:rPr>
          <w:rFonts w:ascii="Palatino Linotype" w:eastAsia="Palatino Linotype" w:hAnsi="Palatino Linotype" w:cs="Palatino Linotype"/>
          <w:i/>
          <w:sz w:val="18"/>
          <w:szCs w:val="18"/>
        </w:rPr>
      </w:pPr>
    </w:p>
    <w:p w14:paraId="204E5B4B" w14:textId="77777777" w:rsidR="00D24337" w:rsidRDefault="002F2EC9" w:rsidP="005A44E3">
      <w:pPr>
        <w:widowControl w:val="0"/>
        <w:numPr>
          <w:ilvl w:val="2"/>
          <w:numId w:val="1"/>
        </w:numPr>
        <w:pBdr>
          <w:top w:val="nil"/>
          <w:left w:val="nil"/>
          <w:bottom w:val="nil"/>
          <w:right w:val="nil"/>
          <w:between w:val="nil"/>
        </w:pBdr>
        <w:tabs>
          <w:tab w:val="left" w:pos="1602"/>
        </w:tabs>
        <w:spacing w:after="0" w:line="240" w:lineRule="auto"/>
        <w:ind w:left="1053" w:right="1088"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juezas o jueces, magistradas o magistrados o consejeras o consejeros de la Judicatura del Poder Judicial del Estado o de la Federación;</w:t>
      </w:r>
    </w:p>
    <w:p w14:paraId="791107F6" w14:textId="77777777" w:rsidR="00D24337" w:rsidRDefault="00D24337" w:rsidP="005A44E3">
      <w:pPr>
        <w:spacing w:before="1" w:line="240" w:lineRule="auto"/>
        <w:rPr>
          <w:rFonts w:ascii="Palatino Linotype" w:eastAsia="Palatino Linotype" w:hAnsi="Palatino Linotype" w:cs="Palatino Linotype"/>
          <w:i/>
          <w:sz w:val="21"/>
          <w:szCs w:val="21"/>
        </w:rPr>
      </w:pPr>
    </w:p>
    <w:p w14:paraId="1D6B5FA8" w14:textId="77777777" w:rsidR="00D24337" w:rsidRDefault="002F2EC9" w:rsidP="005A44E3">
      <w:pPr>
        <w:widowControl w:val="0"/>
        <w:numPr>
          <w:ilvl w:val="2"/>
          <w:numId w:val="1"/>
        </w:numPr>
        <w:pBdr>
          <w:top w:val="nil"/>
          <w:left w:val="nil"/>
          <w:bottom w:val="nil"/>
          <w:right w:val="nil"/>
          <w:between w:val="nil"/>
        </w:pBdr>
        <w:tabs>
          <w:tab w:val="left" w:pos="1594"/>
        </w:tabs>
        <w:spacing w:after="0" w:line="240" w:lineRule="auto"/>
        <w:ind w:left="1053" w:right="1097"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servidores públicos federales, estatales o municipales en ejercicio de autoridad;</w:t>
      </w:r>
    </w:p>
    <w:p w14:paraId="3B416A1A" w14:textId="77777777" w:rsidR="00D24337" w:rsidRDefault="00D24337" w:rsidP="005A44E3">
      <w:pPr>
        <w:spacing w:before="1" w:line="240" w:lineRule="auto"/>
        <w:rPr>
          <w:rFonts w:ascii="Palatino Linotype" w:eastAsia="Palatino Linotype" w:hAnsi="Palatino Linotype" w:cs="Palatino Linotype"/>
          <w:i/>
        </w:rPr>
      </w:pPr>
    </w:p>
    <w:p w14:paraId="57903884" w14:textId="77777777" w:rsidR="00D24337" w:rsidRDefault="002F2EC9" w:rsidP="005A44E3">
      <w:pPr>
        <w:widowControl w:val="0"/>
        <w:numPr>
          <w:ilvl w:val="2"/>
          <w:numId w:val="1"/>
        </w:numPr>
        <w:pBdr>
          <w:top w:val="nil"/>
          <w:left w:val="nil"/>
          <w:bottom w:val="nil"/>
          <w:right w:val="nil"/>
          <w:between w:val="nil"/>
        </w:pBdr>
        <w:tabs>
          <w:tab w:val="left" w:pos="1602"/>
        </w:tabs>
        <w:spacing w:after="0" w:line="240" w:lineRule="auto"/>
        <w:ind w:left="1053" w:right="1094"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militares y los miembros de las fuerzas de seguridad pública del Estado y los de los municipios que ejerzan mando en el territorio de la elección; y</w:t>
      </w:r>
    </w:p>
    <w:p w14:paraId="52D50E52" w14:textId="77777777" w:rsidR="00D24337" w:rsidRDefault="002F2EC9" w:rsidP="005A44E3">
      <w:pPr>
        <w:widowControl w:val="0"/>
        <w:numPr>
          <w:ilvl w:val="2"/>
          <w:numId w:val="1"/>
        </w:numPr>
        <w:pBdr>
          <w:top w:val="nil"/>
          <w:left w:val="nil"/>
          <w:bottom w:val="nil"/>
          <w:right w:val="nil"/>
          <w:between w:val="nil"/>
        </w:pBdr>
        <w:tabs>
          <w:tab w:val="left" w:pos="1749"/>
          <w:tab w:val="left" w:pos="1750"/>
        </w:tabs>
        <w:spacing w:after="0" w:line="240" w:lineRule="auto"/>
        <w:ind w:left="1053" w:right="1095"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ministros de cualquier culto, a menos que se separen formal, material y definitivamente de su ministerio, cuando menos cinco años antes del día de la elección.</w:t>
      </w:r>
    </w:p>
    <w:p w14:paraId="52934EFB" w14:textId="77777777" w:rsidR="00D24337" w:rsidRDefault="00D24337" w:rsidP="005A44E3">
      <w:pPr>
        <w:spacing w:before="7" w:line="240" w:lineRule="auto"/>
        <w:rPr>
          <w:rFonts w:ascii="Palatino Linotype" w:eastAsia="Palatino Linotype" w:hAnsi="Palatino Linotype" w:cs="Palatino Linotype"/>
          <w:i/>
          <w:sz w:val="18"/>
          <w:szCs w:val="18"/>
        </w:rPr>
      </w:pPr>
    </w:p>
    <w:p w14:paraId="7849E24D" w14:textId="77777777" w:rsidR="00D24337" w:rsidRDefault="002F2EC9" w:rsidP="005A44E3">
      <w:pPr>
        <w:widowControl w:val="0"/>
        <w:pBdr>
          <w:top w:val="nil"/>
          <w:left w:val="nil"/>
          <w:bottom w:val="nil"/>
          <w:right w:val="nil"/>
          <w:between w:val="nil"/>
        </w:pBdr>
        <w:spacing w:after="0" w:line="240" w:lineRule="auto"/>
        <w:ind w:left="1053" w:right="109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(Sic) (Énfasis añadido)</w:t>
      </w:r>
    </w:p>
    <w:p w14:paraId="457B8C1F" w14:textId="77777777" w:rsidR="00D24337" w:rsidRDefault="00D24337" w:rsidP="005A44E3">
      <w:pPr>
        <w:widowControl w:val="0"/>
        <w:pBdr>
          <w:top w:val="nil"/>
          <w:left w:val="nil"/>
          <w:bottom w:val="nil"/>
          <w:right w:val="nil"/>
          <w:between w:val="nil"/>
        </w:pBdr>
        <w:spacing w:after="0" w:line="240" w:lineRule="auto"/>
        <w:ind w:left="1053" w:right="1092"/>
        <w:jc w:val="both"/>
        <w:rPr>
          <w:rFonts w:ascii="Palatino Linotype" w:eastAsia="Palatino Linotype" w:hAnsi="Palatino Linotype" w:cs="Palatino Linotype"/>
          <w:i/>
          <w:color w:val="000000"/>
        </w:rPr>
      </w:pPr>
    </w:p>
    <w:p w14:paraId="2FBB6DAF" w14:textId="77777777" w:rsidR="00D24337" w:rsidRDefault="002F2EC9" w:rsidP="005A44E3">
      <w:pPr>
        <w:widowControl w:val="0"/>
        <w:pBdr>
          <w:top w:val="nil"/>
          <w:left w:val="nil"/>
          <w:bottom w:val="nil"/>
          <w:right w:val="nil"/>
          <w:between w:val="nil"/>
        </w:pBdr>
        <w:spacing w:after="0" w:line="240" w:lineRule="auto"/>
        <w:ind w:left="1053" w:right="109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igual forma, el Código Electoral del Estado de México señala:</w:t>
      </w:r>
    </w:p>
    <w:p w14:paraId="446BA60B" w14:textId="77777777" w:rsidR="00D24337" w:rsidRDefault="00D24337" w:rsidP="005A44E3">
      <w:pPr>
        <w:spacing w:before="11" w:line="240" w:lineRule="auto"/>
        <w:rPr>
          <w:rFonts w:ascii="Palatino Linotype" w:eastAsia="Palatino Linotype" w:hAnsi="Palatino Linotype" w:cs="Palatino Linotype"/>
          <w:sz w:val="18"/>
          <w:szCs w:val="18"/>
        </w:rPr>
      </w:pPr>
    </w:p>
    <w:p w14:paraId="5F0EAEF2" w14:textId="77777777" w:rsidR="005972D1" w:rsidRDefault="005972D1" w:rsidP="005A44E3">
      <w:pPr>
        <w:spacing w:before="11" w:line="240" w:lineRule="auto"/>
        <w:rPr>
          <w:rFonts w:ascii="Palatino Linotype" w:eastAsia="Palatino Linotype" w:hAnsi="Palatino Linotype" w:cs="Palatino Linotype"/>
          <w:sz w:val="18"/>
          <w:szCs w:val="18"/>
        </w:rPr>
      </w:pPr>
    </w:p>
    <w:p w14:paraId="515A6AE8" w14:textId="77777777" w:rsidR="005972D1" w:rsidRDefault="005972D1" w:rsidP="005A44E3">
      <w:pPr>
        <w:spacing w:before="11" w:line="240" w:lineRule="auto"/>
        <w:rPr>
          <w:rFonts w:ascii="Palatino Linotype" w:eastAsia="Palatino Linotype" w:hAnsi="Palatino Linotype" w:cs="Palatino Linotype"/>
          <w:sz w:val="18"/>
          <w:szCs w:val="18"/>
        </w:rPr>
      </w:pPr>
    </w:p>
    <w:p w14:paraId="14C41CD4" w14:textId="77777777" w:rsidR="005972D1" w:rsidRDefault="005972D1" w:rsidP="005A44E3">
      <w:pPr>
        <w:spacing w:before="11" w:line="240" w:lineRule="auto"/>
        <w:rPr>
          <w:rFonts w:ascii="Palatino Linotype" w:eastAsia="Palatino Linotype" w:hAnsi="Palatino Linotype" w:cs="Palatino Linotype"/>
          <w:sz w:val="18"/>
          <w:szCs w:val="18"/>
        </w:rPr>
      </w:pPr>
    </w:p>
    <w:p w14:paraId="0D8F7507" w14:textId="77777777" w:rsidR="005972D1" w:rsidRDefault="005972D1" w:rsidP="005A44E3">
      <w:pPr>
        <w:spacing w:before="11" w:line="240" w:lineRule="auto"/>
        <w:rPr>
          <w:rFonts w:ascii="Palatino Linotype" w:eastAsia="Palatino Linotype" w:hAnsi="Palatino Linotype" w:cs="Palatino Linotype"/>
          <w:sz w:val="18"/>
          <w:szCs w:val="18"/>
        </w:rPr>
      </w:pPr>
    </w:p>
    <w:p w14:paraId="70CDDB2B" w14:textId="109C438F" w:rsidR="00D24337" w:rsidRDefault="002F2EC9" w:rsidP="005A44E3">
      <w:pPr>
        <w:widowControl w:val="0"/>
        <w:pBdr>
          <w:top w:val="nil"/>
          <w:left w:val="nil"/>
          <w:bottom w:val="nil"/>
          <w:right w:val="nil"/>
          <w:between w:val="nil"/>
        </w:pBdr>
        <w:spacing w:after="0" w:line="240" w:lineRule="auto"/>
        <w:ind w:left="1053" w:right="109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14:paraId="245E0565" w14:textId="77777777" w:rsidR="00D24337" w:rsidRDefault="00D24337">
      <w:pPr>
        <w:spacing w:before="6"/>
        <w:rPr>
          <w:i/>
          <w:sz w:val="18"/>
          <w:szCs w:val="18"/>
        </w:rPr>
      </w:pPr>
    </w:p>
    <w:p w14:paraId="4601C86F" w14:textId="77777777" w:rsidR="00D24337" w:rsidRDefault="002F2EC9" w:rsidP="005A44E3">
      <w:pPr>
        <w:widowControl w:val="0"/>
        <w:pBdr>
          <w:top w:val="nil"/>
          <w:left w:val="nil"/>
          <w:bottom w:val="nil"/>
          <w:right w:val="nil"/>
          <w:between w:val="nil"/>
        </w:pBdr>
        <w:spacing w:before="1" w:after="0" w:line="240" w:lineRule="auto"/>
        <w:ind w:left="934" w:right="109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17. Además de los requisitos señalados en el artículo anterior, las ciudadanas y los ciudadanos que aspiren a las candidaturas a Gobernadora o Gobernador, Diputada, Diputado o integrante de los ayuntamientos deberán satisfacer lo siguiente:</w:t>
      </w:r>
    </w:p>
    <w:p w14:paraId="4D7334DF" w14:textId="77777777" w:rsidR="00D24337" w:rsidRDefault="00D24337" w:rsidP="005A44E3">
      <w:pPr>
        <w:widowControl w:val="0"/>
        <w:pBdr>
          <w:top w:val="nil"/>
          <w:left w:val="nil"/>
          <w:bottom w:val="nil"/>
          <w:right w:val="nil"/>
          <w:between w:val="nil"/>
        </w:pBdr>
        <w:spacing w:before="1" w:after="0" w:line="240" w:lineRule="auto"/>
        <w:ind w:left="934" w:right="1095"/>
        <w:jc w:val="both"/>
        <w:rPr>
          <w:rFonts w:ascii="Palatino Linotype" w:eastAsia="Palatino Linotype" w:hAnsi="Palatino Linotype" w:cs="Palatino Linotype"/>
          <w:i/>
          <w:color w:val="000000"/>
        </w:rPr>
      </w:pPr>
    </w:p>
    <w:p w14:paraId="57C03417" w14:textId="77777777" w:rsidR="00D24337" w:rsidRDefault="002F2EC9" w:rsidP="005A44E3">
      <w:pPr>
        <w:widowControl w:val="0"/>
        <w:numPr>
          <w:ilvl w:val="0"/>
          <w:numId w:val="2"/>
        </w:numPr>
        <w:pBdr>
          <w:top w:val="nil"/>
          <w:left w:val="nil"/>
          <w:bottom w:val="nil"/>
          <w:right w:val="nil"/>
          <w:between w:val="nil"/>
        </w:pBdr>
        <w:tabs>
          <w:tab w:val="left" w:pos="993"/>
        </w:tabs>
        <w:spacing w:after="0" w:line="240" w:lineRule="auto"/>
        <w:ind w:left="851" w:right="1096" w:firstLine="14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Estar inscrito en el padrón electoral correspondiente, la lista nominal y contar con credencial para votar vigente.</w:t>
      </w:r>
    </w:p>
    <w:p w14:paraId="039B3179" w14:textId="77777777" w:rsidR="00D24337" w:rsidRDefault="002F2EC9" w:rsidP="005A44E3">
      <w:pPr>
        <w:widowControl w:val="0"/>
        <w:numPr>
          <w:ilvl w:val="0"/>
          <w:numId w:val="2"/>
        </w:numPr>
        <w:pBdr>
          <w:top w:val="nil"/>
          <w:left w:val="nil"/>
          <w:bottom w:val="nil"/>
          <w:right w:val="nil"/>
          <w:between w:val="nil"/>
        </w:pBdr>
        <w:tabs>
          <w:tab w:val="left" w:pos="993"/>
        </w:tabs>
        <w:spacing w:after="0" w:line="240" w:lineRule="auto"/>
        <w:ind w:left="851" w:right="1102" w:firstLine="1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No ser magistrada o magistrado del Tribunal Superior de Justicia o del Tribunal Electoral o funcionario de este, salvo que se separe del cargo dos años antes de la fecha de inicio del proceso electoral de que se trate.</w:t>
      </w:r>
    </w:p>
    <w:p w14:paraId="73C59DA2" w14:textId="77777777" w:rsidR="00D24337" w:rsidRDefault="00D24337" w:rsidP="005A44E3">
      <w:pPr>
        <w:tabs>
          <w:tab w:val="left" w:pos="993"/>
        </w:tabs>
        <w:spacing w:before="6" w:line="240" w:lineRule="auto"/>
        <w:ind w:left="851" w:firstLine="142"/>
        <w:rPr>
          <w:i/>
          <w:sz w:val="18"/>
          <w:szCs w:val="18"/>
        </w:rPr>
      </w:pPr>
    </w:p>
    <w:p w14:paraId="7F3D5645" w14:textId="77777777" w:rsidR="00D24337" w:rsidRDefault="002F2EC9" w:rsidP="005A44E3">
      <w:pPr>
        <w:widowControl w:val="0"/>
        <w:numPr>
          <w:ilvl w:val="0"/>
          <w:numId w:val="2"/>
        </w:numPr>
        <w:pBdr>
          <w:top w:val="nil"/>
          <w:left w:val="nil"/>
          <w:bottom w:val="nil"/>
          <w:right w:val="nil"/>
          <w:between w:val="nil"/>
        </w:pBdr>
        <w:tabs>
          <w:tab w:val="left" w:pos="993"/>
        </w:tabs>
        <w:spacing w:before="1" w:after="0" w:line="240" w:lineRule="auto"/>
        <w:ind w:left="851" w:right="1095" w:firstLine="1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No formar parte del servicio profesional electoral del Instituto, salvo que se separe del cargo dos años antes de la fecha de inicio del proceso electoral de que se trate.</w:t>
      </w:r>
    </w:p>
    <w:p w14:paraId="6F23902C" w14:textId="77777777" w:rsidR="00D24337" w:rsidRDefault="00D24337" w:rsidP="005A44E3">
      <w:pPr>
        <w:tabs>
          <w:tab w:val="left" w:pos="993"/>
        </w:tabs>
        <w:spacing w:before="7" w:line="240" w:lineRule="auto"/>
        <w:ind w:left="851" w:firstLine="142"/>
        <w:rPr>
          <w:i/>
          <w:sz w:val="18"/>
          <w:szCs w:val="18"/>
        </w:rPr>
      </w:pPr>
    </w:p>
    <w:p w14:paraId="425ED29C" w14:textId="77777777" w:rsidR="00D24337" w:rsidRDefault="002F2EC9" w:rsidP="005A44E3">
      <w:pPr>
        <w:widowControl w:val="0"/>
        <w:numPr>
          <w:ilvl w:val="0"/>
          <w:numId w:val="2"/>
        </w:numPr>
        <w:pBdr>
          <w:top w:val="nil"/>
          <w:left w:val="nil"/>
          <w:bottom w:val="nil"/>
          <w:right w:val="nil"/>
          <w:between w:val="nil"/>
        </w:pBdr>
        <w:tabs>
          <w:tab w:val="left" w:pos="993"/>
        </w:tabs>
        <w:spacing w:after="0" w:line="240" w:lineRule="auto"/>
        <w:ind w:left="851" w:right="1098" w:firstLine="14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consejera o consejero electoral en el consejo general, del Instituto ni secretario ejecutivo, salvo que se separe del cargo dos años antes de la fecha de inicio del proceso electoral de que se trate.</w:t>
      </w:r>
    </w:p>
    <w:p w14:paraId="4AC2706E" w14:textId="77777777" w:rsidR="00D24337" w:rsidRDefault="00D24337" w:rsidP="005A44E3">
      <w:pPr>
        <w:widowControl w:val="0"/>
        <w:tabs>
          <w:tab w:val="left" w:pos="993"/>
        </w:tabs>
        <w:spacing w:line="240" w:lineRule="auto"/>
        <w:ind w:right="1098"/>
        <w:rPr>
          <w:rFonts w:ascii="Palatino Linotype" w:eastAsia="Palatino Linotype" w:hAnsi="Palatino Linotype" w:cs="Palatino Linotype"/>
          <w:i/>
        </w:rPr>
      </w:pPr>
    </w:p>
    <w:p w14:paraId="206009EC" w14:textId="77777777" w:rsidR="00D24337" w:rsidRDefault="002F2EC9" w:rsidP="005A44E3">
      <w:pPr>
        <w:widowControl w:val="0"/>
        <w:numPr>
          <w:ilvl w:val="0"/>
          <w:numId w:val="2"/>
        </w:numPr>
        <w:pBdr>
          <w:top w:val="nil"/>
          <w:left w:val="nil"/>
          <w:bottom w:val="nil"/>
          <w:right w:val="nil"/>
          <w:between w:val="nil"/>
        </w:pBdr>
        <w:tabs>
          <w:tab w:val="left" w:pos="851"/>
        </w:tabs>
        <w:spacing w:after="0" w:line="240" w:lineRule="auto"/>
        <w:ind w:left="934" w:right="1096"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consejera o consejero electoral en los consejos distritales o municipales del Instituto ni director del mismo, salvo que se haya separado del cargo dos años antes de la fecha de inicio del proceso electoral de que se trate.</w:t>
      </w:r>
    </w:p>
    <w:p w14:paraId="1F697409" w14:textId="77777777" w:rsidR="00D24337" w:rsidRDefault="00D24337" w:rsidP="005A44E3">
      <w:pPr>
        <w:tabs>
          <w:tab w:val="left" w:pos="851"/>
        </w:tabs>
        <w:spacing w:before="6" w:line="240" w:lineRule="auto"/>
        <w:rPr>
          <w:rFonts w:ascii="Palatino Linotype" w:eastAsia="Palatino Linotype" w:hAnsi="Palatino Linotype" w:cs="Palatino Linotype"/>
          <w:i/>
          <w:sz w:val="18"/>
          <w:szCs w:val="18"/>
        </w:rPr>
      </w:pPr>
    </w:p>
    <w:p w14:paraId="2B9533D2" w14:textId="77777777" w:rsidR="00D24337" w:rsidRDefault="002F2EC9" w:rsidP="005A44E3">
      <w:pPr>
        <w:widowControl w:val="0"/>
        <w:numPr>
          <w:ilvl w:val="0"/>
          <w:numId w:val="2"/>
        </w:numPr>
        <w:pBdr>
          <w:top w:val="nil"/>
          <w:left w:val="nil"/>
          <w:bottom w:val="nil"/>
          <w:right w:val="nil"/>
          <w:between w:val="nil"/>
        </w:pBdr>
        <w:tabs>
          <w:tab w:val="left" w:pos="851"/>
          <w:tab w:val="left" w:pos="1604"/>
          <w:tab w:val="left" w:pos="1605"/>
        </w:tabs>
        <w:spacing w:before="1" w:after="0" w:line="240" w:lineRule="auto"/>
        <w:ind w:left="934" w:right="1095" w:hanging="274"/>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integrante del órgano de dirección de los organismos a los que la Constitución Local otorga autonomía, salvo que se separe del cargo dos años antes de la fecha de inicio del proceso electoral de que se trate;</w:t>
      </w:r>
    </w:p>
    <w:p w14:paraId="15F1BBC2" w14:textId="77777777" w:rsidR="00D24337" w:rsidRDefault="00D24337" w:rsidP="005A44E3">
      <w:pPr>
        <w:spacing w:before="12" w:line="240" w:lineRule="auto"/>
        <w:rPr>
          <w:rFonts w:ascii="Palatino Linotype" w:eastAsia="Palatino Linotype" w:hAnsi="Palatino Linotype" w:cs="Palatino Linotype"/>
          <w:b/>
          <w:sz w:val="14"/>
          <w:szCs w:val="14"/>
        </w:rPr>
      </w:pPr>
    </w:p>
    <w:p w14:paraId="75BCCB5A" w14:textId="77777777" w:rsidR="00D24337" w:rsidRDefault="002F2EC9" w:rsidP="005A44E3">
      <w:pPr>
        <w:widowControl w:val="0"/>
        <w:numPr>
          <w:ilvl w:val="0"/>
          <w:numId w:val="2"/>
        </w:numPr>
        <w:pBdr>
          <w:top w:val="nil"/>
          <w:left w:val="nil"/>
          <w:bottom w:val="nil"/>
          <w:right w:val="nil"/>
          <w:between w:val="nil"/>
        </w:pBdr>
        <w:tabs>
          <w:tab w:val="left" w:pos="1585"/>
          <w:tab w:val="left" w:pos="1586"/>
        </w:tabs>
        <w:spacing w:before="31" w:after="0" w:line="240" w:lineRule="auto"/>
        <w:ind w:left="934" w:right="1090" w:hanging="34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lastRenderedPageBreak/>
        <w:t>No ser secretaria, secretario o subsecretaria o subsecretario de Estado, ni titular de los organismos públicos desconcentrados o descentralizados de la administración pública estatal, a menos que se separen noventa días antes de la elección, y</w:t>
      </w:r>
    </w:p>
    <w:p w14:paraId="66D23FA4" w14:textId="77777777" w:rsidR="00D24337" w:rsidRDefault="00D24337" w:rsidP="005A44E3">
      <w:pPr>
        <w:spacing w:before="1" w:line="240" w:lineRule="auto"/>
        <w:rPr>
          <w:rFonts w:ascii="Palatino Linotype" w:eastAsia="Palatino Linotype" w:hAnsi="Palatino Linotype" w:cs="Palatino Linotype"/>
          <w:i/>
        </w:rPr>
      </w:pPr>
    </w:p>
    <w:p w14:paraId="2AE071D6" w14:textId="77777777" w:rsidR="00D24337" w:rsidRDefault="002F2EC9" w:rsidP="005A44E3">
      <w:pPr>
        <w:widowControl w:val="0"/>
        <w:numPr>
          <w:ilvl w:val="0"/>
          <w:numId w:val="2"/>
        </w:numPr>
        <w:pBdr>
          <w:top w:val="nil"/>
          <w:left w:val="nil"/>
          <w:bottom w:val="nil"/>
          <w:right w:val="nil"/>
          <w:between w:val="nil"/>
        </w:pBdr>
        <w:tabs>
          <w:tab w:val="left" w:pos="1066"/>
        </w:tabs>
        <w:spacing w:after="0" w:line="240" w:lineRule="auto"/>
        <w:ind w:left="1065" w:hanging="478"/>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Ser electo o designado candidata o candidato, de conformidad con los</w:t>
      </w:r>
    </w:p>
    <w:p w14:paraId="7F7BF0DC" w14:textId="77777777" w:rsidR="00D24337" w:rsidRDefault="002F2EC9" w:rsidP="005A44E3">
      <w:pPr>
        <w:widowControl w:val="0"/>
        <w:pBdr>
          <w:top w:val="nil"/>
          <w:left w:val="nil"/>
          <w:bottom w:val="nil"/>
          <w:right w:val="nil"/>
          <w:between w:val="nil"/>
        </w:pBdr>
        <w:spacing w:after="0" w:line="240" w:lineRule="auto"/>
        <w:ind w:left="1053"/>
        <w:rPr>
          <w:rFonts w:ascii="Palatino Linotype" w:eastAsia="Palatino Linotype" w:hAnsi="Palatino Linotype" w:cs="Palatino Linotype"/>
          <w:i/>
          <w:color w:val="000000"/>
        </w:rPr>
      </w:pPr>
      <w:proofErr w:type="gramStart"/>
      <w:r>
        <w:rPr>
          <w:rFonts w:ascii="Palatino Linotype" w:eastAsia="Palatino Linotype" w:hAnsi="Palatino Linotype" w:cs="Palatino Linotype"/>
          <w:i/>
          <w:color w:val="000000"/>
        </w:rPr>
        <w:t>procedimientos</w:t>
      </w:r>
      <w:proofErr w:type="gramEnd"/>
      <w:r>
        <w:rPr>
          <w:rFonts w:ascii="Palatino Linotype" w:eastAsia="Palatino Linotype" w:hAnsi="Palatino Linotype" w:cs="Palatino Linotype"/>
          <w:i/>
          <w:color w:val="000000"/>
        </w:rPr>
        <w:t xml:space="preserve"> democráticos internos del partido político que lo postule”</w:t>
      </w:r>
    </w:p>
    <w:p w14:paraId="53894B48" w14:textId="77777777" w:rsidR="005972D1" w:rsidRDefault="005972D1">
      <w:pPr>
        <w:spacing w:before="160" w:after="0" w:line="360" w:lineRule="auto"/>
        <w:ind w:left="101" w:right="184"/>
        <w:jc w:val="both"/>
        <w:rPr>
          <w:i/>
        </w:rPr>
      </w:pPr>
    </w:p>
    <w:p w14:paraId="76872032" w14:textId="3D72CE85" w:rsidR="00D24337" w:rsidRDefault="002F2EC9">
      <w:pPr>
        <w:spacing w:before="160" w:after="0" w:line="360" w:lineRule="auto"/>
        <w:ind w:left="101" w:right="1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color w:val="000000"/>
          <w:sz w:val="24"/>
          <w:szCs w:val="24"/>
        </w:rPr>
        <w:t>deberán presentarse los ciudadanos que en términos de ley resultaron electos para rendir protesta y ocupar los cargos de presidente municipal, síndico o síndicos y regidores</w:t>
      </w:r>
      <w:r>
        <w:rPr>
          <w:rFonts w:ascii="Palatino Linotype" w:eastAsia="Palatino Linotype" w:hAnsi="Palatino Linotype" w:cs="Palatino Linotype"/>
          <w:color w:val="000000"/>
          <w:sz w:val="24"/>
          <w:szCs w:val="24"/>
        </w:rPr>
        <w:t xml:space="preserve">, sin que dicho plazo exceda el mes de diciembre del último año de la gestión del ayuntamiento saliente, </w:t>
      </w:r>
      <w:r>
        <w:rPr>
          <w:rFonts w:ascii="Palatino Linotype" w:eastAsia="Palatino Linotype" w:hAnsi="Palatino Linotype" w:cs="Palatino Linotype"/>
          <w:b/>
          <w:color w:val="000000"/>
          <w:sz w:val="24"/>
          <w:szCs w:val="24"/>
        </w:rPr>
        <w:t>dicha reunión tendrá por objeto que los miembros del ayuntamiento entrante, rindan la protesta en términos de lo dispuesto por el artículo 144 de la Constitución Política del Estado Libre y Soberano de México</w:t>
      </w:r>
      <w:r>
        <w:rPr>
          <w:rFonts w:ascii="Palatino Linotype" w:eastAsia="Palatino Linotype" w:hAnsi="Palatino Linotype" w:cs="Palatino Linotype"/>
          <w:color w:val="000000"/>
          <w:sz w:val="24"/>
          <w:szCs w:val="24"/>
        </w:rPr>
        <w:t>, por lo que el presidente municipal electo para el período siguiente lo hará ante el representante designado por el Ejecutivo del Estado y a su vez, hará de inmediato lo propio con los demás miembros del ayuntamiento electo.</w:t>
      </w:r>
    </w:p>
    <w:p w14:paraId="38EB197F" w14:textId="77777777" w:rsidR="00D24337" w:rsidRDefault="00D24337">
      <w:pPr>
        <w:spacing w:after="0" w:line="360" w:lineRule="auto"/>
        <w:rPr>
          <w:rFonts w:ascii="Palatino Linotype" w:eastAsia="Palatino Linotype" w:hAnsi="Palatino Linotype" w:cs="Palatino Linotype"/>
          <w:color w:val="000000"/>
          <w:sz w:val="24"/>
          <w:szCs w:val="24"/>
        </w:rPr>
      </w:pPr>
    </w:p>
    <w:p w14:paraId="2E3DF661" w14:textId="77777777" w:rsidR="00D24337" w:rsidRDefault="002F2EC9">
      <w:pPr>
        <w:spacing w:after="0" w:line="360" w:lineRule="auto"/>
        <w:ind w:left="102" w:right="181"/>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De tal suerte que la Constitución y la Ley Orgánica Municipal consideran al presidente municipal y demás integrantes del ayuntamiento como servidores que ostentan un cargo de elección popular, por lo tanto, se reitera que </w:t>
      </w:r>
      <w:r>
        <w:rPr>
          <w:rFonts w:ascii="Palatino Linotype" w:eastAsia="Palatino Linotype" w:hAnsi="Palatino Linotype" w:cs="Palatino Linotype"/>
          <w:b/>
          <w:color w:val="000000"/>
          <w:sz w:val="24"/>
          <w:szCs w:val="24"/>
        </w:rPr>
        <w:t xml:space="preserve">no se encuentran </w:t>
      </w:r>
      <w:r>
        <w:rPr>
          <w:rFonts w:ascii="Palatino Linotype" w:eastAsia="Palatino Linotype" w:hAnsi="Palatino Linotype" w:cs="Palatino Linotype"/>
          <w:b/>
          <w:sz w:val="24"/>
          <w:szCs w:val="24"/>
        </w:rPr>
        <w:t xml:space="preserve">constreñidos a entregar los documentos solicitados por el particular, </w:t>
      </w:r>
      <w:r>
        <w:rPr>
          <w:rFonts w:ascii="Palatino Linotype" w:eastAsia="Palatino Linotype" w:hAnsi="Palatino Linotype" w:cs="Palatino Linotype"/>
          <w:sz w:val="24"/>
          <w:szCs w:val="24"/>
        </w:rPr>
        <w:t>toda vez que por la naturaleza de su designación, estaríamos ante una excepción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lo que no es posible entregar la información solicitada, en virtud </w:t>
      </w:r>
      <w:r>
        <w:rPr>
          <w:rFonts w:ascii="Palatino Linotype" w:eastAsia="Palatino Linotype" w:hAnsi="Palatino Linotype" w:cs="Palatino Linotype"/>
          <w:sz w:val="24"/>
          <w:szCs w:val="24"/>
        </w:rPr>
        <w:lastRenderedPageBreak/>
        <w:t>de que como se analizó en líneas anteriores, no se encuentran obligados a generarla, poseerla o administrarla.</w:t>
      </w:r>
    </w:p>
    <w:p w14:paraId="683700AF" w14:textId="77777777" w:rsidR="005A44E3" w:rsidRDefault="005A44E3">
      <w:pPr>
        <w:spacing w:after="0" w:line="360" w:lineRule="auto"/>
        <w:ind w:left="102" w:right="181"/>
        <w:jc w:val="both"/>
        <w:rPr>
          <w:rFonts w:ascii="Palatino Linotype" w:eastAsia="Palatino Linotype" w:hAnsi="Palatino Linotype" w:cs="Palatino Linotype"/>
          <w:sz w:val="24"/>
          <w:szCs w:val="24"/>
        </w:rPr>
      </w:pPr>
    </w:p>
    <w:p w14:paraId="1824BA0A" w14:textId="3E3A9370" w:rsidR="00D24337" w:rsidRDefault="002F2EC9">
      <w:pPr>
        <w:spacing w:after="0" w:line="360" w:lineRule="auto"/>
        <w:ind w:left="102" w:right="18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14:paraId="5401DCDC" w14:textId="77777777" w:rsidR="00D24337" w:rsidRDefault="00D24337">
      <w:pPr>
        <w:spacing w:line="276" w:lineRule="auto"/>
        <w:rPr>
          <w:sz w:val="28"/>
          <w:szCs w:val="28"/>
        </w:rPr>
      </w:pPr>
    </w:p>
    <w:p w14:paraId="6682CBD8" w14:textId="77777777" w:rsidR="00D24337" w:rsidRDefault="002F2EC9" w:rsidP="005A44E3">
      <w:pPr>
        <w:widowControl w:val="0"/>
        <w:pBdr>
          <w:top w:val="nil"/>
          <w:left w:val="nil"/>
          <w:bottom w:val="nil"/>
          <w:right w:val="nil"/>
          <w:between w:val="nil"/>
        </w:pBdr>
        <w:spacing w:after="0" w:line="240" w:lineRule="auto"/>
        <w:ind w:left="1053" w:right="109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No existe obligación de elaborar documentos ad hoc para atender las solicitudes de acceso a la información. </w:t>
      </w:r>
      <w:r>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2D31B33" w14:textId="77777777" w:rsidR="00D24337" w:rsidRDefault="002F2EC9" w:rsidP="005A44E3">
      <w:pPr>
        <w:pStyle w:val="Ttulo4"/>
        <w:spacing w:before="31" w:line="240" w:lineRule="auto"/>
        <w:ind w:left="1053"/>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Resoluciones:</w:t>
      </w:r>
    </w:p>
    <w:p w14:paraId="37C7456D" w14:textId="77777777" w:rsidR="00D24337" w:rsidRDefault="002F2EC9" w:rsidP="005A44E3">
      <w:pPr>
        <w:widowControl w:val="0"/>
        <w:pBdr>
          <w:top w:val="nil"/>
          <w:left w:val="nil"/>
          <w:bottom w:val="nil"/>
          <w:right w:val="nil"/>
          <w:between w:val="nil"/>
        </w:pBdr>
        <w:spacing w:before="152" w:after="0" w:line="240" w:lineRule="auto"/>
        <w:ind w:left="1053" w:right="109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0050/16. </w:t>
      </w:r>
      <w:r>
        <w:rPr>
          <w:rFonts w:ascii="Palatino Linotype" w:eastAsia="Palatino Linotype" w:hAnsi="Palatino Linotype" w:cs="Palatino Linotype"/>
          <w:i/>
          <w:color w:val="000000"/>
        </w:rPr>
        <w:t>Instituto Nacional para la Evaluación de la Educación. 13 julio de 2016. Por unanimidad. Comisionado Ponente: Francisco Javier Acuña Llamas.</w:t>
      </w:r>
    </w:p>
    <w:p w14:paraId="72BF2E87" w14:textId="77777777" w:rsidR="00D24337" w:rsidRDefault="002F2EC9" w:rsidP="005A44E3">
      <w:pPr>
        <w:widowControl w:val="0"/>
        <w:pBdr>
          <w:top w:val="nil"/>
          <w:left w:val="nil"/>
          <w:bottom w:val="nil"/>
          <w:right w:val="nil"/>
          <w:between w:val="nil"/>
        </w:pBdr>
        <w:spacing w:before="2" w:after="0" w:line="240" w:lineRule="auto"/>
        <w:ind w:left="1053" w:right="108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0310/16. </w:t>
      </w:r>
      <w:r>
        <w:rPr>
          <w:rFonts w:ascii="Palatino Linotype" w:eastAsia="Palatino Linotype" w:hAnsi="Palatino Linotype" w:cs="Palatino Linotype"/>
          <w:i/>
          <w:color w:val="000000"/>
        </w:rPr>
        <w:t>Instituto Nacional de Transparencia, Acceso a la Información y Protección de Datos Personales. 10 de agosto de 2016. Por unanimidad. Comisionada Ponente. Areli Cano Guadiana.</w:t>
      </w:r>
    </w:p>
    <w:p w14:paraId="2B68D945" w14:textId="77777777" w:rsidR="00D24337" w:rsidRDefault="002F2EC9" w:rsidP="005A44E3">
      <w:pPr>
        <w:widowControl w:val="0"/>
        <w:pBdr>
          <w:top w:val="nil"/>
          <w:left w:val="nil"/>
          <w:bottom w:val="nil"/>
          <w:right w:val="nil"/>
          <w:between w:val="nil"/>
        </w:pBdr>
        <w:spacing w:after="0" w:line="240" w:lineRule="auto"/>
        <w:ind w:left="1053" w:right="155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1889/16. </w:t>
      </w:r>
      <w:r>
        <w:rPr>
          <w:rFonts w:ascii="Palatino Linotype" w:eastAsia="Palatino Linotype" w:hAnsi="Palatino Linotype" w:cs="Palatino Linotype"/>
          <w:i/>
          <w:color w:val="000000"/>
        </w:rPr>
        <w:t xml:space="preserve">Secretaría de Hacienda y Crédito Público. 05 de octubre de 2016. Por unanimidad. Comisionada Ponente. Ximena Puente de la Mora. </w:t>
      </w:r>
    </w:p>
    <w:p w14:paraId="7063F904" w14:textId="77777777" w:rsidR="00D24337" w:rsidRDefault="00D24337">
      <w:pPr>
        <w:widowControl w:val="0"/>
        <w:pBdr>
          <w:top w:val="nil"/>
          <w:left w:val="nil"/>
          <w:bottom w:val="nil"/>
          <w:right w:val="nil"/>
          <w:between w:val="nil"/>
        </w:pBdr>
        <w:spacing w:after="0" w:line="240" w:lineRule="auto"/>
        <w:ind w:right="1559"/>
        <w:jc w:val="both"/>
        <w:rPr>
          <w:rFonts w:ascii="Palatino Linotype" w:eastAsia="Palatino Linotype" w:hAnsi="Palatino Linotype" w:cs="Palatino Linotype"/>
          <w:b/>
          <w:i/>
          <w:color w:val="000000"/>
        </w:rPr>
      </w:pPr>
    </w:p>
    <w:p w14:paraId="4654FD32" w14:textId="07C9EB50" w:rsidR="00D24337" w:rsidRDefault="00D24337">
      <w:pPr>
        <w:widowControl w:val="0"/>
        <w:pBdr>
          <w:top w:val="nil"/>
          <w:left w:val="nil"/>
          <w:bottom w:val="nil"/>
          <w:right w:val="nil"/>
          <w:between w:val="nil"/>
        </w:pBdr>
        <w:tabs>
          <w:tab w:val="left" w:pos="7230"/>
        </w:tabs>
        <w:spacing w:after="0" w:line="240" w:lineRule="auto"/>
        <w:ind w:right="1559"/>
        <w:jc w:val="both"/>
        <w:rPr>
          <w:rFonts w:ascii="Palatino Linotype" w:eastAsia="Palatino Linotype" w:hAnsi="Palatino Linotype" w:cs="Palatino Linotype"/>
          <w:i/>
          <w:color w:val="000000"/>
          <w:sz w:val="24"/>
          <w:szCs w:val="24"/>
        </w:rPr>
      </w:pPr>
    </w:p>
    <w:p w14:paraId="458252FC" w14:textId="6102F5D2" w:rsidR="00D24337" w:rsidRDefault="002F2EC9">
      <w:pPr>
        <w:spacing w:after="0" w:line="360" w:lineRule="auto"/>
        <w:ind w:left="142" w:right="19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anterior, se estima que el currículo, ficha curricular o documento análogo de los </w:t>
      </w:r>
      <w:r w:rsidR="005972D1">
        <w:rPr>
          <w:rFonts w:ascii="Palatino Linotype" w:eastAsia="Palatino Linotype" w:hAnsi="Palatino Linotype" w:cs="Palatino Linotype"/>
          <w:color w:val="000000"/>
          <w:sz w:val="24"/>
          <w:szCs w:val="24"/>
        </w:rPr>
        <w:t>integrantes</w:t>
      </w:r>
      <w:r>
        <w:rPr>
          <w:rFonts w:ascii="Palatino Linotype" w:eastAsia="Palatino Linotype" w:hAnsi="Palatino Linotype" w:cs="Palatino Linotype"/>
          <w:color w:val="000000"/>
          <w:sz w:val="24"/>
          <w:szCs w:val="24"/>
        </w:rPr>
        <w:t xml:space="preserve"> del Ayuntam</w:t>
      </w:r>
      <w:r>
        <w:rPr>
          <w:rFonts w:ascii="Palatino Linotype" w:eastAsia="Palatino Linotype" w:hAnsi="Palatino Linotype" w:cs="Palatino Linotype"/>
          <w:sz w:val="24"/>
          <w:szCs w:val="24"/>
        </w:rPr>
        <w:t>iento del Sujeto Obligado</w:t>
      </w:r>
      <w:r>
        <w:rPr>
          <w:rFonts w:ascii="Palatino Linotype" w:eastAsia="Palatino Linotype" w:hAnsi="Palatino Linotype" w:cs="Palatino Linotype"/>
          <w:color w:val="000000"/>
          <w:sz w:val="24"/>
          <w:szCs w:val="24"/>
        </w:rPr>
        <w:t xml:space="preserve"> en caso de que no se llegará a localizar información por no haberse generado, se debió considerar incorporar una salvedad simple en donde se hiciera del conocimiento de la persona solicitante en términos del artículo 19, párrafo segundo de la Ley de Transparencia y Acceso a la información Pública del Estado de México y Municipios.</w:t>
      </w:r>
    </w:p>
    <w:p w14:paraId="33B675FF" w14:textId="77777777" w:rsidR="00D24337" w:rsidRDefault="00D24337">
      <w:pPr>
        <w:spacing w:after="0" w:line="360" w:lineRule="auto"/>
        <w:ind w:left="142" w:right="198"/>
        <w:jc w:val="both"/>
        <w:rPr>
          <w:rFonts w:ascii="Palatino Linotype" w:eastAsia="Palatino Linotype" w:hAnsi="Palatino Linotype" w:cs="Palatino Linotype"/>
          <w:color w:val="000000"/>
          <w:sz w:val="24"/>
          <w:szCs w:val="24"/>
        </w:rPr>
      </w:pPr>
    </w:p>
    <w:p w14:paraId="79D9996A" w14:textId="77777777" w:rsidR="00D24337" w:rsidRDefault="002F2EC9">
      <w:pPr>
        <w:spacing w:after="0" w:line="360" w:lineRule="auto"/>
        <w:ind w:left="101" w:right="19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por todo lo vertido en líneas argumentativas anteriores que las suscritas no comparten de forma parcial el sentido de la resolución que fue adoptado por el criterio mayoritario emitido en la Cuadragésima Segunda Sesión del año dos mil veintidós del Pleno de este Instituto, y por ende, se formula  el presente voto particular.</w:t>
      </w:r>
    </w:p>
    <w:p w14:paraId="2BDF7949" w14:textId="70BE517B" w:rsidR="00D24337" w:rsidRDefault="00D24337">
      <w:pPr>
        <w:spacing w:after="0" w:line="360" w:lineRule="auto"/>
        <w:ind w:left="142" w:right="198"/>
        <w:jc w:val="both"/>
        <w:rPr>
          <w:rFonts w:ascii="Palatino Linotype" w:eastAsia="Palatino Linotype" w:hAnsi="Palatino Linotype" w:cs="Palatino Linotype"/>
          <w:color w:val="000000"/>
          <w:sz w:val="24"/>
          <w:szCs w:val="24"/>
        </w:rPr>
      </w:pPr>
    </w:p>
    <w:p w14:paraId="5048CD6D" w14:textId="13FD9E40"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tbl>
      <w:tblPr>
        <w:tblW w:w="8655" w:type="dxa"/>
        <w:jc w:val="center"/>
        <w:tblLayout w:type="fixed"/>
        <w:tblLook w:val="04A0" w:firstRow="1" w:lastRow="0" w:firstColumn="1" w:lastColumn="0" w:noHBand="0" w:noVBand="1"/>
      </w:tblPr>
      <w:tblGrid>
        <w:gridCol w:w="4688"/>
        <w:gridCol w:w="3967"/>
      </w:tblGrid>
      <w:tr w:rsidR="005A44E3" w14:paraId="6B840364" w14:textId="77777777" w:rsidTr="005A44E3">
        <w:trPr>
          <w:jc w:val="center"/>
        </w:trPr>
        <w:tc>
          <w:tcPr>
            <w:tcW w:w="4684" w:type="dxa"/>
          </w:tcPr>
          <w:p w14:paraId="52E43D5E" w14:textId="77777777" w:rsidR="005A44E3" w:rsidRDefault="005A44E3">
            <w:pPr>
              <w:jc w:val="center"/>
              <w:rPr>
                <w:rFonts w:ascii="Palatino Linotype" w:hAnsi="Palatino Linotype"/>
                <w:b/>
              </w:rPr>
            </w:pPr>
          </w:p>
          <w:p w14:paraId="4CCB3CE7" w14:textId="77777777" w:rsidR="005972D1" w:rsidRDefault="005972D1" w:rsidP="005972D1">
            <w:pPr>
              <w:jc w:val="center"/>
              <w:rPr>
                <w:rFonts w:ascii="Palatino Linotype" w:hAnsi="Palatino Linotype"/>
                <w:b/>
              </w:rPr>
            </w:pPr>
            <w:r>
              <w:rPr>
                <w:rFonts w:ascii="Palatino Linotype" w:hAnsi="Palatino Linotype"/>
                <w:b/>
              </w:rPr>
              <w:t>GUADALUPE RAMÍREZ PEÑA</w:t>
            </w:r>
          </w:p>
          <w:p w14:paraId="33221075" w14:textId="1E4ADC7D" w:rsidR="005A44E3" w:rsidRDefault="005972D1" w:rsidP="005972D1">
            <w:pPr>
              <w:jc w:val="center"/>
              <w:rPr>
                <w:rFonts w:ascii="Palatino Linotype" w:hAnsi="Palatino Linotype"/>
                <w:b/>
              </w:rPr>
            </w:pPr>
            <w:r>
              <w:rPr>
                <w:rFonts w:ascii="Palatino Linotype" w:hAnsi="Palatino Linotype"/>
                <w:b/>
              </w:rPr>
              <w:t xml:space="preserve">COMISIONADA </w:t>
            </w:r>
          </w:p>
        </w:tc>
        <w:tc>
          <w:tcPr>
            <w:tcW w:w="3964" w:type="dxa"/>
          </w:tcPr>
          <w:p w14:paraId="3CDE193E" w14:textId="77777777" w:rsidR="005A44E3" w:rsidRDefault="005A44E3">
            <w:pPr>
              <w:jc w:val="center"/>
              <w:rPr>
                <w:rFonts w:ascii="Palatino Linotype" w:hAnsi="Palatino Linotype"/>
                <w:b/>
              </w:rPr>
            </w:pPr>
          </w:p>
          <w:p w14:paraId="5A5E9FD7" w14:textId="77777777" w:rsidR="005972D1" w:rsidRDefault="005972D1" w:rsidP="005972D1">
            <w:pPr>
              <w:jc w:val="center"/>
              <w:rPr>
                <w:rFonts w:ascii="Palatino Linotype" w:hAnsi="Palatino Linotype"/>
                <w:b/>
                <w:i/>
              </w:rPr>
            </w:pPr>
            <w:r>
              <w:rPr>
                <w:rFonts w:ascii="Palatino Linotype" w:hAnsi="Palatino Linotype"/>
                <w:b/>
              </w:rPr>
              <w:t xml:space="preserve">SHARON CRISTINA MORALES MARTÍNEZ </w:t>
            </w:r>
          </w:p>
          <w:p w14:paraId="7B26E5CD" w14:textId="77777777" w:rsidR="005972D1" w:rsidRDefault="005972D1" w:rsidP="005972D1">
            <w:pPr>
              <w:jc w:val="center"/>
              <w:rPr>
                <w:rFonts w:ascii="Palatino Linotype" w:hAnsi="Palatino Linotype"/>
                <w:b/>
              </w:rPr>
            </w:pPr>
            <w:r>
              <w:rPr>
                <w:rFonts w:ascii="Palatino Linotype" w:hAnsi="Palatino Linotype"/>
                <w:b/>
              </w:rPr>
              <w:t>COMISIONADA</w:t>
            </w:r>
          </w:p>
          <w:p w14:paraId="24F87A99" w14:textId="17E8D5CC" w:rsidR="005A44E3" w:rsidRDefault="005A44E3">
            <w:pPr>
              <w:jc w:val="center"/>
              <w:rPr>
                <w:rFonts w:ascii="Palatino Linotype" w:hAnsi="Palatino Linotype"/>
                <w:b/>
              </w:rPr>
            </w:pPr>
          </w:p>
        </w:tc>
      </w:tr>
    </w:tbl>
    <w:p w14:paraId="03ACB3F4" w14:textId="5DFDFF18"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74302D62" w14:textId="7749F77E"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6BA89661" w14:textId="3D9DFFF3"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7170D8BA" w14:textId="11375467"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12ADBE93" w14:textId="2E74C7FF"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51295D20" w14:textId="3AE66626"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p w14:paraId="33E98B42" w14:textId="77777777" w:rsidR="005A44E3" w:rsidRDefault="005A44E3">
      <w:pPr>
        <w:spacing w:after="0" w:line="360" w:lineRule="auto"/>
        <w:ind w:left="142" w:right="198"/>
        <w:jc w:val="both"/>
        <w:rPr>
          <w:rFonts w:ascii="Palatino Linotype" w:eastAsia="Palatino Linotype" w:hAnsi="Palatino Linotype" w:cs="Palatino Linotype"/>
          <w:color w:val="000000"/>
          <w:sz w:val="24"/>
          <w:szCs w:val="24"/>
        </w:rPr>
      </w:pPr>
    </w:p>
    <w:sectPr w:rsidR="005A44E3">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BBF45" w14:textId="77777777" w:rsidR="00352A84" w:rsidRDefault="00352A84">
      <w:pPr>
        <w:spacing w:after="0" w:line="240" w:lineRule="auto"/>
      </w:pPr>
      <w:r>
        <w:separator/>
      </w:r>
    </w:p>
  </w:endnote>
  <w:endnote w:type="continuationSeparator" w:id="0">
    <w:p w14:paraId="034C0B80" w14:textId="77777777" w:rsidR="00352A84" w:rsidRDefault="0035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Noto Serif"/>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2D0B0" w14:textId="77777777" w:rsidR="00352A84" w:rsidRDefault="00352A84">
      <w:pPr>
        <w:spacing w:after="0" w:line="240" w:lineRule="auto"/>
      </w:pPr>
      <w:r>
        <w:separator/>
      </w:r>
    </w:p>
  </w:footnote>
  <w:footnote w:type="continuationSeparator" w:id="0">
    <w:p w14:paraId="47642DAD" w14:textId="77777777" w:rsidR="00352A84" w:rsidRDefault="00352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416DC" w14:textId="77777777" w:rsidR="005A44E3" w:rsidRDefault="005A44E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2DA99E87" w14:textId="5889E507" w:rsidR="00D24337" w:rsidRDefault="002F2EC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14:anchorId="471F564E" wp14:editId="183ED956">
          <wp:simplePos x="0" y="0"/>
          <wp:positionH relativeFrom="column">
            <wp:posOffset>-790574</wp:posOffset>
          </wp:positionH>
          <wp:positionV relativeFrom="paragraph">
            <wp:posOffset>-581659</wp:posOffset>
          </wp:positionV>
          <wp:extent cx="7510628" cy="988377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5F33739D" w14:textId="77777777" w:rsidR="00D24337" w:rsidRDefault="002F2EC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highlight w:val="red"/>
      </w:rPr>
    </w:pPr>
    <w:r>
      <w:rPr>
        <w:rFonts w:ascii="Palatino Linotype" w:eastAsia="Palatino Linotype" w:hAnsi="Palatino Linotype" w:cs="Palatino Linotype"/>
        <w:b/>
        <w:color w:val="000000"/>
        <w:sz w:val="20"/>
        <w:szCs w:val="20"/>
      </w:rPr>
      <w:t>RECURSO DE REVISIÓN 16844/INFOEM/IP/RR/2022</w:t>
    </w:r>
  </w:p>
  <w:p w14:paraId="53E72E51" w14:textId="77777777" w:rsidR="00D24337" w:rsidRDefault="00D2433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p w14:paraId="66E8C2EC" w14:textId="77777777" w:rsidR="00D24337" w:rsidRDefault="00D2433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198C"/>
    <w:multiLevelType w:val="multilevel"/>
    <w:tmpl w:val="99D045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D32ACE"/>
    <w:multiLevelType w:val="multilevel"/>
    <w:tmpl w:val="DE003604"/>
    <w:lvl w:ilvl="0">
      <w:start w:val="1"/>
      <w:numFmt w:val="upperRoman"/>
      <w:lvlText w:val="%1."/>
      <w:lvlJc w:val="left"/>
      <w:pPr>
        <w:ind w:left="1524" w:hanging="677"/>
      </w:pPr>
      <w:rPr>
        <w:rFonts w:ascii="Palatino Linotype" w:eastAsia="Palatino Linotype" w:hAnsi="Palatino Linotype" w:cs="Palatino Linotype"/>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2" w15:restartNumberingAfterBreak="0">
    <w:nsid w:val="56180D8B"/>
    <w:multiLevelType w:val="multilevel"/>
    <w:tmpl w:val="7BF60B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545D5"/>
    <w:multiLevelType w:val="multilevel"/>
    <w:tmpl w:val="83027112"/>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37"/>
    <w:rsid w:val="002F2EC9"/>
    <w:rsid w:val="00352A84"/>
    <w:rsid w:val="00396C02"/>
    <w:rsid w:val="005972D1"/>
    <w:rsid w:val="005A44E3"/>
    <w:rsid w:val="00704F1B"/>
    <w:rsid w:val="00D24337"/>
    <w:rsid w:val="00E3034E"/>
    <w:rsid w:val="00E709A1"/>
    <w:rsid w:val="00FC2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AA2C"/>
  <w15:docId w15:val="{62691CFC-3829-41F6-8A45-1931CC9E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7571D"/>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1"/>
    <w:unhideWhenUsed/>
    <w:qFormat/>
    <w:rsid w:val="00A968A2"/>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75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571D"/>
  </w:style>
  <w:style w:type="paragraph" w:styleId="Piedepgina">
    <w:name w:val="footer"/>
    <w:basedOn w:val="Normal"/>
    <w:link w:val="PiedepginaCar"/>
    <w:uiPriority w:val="99"/>
    <w:unhideWhenUsed/>
    <w:rsid w:val="00075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571D"/>
  </w:style>
  <w:style w:type="character" w:customStyle="1" w:styleId="Ttulo1Car">
    <w:name w:val="Título 1 Car"/>
    <w:basedOn w:val="Fuentedeprrafopredeter"/>
    <w:link w:val="Ttulo1"/>
    <w:uiPriority w:val="1"/>
    <w:rsid w:val="0007571D"/>
    <w:rPr>
      <w:rFonts w:ascii="Palatino Linotype" w:eastAsia="Palatino Linotype" w:hAnsi="Palatino Linotype" w:cs="Palatino Linotype"/>
      <w:b/>
      <w:bCs/>
      <w:sz w:val="24"/>
      <w:szCs w:val="24"/>
      <w:lang w:val="es-ES"/>
    </w:rPr>
  </w:style>
  <w:style w:type="character" w:customStyle="1" w:styleId="Ttulo4Car">
    <w:name w:val="Título 4 Car"/>
    <w:basedOn w:val="Fuentedeprrafopredeter"/>
    <w:link w:val="Ttulo4"/>
    <w:uiPriority w:val="1"/>
    <w:rsid w:val="00A968A2"/>
    <w:rPr>
      <w:rFonts w:asciiTheme="majorHAnsi" w:eastAsiaTheme="majorEastAsia" w:hAnsiTheme="majorHAnsi" w:cstheme="majorBidi"/>
      <w:i/>
      <w:iCs/>
      <w:color w:val="2E74B5" w:themeColor="accent1" w:themeShade="BF"/>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597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23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16zTexxQKVxHBJHolBbNBaGfg==">CgMxLjAyCGguZ2pkZ3hzMghoLmdqZGd4czgAciExS2JIeUxmdjNVZ0VjX2lmZWhHZ2NKYW5jZm5yYWJrWjk=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2671</Words>
  <Characters>14694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2023-06-20T01:21:00Z</dcterms:created>
  <dcterms:modified xsi:type="dcterms:W3CDTF">2023-08-25T17:58:00Z</dcterms:modified>
</cp:coreProperties>
</file>