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A5A5C" w14:textId="1ECE3DE9" w:rsidR="007D35E1" w:rsidRDefault="00F47FB5" w:rsidP="007D35E1">
      <w:pPr>
        <w:spacing w:line="360" w:lineRule="auto"/>
        <w:jc w:val="both"/>
        <w:rPr>
          <w:rFonts w:ascii="Palatino Linotype" w:eastAsia="Palatino Linotype" w:hAnsi="Palatino Linotype" w:cs="Palatino Linotype"/>
          <w:b/>
        </w:rPr>
      </w:pPr>
      <w:r>
        <w:rPr>
          <w:rFonts w:ascii="Palatino Linotype" w:hAnsi="Palatino Linotype" w:cs="Tahoma"/>
          <w:b/>
        </w:rPr>
        <w:t xml:space="preserve">VOTO PARTICULAR QUE FORMULA DE LA COMISIONADA MARÍA DEL ROSARIO MEJÍA AYALA, CON RELACIÓN A LA RESOLUCIÓN EMITIDA POR EL PLENO DEL INSTITUTO DE TRANSPARENCIA, ACCESO A LA INFORMACIÓN PÚBLICA Y </w:t>
      </w:r>
      <w:r w:rsidR="00E73E67">
        <w:rPr>
          <w:rFonts w:ascii="Palatino Linotype" w:hAnsi="Palatino Linotype" w:cs="Tahoma"/>
          <w:b/>
        </w:rPr>
        <w:t xml:space="preserve">PROTECCIÓN DE DATOS PERSONALES DEL ESTADO DE </w:t>
      </w:r>
      <w:r w:rsidR="007D35E1">
        <w:rPr>
          <w:rFonts w:ascii="Palatino Linotype" w:hAnsi="Palatino Linotype" w:cs="Tahoma"/>
          <w:b/>
        </w:rPr>
        <w:t xml:space="preserve">MÉXICO Y MUNICIPIOS AL RECURSO DE REVISIÓN </w:t>
      </w:r>
      <w:r w:rsidR="007D35E1">
        <w:rPr>
          <w:rFonts w:ascii="Palatino Linotype" w:eastAsia="Palatino Linotype" w:hAnsi="Palatino Linotype" w:cs="Palatino Linotype"/>
          <w:b/>
        </w:rPr>
        <w:t>00894/INFOEM/IP/RR/2023</w:t>
      </w:r>
      <w:r w:rsidR="007D35E1">
        <w:rPr>
          <w:rFonts w:ascii="Palatino Linotype" w:hAnsi="Palatino Linotype" w:cs="Tahoma"/>
          <w:b/>
        </w:rPr>
        <w:t xml:space="preserve">, PROMOVIDO EN CONTRA DEL </w:t>
      </w:r>
      <w:bookmarkStart w:id="0" w:name="_Toc70345222"/>
      <w:r w:rsidR="007D35E1">
        <w:rPr>
          <w:rFonts w:ascii="Palatino Linotype" w:eastAsia="Palatino Linotype" w:hAnsi="Palatino Linotype" w:cs="Palatino Linotype"/>
          <w:b/>
        </w:rPr>
        <w:t>AYUNTAMIENTO DE CAPULHUAC</w:t>
      </w:r>
      <w:r w:rsidR="008A584E">
        <w:rPr>
          <w:rFonts w:ascii="Palatino Linotype" w:eastAsia="Palatino Linotype" w:hAnsi="Palatino Linotype" w:cs="Palatino Linotype"/>
          <w:b/>
        </w:rPr>
        <w:t>.</w:t>
      </w:r>
    </w:p>
    <w:p w14:paraId="11BADA0A" w14:textId="77777777" w:rsidR="007D35E1" w:rsidRDefault="007D35E1" w:rsidP="007D35E1">
      <w:pPr>
        <w:spacing w:line="360" w:lineRule="auto"/>
        <w:jc w:val="both"/>
        <w:rPr>
          <w:rFonts w:ascii="Palatino Linotype" w:eastAsia="Palatino Linotype" w:hAnsi="Palatino Linotype" w:cs="Palatino Linotype"/>
          <w:b/>
        </w:rPr>
      </w:pPr>
    </w:p>
    <w:p w14:paraId="51A10ACA" w14:textId="0BE956FD" w:rsidR="007B1CFA" w:rsidRPr="00CF3F65" w:rsidRDefault="007B1CFA" w:rsidP="007D35E1">
      <w:pPr>
        <w:spacing w:line="360" w:lineRule="auto"/>
        <w:jc w:val="both"/>
        <w:rPr>
          <w:rFonts w:ascii="Palatino Linotype" w:hAnsi="Palatino Linotype"/>
          <w:color w:val="000000" w:themeColor="text1"/>
        </w:rPr>
      </w:pPr>
      <w:r w:rsidRPr="00CF3F65">
        <w:rPr>
          <w:rFonts w:ascii="Palatino Linotype" w:hAnsi="Palatino Linotype"/>
          <w:color w:val="000000" w:themeColor="text1"/>
        </w:rPr>
        <w:t>Consideraciones Generales.</w:t>
      </w:r>
      <w:bookmarkEnd w:id="0"/>
    </w:p>
    <w:p w14:paraId="2A27C14C" w14:textId="77777777" w:rsidR="007B1CFA" w:rsidRPr="00CF3F65" w:rsidRDefault="007B1CFA" w:rsidP="00CF3F65">
      <w:pPr>
        <w:spacing w:line="360" w:lineRule="auto"/>
        <w:rPr>
          <w:rFonts w:ascii="Palatino Linotype" w:hAnsi="Palatino Linotype"/>
        </w:rPr>
      </w:pPr>
    </w:p>
    <w:p w14:paraId="4717769D" w14:textId="09255320" w:rsidR="00E73E67" w:rsidRDefault="00CF3F65" w:rsidP="00864A74">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7D35E1">
        <w:rPr>
          <w:rFonts w:ascii="Palatino Linotype" w:eastAsia="Palatino Linotype" w:hAnsi="Palatino Linotype" w:cs="Palatino Linotype"/>
          <w:b/>
        </w:rPr>
        <w:t>00894/INFOEM/IP/RR/2023</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BC1756">
        <w:rPr>
          <w:rFonts w:ascii="Palatino Linotype" w:hAnsi="Palatino Linotype" w:cs="Arial"/>
        </w:rPr>
        <w:t xml:space="preserve"> </w:t>
      </w:r>
      <w:r w:rsidR="007D35E1">
        <w:rPr>
          <w:rFonts w:ascii="Palatino Linotype" w:eastAsia="Palatino Linotype" w:hAnsi="Palatino Linotype" w:cs="Palatino Linotype"/>
          <w:b/>
        </w:rPr>
        <w:t>Ayuntamiento de Capulhuac</w:t>
      </w:r>
      <w:r w:rsidR="00864A74">
        <w:rPr>
          <w:rFonts w:ascii="Palatino Linotype" w:eastAsia="Palatino Linotype" w:hAnsi="Palatino Linotype" w:cs="Palatino Linotype"/>
          <w:b/>
        </w:rPr>
        <w:t>.</w:t>
      </w:r>
    </w:p>
    <w:p w14:paraId="7B10F17D" w14:textId="77777777" w:rsidR="00864A74" w:rsidRDefault="00864A74" w:rsidP="00864A74">
      <w:pPr>
        <w:spacing w:line="360" w:lineRule="auto"/>
        <w:jc w:val="both"/>
        <w:rPr>
          <w:rFonts w:ascii="Palatino Linotype" w:hAnsi="Palatino Linotype" w:cs="Tahoma"/>
          <w:b/>
          <w:sz w:val="18"/>
          <w:szCs w:val="22"/>
          <w:lang w:val="es-MX"/>
        </w:rPr>
      </w:pPr>
    </w:p>
    <w:p w14:paraId="76474D17" w14:textId="77777777" w:rsidR="00864A74" w:rsidRDefault="00864A74" w:rsidP="00864A74">
      <w:pPr>
        <w:spacing w:line="360" w:lineRule="auto"/>
        <w:jc w:val="both"/>
        <w:rPr>
          <w:rFonts w:ascii="Palatino Linotype" w:hAnsi="Palatino Linotype" w:cs="Arial"/>
        </w:rPr>
      </w:pPr>
      <w:r>
        <w:rPr>
          <w:rFonts w:ascii="Palatino Linotype" w:eastAsia="Calibri" w:hAnsi="Palatino Linotype"/>
          <w:bCs/>
        </w:rPr>
        <w:t>La parte</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la solicitud de información pública</w:t>
      </w:r>
      <w:r>
        <w:rPr>
          <w:rFonts w:ascii="Palatino Linotype" w:hAnsi="Palatino Linotype"/>
          <w:b/>
          <w:bCs/>
        </w:rPr>
        <w:t>,</w:t>
      </w:r>
      <w:r>
        <w:rPr>
          <w:rFonts w:ascii="Palatino Linotype" w:hAnsi="Palatino Linotype" w:cs="Arial"/>
          <w:b/>
          <w:lang w:eastAsia="es-MX"/>
        </w:rPr>
        <w:t xml:space="preserve"> </w:t>
      </w:r>
      <w:r>
        <w:rPr>
          <w:rFonts w:ascii="Palatino Linotype" w:hAnsi="Palatino Linotype" w:cs="Arial"/>
        </w:rPr>
        <w:t>mediante la cual se requiere:</w:t>
      </w:r>
    </w:p>
    <w:p w14:paraId="06FF2035" w14:textId="77777777" w:rsidR="007D35E1" w:rsidRDefault="007D35E1" w:rsidP="007D35E1">
      <w:pPr>
        <w:spacing w:line="276" w:lineRule="auto"/>
        <w:ind w:left="709" w:right="758"/>
        <w:jc w:val="both"/>
        <w:rPr>
          <w:rFonts w:ascii="Palatino Linotype" w:eastAsia="Palatino Linotype" w:hAnsi="Palatino Linotype" w:cs="Palatino Linotype"/>
          <w:i/>
          <w:color w:val="000000"/>
          <w:lang w:val="es-MX"/>
        </w:rPr>
      </w:pPr>
      <w:r>
        <w:rPr>
          <w:rFonts w:ascii="Palatino Linotype" w:eastAsia="Palatino Linotype" w:hAnsi="Palatino Linotype" w:cs="Palatino Linotype"/>
          <w:i/>
          <w:color w:val="000000"/>
        </w:rPr>
        <w:lastRenderedPageBreak/>
        <w:t>“SE ME INFORME SI LA C.MARIA ROSA QUIROZ PRADO, TESORERA MUNICIPAL DURANTE LAS ADMINISTRACIONES MUNICIPALES DE LOS PERIODOS 2013-2015 Y 2016-2018, CUENTA CON EXPEDIENTES ABIERTOS EN LA CONTRALORIA MUNICIPAL, SINDICATURA MUNICIPAL Y EN LA TESORERIA MUNICIPAL, POR ACTOS U OMISIONES RFEALIZADAS DURANTE SU GESTIÓN Y PARA EL CASO AFIRMATIVO SE ME INDIQUE EN NUMERO DE EXPEDIENTE Y ESTATUS PROCEDIMENTAL EN EL QUE SE ENCUERNTRE A LA FECHA LOS EXPEDIENTES, YA SEA POR ACCIONES FISCALIZADORAS DEL AYUNTAMIENTO A TRAVES DE LAS AREAS CITADAS, O POR EXPEDIENTES RELACIONADOS CON RESPONSABILIDADES ADMINISTRATIVAS DETERMINADAS POR EL ORGANO SUPERIOR DE FISCALIZACION DEL ESTADO DE MEXICO.” (Sic).</w:t>
      </w:r>
    </w:p>
    <w:p w14:paraId="04834D0D" w14:textId="77777777" w:rsidR="007D35E1" w:rsidRDefault="007D35E1" w:rsidP="00864A74">
      <w:pPr>
        <w:spacing w:line="360" w:lineRule="auto"/>
        <w:jc w:val="both"/>
        <w:rPr>
          <w:rFonts w:ascii="Palatino Linotype" w:eastAsia="MS Mincho" w:hAnsi="Palatino Linotype"/>
          <w:color w:val="000000" w:themeColor="text1"/>
          <w:lang w:val="es-MX"/>
        </w:rPr>
      </w:pPr>
    </w:p>
    <w:p w14:paraId="78AAA173" w14:textId="3F353ADD" w:rsidR="007D35E1" w:rsidRDefault="00864A74" w:rsidP="007D35E1">
      <w:pPr>
        <w:spacing w:line="360" w:lineRule="auto"/>
        <w:jc w:val="both"/>
        <w:rPr>
          <w:rFonts w:ascii="Palatino Linotype" w:eastAsia="Palatino Linotype" w:hAnsi="Palatino Linotype" w:cs="Palatino Linotype"/>
        </w:rPr>
      </w:pPr>
      <w:r>
        <w:rPr>
          <w:rFonts w:ascii="Palatino Linotype" w:eastAsia="MS Mincho" w:hAnsi="Palatino Linotype"/>
          <w:color w:val="000000" w:themeColor="text1"/>
          <w:lang w:val="es-MX"/>
        </w:rPr>
        <w:t xml:space="preserve">El </w:t>
      </w:r>
      <w:r>
        <w:rPr>
          <w:rFonts w:ascii="Palatino Linotype" w:eastAsiaTheme="minorEastAsia" w:hAnsi="Palatino Linotype" w:cstheme="minorBidi"/>
          <w:b/>
          <w:color w:val="000000" w:themeColor="text1"/>
          <w:lang w:val="es-MX"/>
        </w:rPr>
        <w:t>SUJETO OBLIGADO</w:t>
      </w:r>
      <w:r>
        <w:rPr>
          <w:rFonts w:ascii="Palatino Linotype" w:eastAsiaTheme="minorEastAsia" w:hAnsi="Palatino Linotype" w:cstheme="minorBidi"/>
          <w:color w:val="000000" w:themeColor="text1"/>
          <w:lang w:val="es-MX"/>
        </w:rPr>
        <w:t xml:space="preserve"> dio respuesta a la solicitud de información en la </w:t>
      </w:r>
      <w:proofErr w:type="gramStart"/>
      <w:r>
        <w:rPr>
          <w:rFonts w:ascii="Palatino Linotype" w:eastAsiaTheme="minorEastAsia" w:hAnsi="Palatino Linotype" w:cstheme="minorBidi"/>
          <w:color w:val="000000" w:themeColor="text1"/>
          <w:lang w:val="es-MX"/>
        </w:rPr>
        <w:t xml:space="preserve">cual </w:t>
      </w:r>
      <w:r>
        <w:rPr>
          <w:rFonts w:ascii="Palatino Linotype" w:hAnsi="Palatino Linotype"/>
          <w:color w:val="000000" w:themeColor="text1"/>
        </w:rPr>
        <w:t xml:space="preserve"> informa</w:t>
      </w:r>
      <w:proofErr w:type="gramEnd"/>
      <w:r w:rsidR="007D35E1">
        <w:rPr>
          <w:rFonts w:ascii="Palatino Linotype" w:hAnsi="Palatino Linotype"/>
        </w:rPr>
        <w:t xml:space="preserve"> mediante o</w:t>
      </w:r>
      <w:r w:rsidR="007D35E1">
        <w:rPr>
          <w:rFonts w:ascii="Palatino Linotype" w:eastAsia="Palatino Linotype" w:hAnsi="Palatino Linotype" w:cs="Palatino Linotype"/>
        </w:rPr>
        <w:t xml:space="preserve">ficio de fecha treinta de enero de dos mil veintitrés, signado por la Síndico Municipal, que la información contenida en expedientes que obren dentro de archivos en posesión de sujetos obligados será proporcionada solo a personas autorizadas dentro del mismo, y a solicitud de los mismos por medio de los procedimientos que para este efecto se establezcan. </w:t>
      </w:r>
    </w:p>
    <w:p w14:paraId="4500A858" w14:textId="77777777" w:rsidR="007D35E1" w:rsidRDefault="007D35E1" w:rsidP="007D35E1">
      <w:pPr>
        <w:rPr>
          <w:rFonts w:ascii="Calibri" w:eastAsia="Calibri" w:hAnsi="Calibri" w:cs="Calibri"/>
          <w:sz w:val="22"/>
          <w:szCs w:val="22"/>
        </w:rPr>
      </w:pPr>
    </w:p>
    <w:p w14:paraId="3C2A03FA" w14:textId="77777777" w:rsidR="00864A74" w:rsidRDefault="00864A74" w:rsidP="00864A74">
      <w:pPr>
        <w:spacing w:line="360" w:lineRule="auto"/>
        <w:jc w:val="both"/>
        <w:rPr>
          <w:rFonts w:ascii="Palatino Linotype" w:hAnsi="Palatino Linotype"/>
        </w:rPr>
      </w:pPr>
    </w:p>
    <w:p w14:paraId="0D222405" w14:textId="4E564816" w:rsidR="00864A74" w:rsidRDefault="00864A74" w:rsidP="00864A74">
      <w:pPr>
        <w:tabs>
          <w:tab w:val="left" w:pos="284"/>
          <w:tab w:val="left" w:pos="426"/>
        </w:tabs>
        <w:spacing w:line="360" w:lineRule="auto"/>
        <w:jc w:val="both"/>
        <w:rPr>
          <w:rFonts w:ascii="Palatino Linotype" w:hAnsi="Palatino Linotype" w:cs="Arial"/>
          <w:color w:val="000000" w:themeColor="text1"/>
        </w:rPr>
      </w:pPr>
      <w:r>
        <w:rPr>
          <w:rFonts w:ascii="Palatino Linotype" w:hAnsi="Palatino Linotype" w:cs="Arial"/>
          <w:color w:val="000000" w:themeColor="text1"/>
        </w:rPr>
        <w:t xml:space="preserve">Derivado de la respuesta emitida por el </w:t>
      </w:r>
      <w:r>
        <w:rPr>
          <w:rFonts w:ascii="Palatino Linotype" w:hAnsi="Palatino Linotype" w:cs="Arial"/>
          <w:b/>
          <w:color w:val="000000" w:themeColor="text1"/>
        </w:rPr>
        <w:t>SUJETO OBLIGADO</w:t>
      </w:r>
      <w:r>
        <w:rPr>
          <w:rFonts w:ascii="Palatino Linotype" w:hAnsi="Palatino Linotype" w:cs="Arial"/>
          <w:color w:val="000000" w:themeColor="text1"/>
        </w:rPr>
        <w:t xml:space="preserve">, el particular interpuso el recurso de revisión </w:t>
      </w:r>
      <w:r w:rsidR="007D35E1">
        <w:rPr>
          <w:rFonts w:ascii="Palatino Linotype" w:eastAsia="Palatino Linotype" w:hAnsi="Palatino Linotype" w:cs="Palatino Linotype"/>
          <w:b/>
        </w:rPr>
        <w:t>00894/INFOEM/IP/RR/2023</w:t>
      </w:r>
      <w:r>
        <w:rPr>
          <w:rFonts w:ascii="Palatino Linotype" w:eastAsia="Calibri" w:hAnsi="Palatino Linotype" w:cs="Arial"/>
          <w:color w:val="000000" w:themeColor="text1"/>
        </w:rPr>
        <w:t>;</w:t>
      </w:r>
      <w:r>
        <w:rPr>
          <w:rFonts w:ascii="Palatino Linotype" w:hAnsi="Palatino Linotype" w:cs="Arial"/>
          <w:color w:val="000000" w:themeColor="text1"/>
        </w:rPr>
        <w:t xml:space="preserve"> impugnación en la que refirió lo siguiente:</w:t>
      </w:r>
    </w:p>
    <w:p w14:paraId="7A47BD79" w14:textId="3C97B7CF"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73913C5A" w14:textId="77777777" w:rsidR="007D35E1" w:rsidRDefault="007D35E1" w:rsidP="007D35E1">
      <w:pPr>
        <w:numPr>
          <w:ilvl w:val="0"/>
          <w:numId w:val="37"/>
        </w:numPr>
        <w:spacing w:after="240" w:line="360" w:lineRule="auto"/>
        <w:jc w:val="both"/>
        <w:rPr>
          <w:rFonts w:ascii="Palatino Linotype" w:eastAsia="Palatino Linotype" w:hAnsi="Palatino Linotype" w:cs="Palatino Linotype"/>
          <w:b/>
          <w:i/>
          <w:color w:val="000000"/>
          <w:lang w:val="es-MX"/>
        </w:rPr>
      </w:pPr>
      <w:r>
        <w:rPr>
          <w:rFonts w:ascii="Palatino Linotype" w:eastAsia="Palatino Linotype" w:hAnsi="Palatino Linotype" w:cs="Palatino Linotype"/>
          <w:b/>
          <w:i/>
          <w:color w:val="000000"/>
        </w:rPr>
        <w:t>Acto Impugnado:</w:t>
      </w:r>
    </w:p>
    <w:p w14:paraId="25C52EAD" w14:textId="77777777" w:rsidR="007D35E1" w:rsidRDefault="007D35E1" w:rsidP="007D35E1">
      <w:pPr>
        <w:tabs>
          <w:tab w:val="left" w:pos="8222"/>
        </w:tabs>
        <w:spacing w:before="240" w:after="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rPr>
        <w:t>“</w:t>
      </w:r>
      <w:r>
        <w:rPr>
          <w:rFonts w:ascii="Palatino Linotype" w:eastAsia="Palatino Linotype" w:hAnsi="Palatino Linotype" w:cs="Palatino Linotype"/>
          <w:i/>
          <w:color w:val="000000"/>
        </w:rPr>
        <w:t>RESOUESTA A LA SOLICITUD REALIZADA AL MUNICIPIO DE CAPULHUAC, ESTADO DEMÉXICO CON NUMERO DE EXPEDIENTE 00011/CAPULHUA/IP/2023</w:t>
      </w:r>
      <w:r>
        <w:rPr>
          <w:rFonts w:ascii="Palatino Linotype" w:eastAsia="Palatino Linotype" w:hAnsi="Palatino Linotype" w:cs="Palatino Linotype"/>
          <w:i/>
        </w:rPr>
        <w:t>” [sic]</w:t>
      </w:r>
    </w:p>
    <w:p w14:paraId="189C5E91" w14:textId="77777777" w:rsidR="007D35E1" w:rsidRDefault="007D35E1" w:rsidP="007D35E1">
      <w:pPr>
        <w:numPr>
          <w:ilvl w:val="0"/>
          <w:numId w:val="37"/>
        </w:numPr>
        <w:spacing w:before="240" w:after="240" w:line="360" w:lineRule="auto"/>
        <w:rPr>
          <w:rFonts w:ascii="Palatino Linotype" w:eastAsia="Palatino Linotype" w:hAnsi="Palatino Linotype" w:cs="Palatino Linotype"/>
          <w:i/>
          <w:color w:val="000000"/>
        </w:rPr>
      </w:pPr>
      <w:r>
        <w:rPr>
          <w:rFonts w:ascii="Palatino Linotype" w:eastAsia="Palatino Linotype" w:hAnsi="Palatino Linotype" w:cs="Palatino Linotype"/>
          <w:b/>
          <w:i/>
          <w:color w:val="000000"/>
        </w:rPr>
        <w:t>Razones o Motivos de Inconformidad</w:t>
      </w:r>
      <w:r>
        <w:rPr>
          <w:rFonts w:ascii="Palatino Linotype" w:eastAsia="Palatino Linotype" w:hAnsi="Palatino Linotype" w:cs="Palatino Linotype"/>
          <w:i/>
          <w:color w:val="000000"/>
        </w:rPr>
        <w:t>:</w:t>
      </w:r>
    </w:p>
    <w:p w14:paraId="41E4B199" w14:textId="77777777" w:rsidR="007D35E1" w:rsidRDefault="007D35E1" w:rsidP="007D35E1">
      <w:pPr>
        <w:spacing w:before="240" w:line="276" w:lineRule="auto"/>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color w:val="000000"/>
        </w:rPr>
        <w:t xml:space="preserve">“EL SUJETO OBLIGADO UNICAMENTE ADJUNTA AL FORMATO DE RESPUESTA A LA SOLICITUD DE INFORMACION PUBLICA, OFICIOS DE LAS DEPENDENCIAS EN LAS QUE SOLICITAN UN PLAZO PARAEL ENVIO DE LA INFORMACION A LA UNIDAD DE TRANSPARENCIA, ADEMAS DE QUE LA SINDICATURA MUNICIPAL NO ENTREGA DOCUMENTACION ALGUNO, SOLO INDICANDO QUE "SERA ENTRREGADA A LAS PERSONAS AUTORIZADAS".” </w:t>
      </w:r>
      <w:r>
        <w:rPr>
          <w:rFonts w:ascii="Palatino Linotype" w:eastAsia="Palatino Linotype" w:hAnsi="Palatino Linotype" w:cs="Palatino Linotype"/>
          <w:i/>
        </w:rPr>
        <w:t>[sic]</w:t>
      </w:r>
    </w:p>
    <w:p w14:paraId="71CC9D05"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45CB19E5" w14:textId="77777777" w:rsidR="00864A74" w:rsidRDefault="00864A74" w:rsidP="00864A74">
      <w:pPr>
        <w:spacing w:line="360" w:lineRule="auto"/>
        <w:jc w:val="both"/>
        <w:rPr>
          <w:rFonts w:ascii="Palatino Linotype" w:hAnsi="Palatino Linotype"/>
        </w:rPr>
      </w:pPr>
      <w:r>
        <w:rPr>
          <w:rFonts w:ascii="Palatino Linotype" w:hAnsi="Palatino Linotype"/>
        </w:rPr>
        <w:t xml:space="preserve">La resolución determina </w:t>
      </w:r>
      <w:r>
        <w:rPr>
          <w:rFonts w:ascii="Palatino Linotype" w:hAnsi="Palatino Linotype"/>
          <w:b/>
        </w:rPr>
        <w:t xml:space="preserve">REVOCAR </w:t>
      </w:r>
      <w:r>
        <w:rPr>
          <w:rFonts w:ascii="Palatino Linotype" w:hAnsi="Palatino Linotype"/>
        </w:rPr>
        <w:t>la respuesta y ordena que se</w:t>
      </w:r>
      <w:r>
        <w:rPr>
          <w:rFonts w:ascii="Palatino Linotype" w:hAnsi="Palatino Linotype"/>
          <w:b/>
        </w:rPr>
        <w:t xml:space="preserve"> </w:t>
      </w:r>
      <w:r>
        <w:rPr>
          <w:rFonts w:ascii="Palatino Linotype" w:hAnsi="Palatino Linotype"/>
        </w:rPr>
        <w:t>haga entrega a la</w:t>
      </w:r>
      <w:r>
        <w:rPr>
          <w:rFonts w:ascii="Palatino Linotype" w:hAnsi="Palatino Linotype"/>
          <w:b/>
        </w:rPr>
        <w:t xml:space="preserve"> PARTE RECURRENTE</w:t>
      </w:r>
      <w:r>
        <w:rPr>
          <w:rFonts w:ascii="Palatino Linotype" w:hAnsi="Palatino Linotype"/>
        </w:rPr>
        <w:t xml:space="preserve">, vía el Sistema de Acceso a la Información Mexiquense (SAIMEX), en versión </w:t>
      </w:r>
      <w:proofErr w:type="gramStart"/>
      <w:r>
        <w:rPr>
          <w:rFonts w:ascii="Palatino Linotype" w:hAnsi="Palatino Linotype"/>
        </w:rPr>
        <w:t>pública,  lo</w:t>
      </w:r>
      <w:proofErr w:type="gramEnd"/>
      <w:r>
        <w:rPr>
          <w:rFonts w:ascii="Palatino Linotype" w:hAnsi="Palatino Linotype"/>
        </w:rPr>
        <w:t xml:space="preserve"> siguiente:</w:t>
      </w:r>
    </w:p>
    <w:p w14:paraId="1F905094" w14:textId="77777777" w:rsidR="00864A74" w:rsidRDefault="00864A74" w:rsidP="00754FF0">
      <w:pPr>
        <w:spacing w:line="360" w:lineRule="auto"/>
        <w:ind w:left="360"/>
        <w:jc w:val="both"/>
        <w:rPr>
          <w:rFonts w:ascii="Palatino Linotype" w:eastAsia="Calibri" w:hAnsi="Palatino Linotype" w:cs="Tahoma"/>
          <w:bCs/>
          <w:iCs/>
          <w:sz w:val="22"/>
          <w:szCs w:val="22"/>
          <w:lang w:eastAsia="en-US"/>
        </w:rPr>
      </w:pPr>
    </w:p>
    <w:p w14:paraId="3CC9A6C3" w14:textId="77777777" w:rsidR="007D35E1" w:rsidRDefault="007D35E1" w:rsidP="007D35E1">
      <w:pPr>
        <w:numPr>
          <w:ilvl w:val="0"/>
          <w:numId w:val="38"/>
        </w:numPr>
        <w:spacing w:line="360" w:lineRule="auto"/>
        <w:ind w:right="49"/>
        <w:jc w:val="both"/>
        <w:rPr>
          <w:rFonts w:ascii="Palatino Linotype" w:eastAsia="Palatino Linotype" w:hAnsi="Palatino Linotype" w:cs="Palatino Linotype"/>
          <w:i/>
          <w:color w:val="000000"/>
          <w:lang w:val="es-MX"/>
        </w:rPr>
      </w:pPr>
      <w:r>
        <w:rPr>
          <w:rFonts w:ascii="Palatino Linotype" w:eastAsia="Palatino Linotype" w:hAnsi="Palatino Linotype" w:cs="Palatino Linotype"/>
          <w:color w:val="000000"/>
        </w:rPr>
        <w:t xml:space="preserve">Acuerdo a través del cual se clasifique como confidencial el pronunciamiento en sentido afirmativo o negativo en términos de los artículos 49, fracción II, 132, fracción II, 143, fracción I y 149 de la Ley de Transparencia y Acceso a la Información Pública del Estado de México y Municipios; respecto de la existencia o no de expedientes en trámite </w:t>
      </w:r>
      <w:proofErr w:type="gramStart"/>
      <w:r>
        <w:rPr>
          <w:rFonts w:ascii="Palatino Linotype" w:eastAsia="Palatino Linotype" w:hAnsi="Palatino Linotype" w:cs="Palatino Linotype"/>
          <w:color w:val="000000"/>
        </w:rPr>
        <w:t>derivados  de</w:t>
      </w:r>
      <w:proofErr w:type="gramEnd"/>
      <w:r>
        <w:rPr>
          <w:rFonts w:ascii="Palatino Linotype" w:eastAsia="Palatino Linotype" w:hAnsi="Palatino Linotype" w:cs="Palatino Linotype"/>
          <w:color w:val="000000"/>
        </w:rPr>
        <w:t xml:space="preserve"> procedimientos de </w:t>
      </w:r>
      <w:r>
        <w:rPr>
          <w:rFonts w:ascii="Palatino Linotype" w:eastAsia="Palatino Linotype" w:hAnsi="Palatino Linotype" w:cs="Palatino Linotype"/>
          <w:color w:val="000000"/>
        </w:rPr>
        <w:lastRenderedPageBreak/>
        <w:t>responsabilidades administrativas</w:t>
      </w:r>
      <w:r>
        <w:rPr>
          <w:rFonts w:ascii="Palatino Linotype" w:eastAsia="Palatino Linotype" w:hAnsi="Palatino Linotype" w:cs="Palatino Linotype"/>
          <w:b/>
          <w:color w:val="000000"/>
        </w:rPr>
        <w:t xml:space="preserve"> en contra de la </w:t>
      </w:r>
      <w:r>
        <w:rPr>
          <w:rFonts w:ascii="Palatino Linotype" w:eastAsia="Palatino Linotype" w:hAnsi="Palatino Linotype" w:cs="Palatino Linotype"/>
          <w:color w:val="000000"/>
        </w:rPr>
        <w:t xml:space="preserve">persona servidora pública referida en la solicitud. </w:t>
      </w:r>
    </w:p>
    <w:p w14:paraId="1F0F6088" w14:textId="77777777" w:rsidR="007D35E1" w:rsidRDefault="007D35E1" w:rsidP="007D35E1">
      <w:pPr>
        <w:spacing w:line="360" w:lineRule="auto"/>
        <w:ind w:left="720" w:right="49"/>
        <w:jc w:val="both"/>
        <w:rPr>
          <w:rFonts w:ascii="Palatino Linotype" w:eastAsia="Palatino Linotype" w:hAnsi="Palatino Linotype" w:cs="Palatino Linotype"/>
          <w:i/>
          <w:color w:val="000000"/>
        </w:rPr>
      </w:pPr>
    </w:p>
    <w:p w14:paraId="2BF70525" w14:textId="77777777" w:rsidR="007D35E1" w:rsidRDefault="007D35E1" w:rsidP="007D35E1">
      <w:pPr>
        <w:numPr>
          <w:ilvl w:val="0"/>
          <w:numId w:val="38"/>
        </w:numPr>
        <w:tabs>
          <w:tab w:val="left" w:pos="3962"/>
        </w:tabs>
        <w:spacing w:line="360" w:lineRule="auto"/>
        <w:ind w:right="51"/>
        <w:jc w:val="both"/>
        <w:rPr>
          <w:rFonts w:ascii="Palatino Linotype" w:eastAsia="Palatino Linotype" w:hAnsi="Palatino Linotype" w:cs="Palatino Linotype"/>
          <w:color w:val="000000"/>
        </w:rPr>
      </w:pPr>
      <w:r w:rsidRPr="007D35E1">
        <w:rPr>
          <w:rFonts w:ascii="Palatino Linotype" w:eastAsia="Palatino Linotype" w:hAnsi="Palatino Linotype" w:cs="Palatino Linotype"/>
          <w:color w:val="000000"/>
        </w:rPr>
        <w:t>En su caso, versión pública del documento que dé cuenta estado procesal o procedimental y números de expediente</w:t>
      </w:r>
      <w:r>
        <w:rPr>
          <w:rFonts w:ascii="Palatino Linotype" w:eastAsia="Palatino Linotype" w:hAnsi="Palatino Linotype" w:cs="Palatino Linotype"/>
          <w:color w:val="000000"/>
        </w:rPr>
        <w:t xml:space="preserve"> en trámite </w:t>
      </w:r>
      <w:proofErr w:type="gramStart"/>
      <w:r>
        <w:rPr>
          <w:rFonts w:ascii="Palatino Linotype" w:eastAsia="Palatino Linotype" w:hAnsi="Palatino Linotype" w:cs="Palatino Linotype"/>
          <w:color w:val="000000"/>
        </w:rPr>
        <w:t>derivados  de</w:t>
      </w:r>
      <w:proofErr w:type="gramEnd"/>
      <w:r>
        <w:rPr>
          <w:rFonts w:ascii="Palatino Linotype" w:eastAsia="Palatino Linotype" w:hAnsi="Palatino Linotype" w:cs="Palatino Linotype"/>
          <w:color w:val="000000"/>
        </w:rPr>
        <w:t xml:space="preserve"> procedimientos de responsabilidades administrativas en contra de la persona servidora pública señalada en la solicitud, para el caso de que </w:t>
      </w:r>
      <w:r>
        <w:rPr>
          <w:rFonts w:ascii="Palatino Linotype" w:eastAsia="Palatino Linotype" w:hAnsi="Palatino Linotype" w:cs="Palatino Linotype"/>
          <w:b/>
          <w:color w:val="000000"/>
          <w:u w:val="single"/>
        </w:rPr>
        <w:t>los procedimientos en trámite se relacionen con actos de corrupción</w:t>
      </w:r>
      <w:r>
        <w:rPr>
          <w:rFonts w:ascii="Palatino Linotype" w:eastAsia="Palatino Linotype" w:hAnsi="Palatino Linotype" w:cs="Palatino Linotype"/>
          <w:color w:val="000000"/>
        </w:rPr>
        <w:t xml:space="preserve">, de conformidad con el artículo 142 de la Ley de la materia. </w:t>
      </w:r>
    </w:p>
    <w:p w14:paraId="19F93F79" w14:textId="77777777" w:rsidR="00864A74" w:rsidRDefault="00864A74" w:rsidP="00864A74">
      <w:pPr>
        <w:spacing w:line="276" w:lineRule="auto"/>
        <w:ind w:left="720" w:right="49"/>
        <w:jc w:val="both"/>
        <w:rPr>
          <w:rFonts w:ascii="Palatino Linotype" w:eastAsia="Palatino Linotype" w:hAnsi="Palatino Linotype" w:cs="Palatino Linotype"/>
          <w:i/>
          <w:color w:val="000000"/>
        </w:rPr>
      </w:pPr>
    </w:p>
    <w:p w14:paraId="7613901C" w14:textId="2D8B28BA" w:rsidR="007D35E1" w:rsidRDefault="00864A74" w:rsidP="007D35E1">
      <w:pPr>
        <w:tabs>
          <w:tab w:val="left" w:pos="426"/>
        </w:tabs>
        <w:spacing w:line="360" w:lineRule="auto"/>
        <w:jc w:val="both"/>
        <w:rPr>
          <w:rFonts w:ascii="Palatino Linotype" w:eastAsia="Palatino Linotype" w:hAnsi="Palatino Linotype" w:cs="Palatino Linotype"/>
          <w:i/>
          <w:color w:val="000000"/>
          <w:lang w:val="es-MX"/>
        </w:rPr>
      </w:pPr>
      <w:r>
        <w:rPr>
          <w:rFonts w:ascii="Palatino Linotype" w:eastAsia="Palatino Linotype" w:hAnsi="Palatino Linotype" w:cs="Palatino Linotype"/>
          <w:color w:val="000000"/>
        </w:rPr>
        <w:t xml:space="preserve">La resolución indica que  de un análisis </w:t>
      </w:r>
      <w:r w:rsidR="007D35E1">
        <w:rPr>
          <w:rFonts w:ascii="Palatino Linotype" w:eastAsia="Palatino Linotype" w:hAnsi="Palatino Linotype" w:cs="Palatino Linotype"/>
          <w:color w:val="000000"/>
        </w:rPr>
        <w:t xml:space="preserve">de la solicitud de acceso a la información pública se advierte que </w:t>
      </w:r>
      <w:r w:rsidR="007D35E1">
        <w:rPr>
          <w:rFonts w:ascii="Palatino Linotype" w:eastAsia="Palatino Linotype" w:hAnsi="Palatino Linotype" w:cs="Palatino Linotype"/>
          <w:b/>
          <w:color w:val="000000"/>
        </w:rPr>
        <w:t>LA PARTE</w:t>
      </w:r>
      <w:r w:rsidR="007D35E1">
        <w:rPr>
          <w:rFonts w:ascii="Palatino Linotype" w:eastAsia="Palatino Linotype" w:hAnsi="Palatino Linotype" w:cs="Palatino Linotype"/>
          <w:color w:val="000000"/>
        </w:rPr>
        <w:t xml:space="preserve"> </w:t>
      </w:r>
      <w:r w:rsidR="007D35E1">
        <w:rPr>
          <w:rFonts w:ascii="Palatino Linotype" w:eastAsia="Palatino Linotype" w:hAnsi="Palatino Linotype" w:cs="Palatino Linotype"/>
          <w:b/>
          <w:color w:val="000000"/>
        </w:rPr>
        <w:t>RECURRENTE</w:t>
      </w:r>
      <w:r w:rsidR="007D35E1">
        <w:rPr>
          <w:rFonts w:ascii="Palatino Linotype" w:eastAsia="Palatino Linotype" w:hAnsi="Palatino Linotype" w:cs="Palatino Linotype"/>
          <w:color w:val="000000"/>
        </w:rPr>
        <w:t xml:space="preserve">, solicita información exclusivamente de </w:t>
      </w:r>
      <w:r w:rsidR="007D35E1">
        <w:rPr>
          <w:rFonts w:ascii="Palatino Linotype" w:eastAsia="Palatino Linotype" w:hAnsi="Palatino Linotype" w:cs="Palatino Linotype"/>
          <w:b/>
          <w:color w:val="000000"/>
        </w:rPr>
        <w:t>procedimiento en trámite</w:t>
      </w:r>
      <w:r w:rsidR="007D35E1">
        <w:rPr>
          <w:rFonts w:ascii="Palatino Linotype" w:eastAsia="Palatino Linotype" w:hAnsi="Palatino Linotype" w:cs="Palatino Linotype"/>
          <w:color w:val="000000"/>
        </w:rPr>
        <w:t xml:space="preserve"> ya que pide textualmente conocer “</w:t>
      </w:r>
      <w:r w:rsidR="007D35E1">
        <w:rPr>
          <w:rFonts w:ascii="Palatino Linotype" w:eastAsia="Palatino Linotype" w:hAnsi="Palatino Linotype" w:cs="Palatino Linotype"/>
          <w:b/>
          <w:i/>
          <w:color w:val="000000"/>
          <w:u w:val="single"/>
        </w:rPr>
        <w:t>SE ME INFORME</w:t>
      </w:r>
      <w:r w:rsidR="007D35E1">
        <w:rPr>
          <w:rFonts w:ascii="Palatino Linotype" w:eastAsia="Palatino Linotype" w:hAnsi="Palatino Linotype" w:cs="Palatino Linotype"/>
          <w:i/>
          <w:color w:val="000000"/>
        </w:rPr>
        <w:t xml:space="preserve"> </w:t>
      </w:r>
      <w:r w:rsidR="007D35E1">
        <w:rPr>
          <w:rFonts w:ascii="Palatino Linotype" w:eastAsia="Palatino Linotype" w:hAnsi="Palatino Linotype" w:cs="Palatino Linotype"/>
          <w:b/>
          <w:i/>
          <w:color w:val="000000"/>
          <w:u w:val="single"/>
        </w:rPr>
        <w:t xml:space="preserve">SI </w:t>
      </w:r>
      <w:r w:rsidR="007D35E1">
        <w:rPr>
          <w:rFonts w:ascii="Palatino Linotype" w:eastAsia="Palatino Linotype" w:hAnsi="Palatino Linotype" w:cs="Palatino Linotype"/>
          <w:i/>
          <w:color w:val="000000"/>
        </w:rPr>
        <w:t xml:space="preserve">LA C.MARIA ROSA QUIROZ PRADO, TESORERA MUNICIPAL DURANTE LAS ADMINISTRACIONES MUNICIPALES DE LOS PERIODOS 2013-2015 Y 2016-2018, </w:t>
      </w:r>
      <w:r w:rsidR="007D35E1">
        <w:rPr>
          <w:rFonts w:ascii="Palatino Linotype" w:eastAsia="Palatino Linotype" w:hAnsi="Palatino Linotype" w:cs="Palatino Linotype"/>
          <w:b/>
          <w:i/>
          <w:color w:val="000000"/>
          <w:u w:val="single"/>
        </w:rPr>
        <w:t>CUENTA CON EXPEDIENTES ABIERTOS”</w:t>
      </w:r>
    </w:p>
    <w:p w14:paraId="678C7E2D" w14:textId="77777777" w:rsidR="007D35E1" w:rsidRDefault="007D35E1" w:rsidP="007D35E1">
      <w:pPr>
        <w:spacing w:line="360" w:lineRule="auto"/>
        <w:jc w:val="both"/>
        <w:rPr>
          <w:rFonts w:ascii="Palatino Linotype" w:eastAsia="Palatino Linotype" w:hAnsi="Palatino Linotype" w:cs="Palatino Linotype"/>
        </w:rPr>
      </w:pPr>
    </w:p>
    <w:p w14:paraId="4C7BA603" w14:textId="51FB28C5" w:rsidR="007D35E1" w:rsidRDefault="007D35E1" w:rsidP="007D35E1">
      <w:pPr>
        <w:tabs>
          <w:tab w:val="left" w:pos="3962"/>
        </w:tabs>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 xml:space="preserve">Señala que de la interpretación de la solicitud de información se advierte que la persona solicitante requiere información de los procedimientos pendientes, es decir, aquellos que no han concluido o no han quedado firmes, siendo necesario mencionar que el realizar un pronunciamiento sobre la existencia de un procedimiento de posibles responsabilidades en trámite, podría afectar a los posibles responsables identificados en el presente caso, </w:t>
      </w:r>
      <w:r>
        <w:rPr>
          <w:rFonts w:ascii="Palatino Linotype" w:eastAsia="Palatino Linotype" w:hAnsi="Palatino Linotype" w:cs="Palatino Linotype"/>
          <w:b/>
          <w:u w:val="single"/>
        </w:rPr>
        <w:t xml:space="preserve">ya que se daría a conocer la existencia de una </w:t>
      </w:r>
      <w:r>
        <w:rPr>
          <w:rFonts w:ascii="Palatino Linotype" w:eastAsia="Palatino Linotype" w:hAnsi="Palatino Linotype" w:cs="Palatino Linotype"/>
          <w:b/>
          <w:u w:val="single"/>
        </w:rPr>
        <w:lastRenderedPageBreak/>
        <w:t xml:space="preserve">investigación en su contra, lo cual, generaría una percepción negativa de estos, sin que se hubiere probado su responsabilidad o culpabilidad, lo cual dañaría, su honor y su derecho a la presunción inocencia e inclusive su actividad profesional. </w:t>
      </w:r>
    </w:p>
    <w:p w14:paraId="3E9C929D" w14:textId="77777777" w:rsidR="007D35E1" w:rsidRDefault="007D35E1" w:rsidP="007D35E1">
      <w:pPr>
        <w:tabs>
          <w:tab w:val="left" w:pos="3962"/>
        </w:tabs>
        <w:spacing w:line="360" w:lineRule="auto"/>
        <w:jc w:val="both"/>
        <w:rPr>
          <w:rFonts w:ascii="Palatino Linotype" w:eastAsia="Palatino Linotype" w:hAnsi="Palatino Linotype" w:cs="Palatino Linotype"/>
        </w:rPr>
      </w:pPr>
    </w:p>
    <w:p w14:paraId="36A57365" w14:textId="1B5320A9"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Criterio que esta Ponencia no comparte ya que, se considera que </w:t>
      </w:r>
      <w:r w:rsidR="00D6282D">
        <w:rPr>
          <w:rFonts w:ascii="Palatino Linotype" w:hAnsi="Palatino Linotype" w:cstheme="minorHAnsi"/>
          <w:color w:val="000000" w:themeColor="text1"/>
        </w:rPr>
        <w:t xml:space="preserve">también </w:t>
      </w:r>
      <w:r>
        <w:rPr>
          <w:rFonts w:ascii="Palatino Linotype" w:hAnsi="Palatino Linotype" w:cstheme="minorHAnsi"/>
          <w:color w:val="000000" w:themeColor="text1"/>
        </w:rPr>
        <w:t xml:space="preserve">debieron ordenarse </w:t>
      </w:r>
      <w:r w:rsidR="00D6282D">
        <w:rPr>
          <w:rFonts w:ascii="Palatino Linotype" w:hAnsi="Palatino Linotype" w:cstheme="minorHAnsi"/>
          <w:color w:val="000000" w:themeColor="text1"/>
        </w:rPr>
        <w:t xml:space="preserve">los procedimientos concluidos, </w:t>
      </w:r>
      <w:r w:rsidRPr="00353A15">
        <w:rPr>
          <w:rFonts w:ascii="Palatino Linotype" w:hAnsi="Palatino Linotype" w:cstheme="minorHAnsi"/>
          <w:color w:val="000000" w:themeColor="text1"/>
        </w:rPr>
        <w:t>dada  la temporalidad de la información solicitada, siendo importante conocer el resultado de estos procedimientos  por la trascendencia de las funciones de los tesoreros como  responsables del manejo correcto de la hacienda pública municipal</w:t>
      </w:r>
      <w:r>
        <w:rPr>
          <w:rFonts w:ascii="Palatino Linotype" w:hAnsi="Palatino Linotype" w:cstheme="minorHAnsi"/>
          <w:color w:val="000000" w:themeColor="text1"/>
        </w:rPr>
        <w:t xml:space="preserve"> por lo que  la interpretación que se realiza  a la solicitud, no garantiza un auténtico acceso a la información pública al judicializar la transparencia, ya que no debe olvidarse que el procedimiento de acceso a la información se rige por los principios de auxilio y orientación a los particulares; dicho en otras palabras, </w:t>
      </w:r>
      <w:r>
        <w:rPr>
          <w:rFonts w:ascii="Palatino Linotype" w:hAnsi="Palatino Linotype" w:cstheme="minorHAnsi"/>
          <w:b/>
          <w:color w:val="000000" w:themeColor="text1"/>
        </w:rPr>
        <w:t>los solicitantes no están obligados a conocer los términos jurídicos o técnicos del soporte documental al que desean acceder, ni tampoco a ser expertos en materia de transparencia para promover solicitudes de acceso a la información</w:t>
      </w:r>
      <w:r>
        <w:rPr>
          <w:rFonts w:ascii="Palatino Linotype" w:hAnsi="Palatino Linotype" w:cstheme="minorHAnsi"/>
          <w:color w:val="000000" w:themeColor="text1"/>
        </w:rPr>
        <w:t>.</w:t>
      </w:r>
    </w:p>
    <w:p w14:paraId="0448A8EF"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728597FC" w14:textId="3F9A37A5" w:rsidR="00353A15" w:rsidRDefault="00353A15" w:rsidP="00353A15">
      <w:pPr>
        <w:pStyle w:val="Prrafodelista"/>
        <w:tabs>
          <w:tab w:val="left" w:pos="426"/>
        </w:tabs>
        <w:spacing w:line="360" w:lineRule="auto"/>
        <w:ind w:left="0" w:right="51"/>
        <w:jc w:val="both"/>
        <w:rPr>
          <w:rFonts w:ascii="Palatino Linotype" w:hAnsi="Palatino Linotype" w:cstheme="minorHAnsi"/>
          <w:i/>
          <w:color w:val="000000" w:themeColor="text1"/>
        </w:rPr>
      </w:pPr>
      <w:r>
        <w:rPr>
          <w:rFonts w:ascii="Palatino Linotype" w:hAnsi="Palatino Linotype" w:cstheme="minorHAnsi"/>
          <w:color w:val="000000" w:themeColor="text1"/>
        </w:rPr>
        <w:t>Por tanto, se considera que no se debió analizar la solicitud de información interpretándola a partir de un criterio restrictivo; y considerando la temporalidad señalada, ya que si se solicita información de</w:t>
      </w:r>
      <w:r w:rsidR="005B3E0F">
        <w:rPr>
          <w:rFonts w:ascii="Palatino Linotype" w:hAnsi="Palatino Linotype" w:cstheme="minorHAnsi"/>
          <w:color w:val="000000" w:themeColor="text1"/>
        </w:rPr>
        <w:t>sde</w:t>
      </w:r>
      <w:r>
        <w:rPr>
          <w:rFonts w:ascii="Palatino Linotype" w:hAnsi="Palatino Linotype" w:cstheme="minorHAnsi"/>
          <w:color w:val="000000" w:themeColor="text1"/>
        </w:rPr>
        <w:t xml:space="preserve"> </w:t>
      </w:r>
      <w:proofErr w:type="gramStart"/>
      <w:r>
        <w:rPr>
          <w:rFonts w:ascii="Palatino Linotype" w:hAnsi="Palatino Linotype" w:cstheme="minorHAnsi"/>
          <w:color w:val="000000" w:themeColor="text1"/>
        </w:rPr>
        <w:t>201</w:t>
      </w:r>
      <w:r w:rsidR="005B3E0F">
        <w:rPr>
          <w:rFonts w:ascii="Palatino Linotype" w:hAnsi="Palatino Linotype" w:cstheme="minorHAnsi"/>
          <w:color w:val="000000" w:themeColor="text1"/>
        </w:rPr>
        <w:t>3</w:t>
      </w:r>
      <w:r>
        <w:rPr>
          <w:rFonts w:ascii="Palatino Linotype" w:hAnsi="Palatino Linotype" w:cstheme="minorHAnsi"/>
          <w:color w:val="000000" w:themeColor="text1"/>
        </w:rPr>
        <w:t>,  los</w:t>
      </w:r>
      <w:proofErr w:type="gramEnd"/>
      <w:r>
        <w:rPr>
          <w:rFonts w:ascii="Palatino Linotype" w:hAnsi="Palatino Linotype" w:cstheme="minorHAnsi"/>
          <w:color w:val="000000" w:themeColor="text1"/>
        </w:rPr>
        <w:t xml:space="preserve"> procedimientos solicitados ya podrían estar concluidos, por lo que  lo procedente es atender lo que tratan de decir los solicitantes y no a la literalidad, ya que –se insiste– estos no tienen obligación de ser expertos o conocer a cabalidad los </w:t>
      </w:r>
      <w:r w:rsidR="00D6282D">
        <w:rPr>
          <w:rFonts w:ascii="Palatino Linotype" w:hAnsi="Palatino Linotype" w:cstheme="minorHAnsi"/>
          <w:color w:val="000000" w:themeColor="text1"/>
        </w:rPr>
        <w:t>términos jurídicos</w:t>
      </w:r>
      <w:r>
        <w:rPr>
          <w:rFonts w:ascii="Palatino Linotype" w:hAnsi="Palatino Linotype" w:cstheme="minorHAnsi"/>
          <w:color w:val="000000" w:themeColor="text1"/>
        </w:rPr>
        <w:t xml:space="preserve">. Esto </w:t>
      </w:r>
      <w:r>
        <w:rPr>
          <w:rFonts w:ascii="Palatino Linotype" w:hAnsi="Palatino Linotype" w:cstheme="minorHAnsi"/>
          <w:color w:val="000000" w:themeColor="text1"/>
        </w:rPr>
        <w:lastRenderedPageBreak/>
        <w:t>incumple el mandato del artículo 6, apartado A, fracción I, de la Constitución que establece que en la interpretación del derecho a la información deberá prevalecer el principio de máxima publicidad; así como lo referido en el artículo 21, de la Ley de Transparencia y Acceso a la Información Pública del Estado de México y Municipios, que estipula que “</w:t>
      </w:r>
      <w:r>
        <w:rPr>
          <w:rFonts w:ascii="Palatino Linotype" w:hAnsi="Palatino Linotype" w:cstheme="minorHAnsi"/>
          <w:i/>
          <w:color w:val="000000" w:themeColor="text1"/>
        </w:rPr>
        <w:t>todo procedimiento en materia de derecho de acceso a la información deberá sustanciarse de manera sencilla y expedita, propiciando las condiciones necesarias para que sea accesible a cualquier persona”. (Sic)</w:t>
      </w:r>
    </w:p>
    <w:p w14:paraId="0A24A379"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0446CA1B" w14:textId="05F7D4A6"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Postura que se apoya incluso en criterios de la Suprema Corte de Justicia de la Nación y es acorde con el </w:t>
      </w:r>
      <w:r>
        <w:rPr>
          <w:rFonts w:ascii="Palatino Linotype" w:hAnsi="Palatino Linotype" w:cstheme="minorHAnsi"/>
          <w:i/>
          <w:color w:val="000000" w:themeColor="text1"/>
        </w:rPr>
        <w:t>principio pro persona</w:t>
      </w:r>
      <w:r>
        <w:rPr>
          <w:rFonts w:ascii="Palatino Linotype" w:hAnsi="Palatino Linotype" w:cstheme="minorHAnsi"/>
          <w:color w:val="000000" w:themeColor="text1"/>
        </w:rPr>
        <w:t xml:space="preserve">, previsto en el artículo 1, segundo párrafo, de la Constitución que obliga a todas las autoridades a realizar la interpretación más favorable al titular de derechos humanos. </w:t>
      </w:r>
      <w:r>
        <w:rPr>
          <w:rFonts w:ascii="Palatino Linotype" w:hAnsi="Palatino Linotype" w:cstheme="minorHAnsi"/>
          <w:i/>
          <w:color w:val="000000" w:themeColor="text1"/>
        </w:rPr>
        <w:t xml:space="preserve">Máxime </w:t>
      </w:r>
      <w:r>
        <w:rPr>
          <w:rFonts w:ascii="Palatino Linotype" w:hAnsi="Palatino Linotype" w:cstheme="minorHAnsi"/>
          <w:color w:val="000000" w:themeColor="text1"/>
        </w:rPr>
        <w:t>que, en este caso, el solicitante aportó elementos suficientes para que fuera atendida su petición de información, no a partir del concepto restringido de “</w:t>
      </w:r>
      <w:r w:rsidR="005B3E0F">
        <w:rPr>
          <w:rFonts w:ascii="Palatino Linotype" w:eastAsia="Palatino Linotype" w:hAnsi="Palatino Linotype" w:cs="Palatino Linotype"/>
          <w:b/>
          <w:i/>
          <w:color w:val="000000"/>
          <w:u w:val="single"/>
        </w:rPr>
        <w:t>EXPEDIENTES ABIERTOS</w:t>
      </w:r>
      <w:r w:rsidRPr="00353A15">
        <w:rPr>
          <w:rFonts w:ascii="Palatino Linotype" w:hAnsi="Palatino Linotype" w:cstheme="minorHAnsi"/>
          <w:i/>
          <w:color w:val="000000" w:themeColor="text1"/>
        </w:rPr>
        <w:t>”</w:t>
      </w:r>
      <w:r>
        <w:rPr>
          <w:rFonts w:ascii="Palatino Linotype" w:hAnsi="Palatino Linotype" w:cstheme="minorHAnsi"/>
          <w:color w:val="000000" w:themeColor="text1"/>
        </w:rPr>
        <w:t xml:space="preserve"> como una etapa del procedimiento administrativo sancionador.</w:t>
      </w:r>
    </w:p>
    <w:p w14:paraId="2182FD22"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4C0DD089" w14:textId="77777777" w:rsidR="00C255B0" w:rsidRDefault="00C255B0" w:rsidP="00C255B0">
      <w:pPr>
        <w:spacing w:line="360" w:lineRule="auto"/>
        <w:ind w:right="51"/>
        <w:jc w:val="both"/>
        <w:rPr>
          <w:rFonts w:ascii="Palatino Linotype" w:eastAsia="Arial Unicode MS" w:hAnsi="Palatino Linotype" w:cs="Arial"/>
          <w:lang w:val="es-MX"/>
        </w:rPr>
      </w:pPr>
      <w:r>
        <w:rPr>
          <w:rFonts w:ascii="Palatino Linotype" w:eastAsia="Arial Unicode MS" w:hAnsi="Palatino Linotype" w:cs="Arial"/>
        </w:rPr>
        <w:t>Ahora bien, respecto de los expedientes abiertos o en proceso en la Contraloría Municipal es necesario referir que la Ley de Responsabilidades Administrativas faculta a las áreas de dicha contraloría para administrar, generar o poseer los expedientes por responsabilidades administrativas, de acuerdo a los siguientes dispositivos jurídicos:</w:t>
      </w:r>
    </w:p>
    <w:p w14:paraId="4905F461" w14:textId="77777777" w:rsidR="00C255B0" w:rsidRDefault="00C255B0" w:rsidP="00C255B0">
      <w:pPr>
        <w:spacing w:line="360" w:lineRule="auto"/>
        <w:ind w:left="567" w:right="567"/>
        <w:jc w:val="both"/>
        <w:rPr>
          <w:rFonts w:ascii="Palatino Linotype" w:eastAsia="Arial Unicode MS" w:hAnsi="Palatino Linotype" w:cs="Arial"/>
        </w:rPr>
      </w:pPr>
    </w:p>
    <w:p w14:paraId="047D1A90" w14:textId="77777777" w:rsidR="00C255B0" w:rsidRDefault="00C255B0" w:rsidP="00C255B0">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lang w:val="es-419"/>
        </w:rPr>
        <w:lastRenderedPageBreak/>
        <w:t>“</w:t>
      </w:r>
      <w:r>
        <w:rPr>
          <w:rFonts w:ascii="Palatino Linotype" w:eastAsia="Palatino Linotype" w:hAnsi="Palatino Linotype" w:cs="Palatino Linotype"/>
          <w:i/>
        </w:rPr>
        <w:t>Artículo 1. La presente Ley es de orden público y de observancia general en el Estado de México y tiene por objeto distribuir y establecer la competencia de las autoridades para determinar las responsabilidades administrativas de los servidores públicos, sus obligaciones, las sanciones aplicables por los actos u omisiones en que éstos incurran y las que correspondan a los particulares vinculados con faltas administrativas graves, así como los procedimientos para su aplicación.</w:t>
      </w:r>
    </w:p>
    <w:p w14:paraId="4E70BA50"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5A86B26"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Artículo 3. Para los efectos de la presente Ley, se entenderá por:</w:t>
      </w:r>
    </w:p>
    <w:p w14:paraId="392373B6" w14:textId="77777777" w:rsidR="00C255B0" w:rsidRDefault="00C255B0" w:rsidP="00C255B0">
      <w:pPr>
        <w:ind w:left="567" w:right="567"/>
        <w:jc w:val="both"/>
        <w:rPr>
          <w:rFonts w:ascii="Palatino Linotype" w:eastAsia="Palatino Linotype" w:hAnsi="Palatino Linotype" w:cs="Palatino Linotype"/>
          <w:i/>
        </w:rPr>
      </w:pPr>
    </w:p>
    <w:p w14:paraId="201ADDF8"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investigadora: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encargadas de la investigación de las faltas administrativas.</w:t>
      </w:r>
    </w:p>
    <w:p w14:paraId="41C22632" w14:textId="77777777" w:rsidR="00C255B0" w:rsidRDefault="00C255B0" w:rsidP="00C255B0">
      <w:pPr>
        <w:ind w:left="567" w:right="567"/>
        <w:jc w:val="both"/>
        <w:rPr>
          <w:rFonts w:ascii="Palatino Linotype" w:eastAsia="Palatino Linotype" w:hAnsi="Palatino Linotype" w:cs="Palatino Linotype"/>
          <w:i/>
        </w:rPr>
      </w:pPr>
    </w:p>
    <w:p w14:paraId="5040215B"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substanciadora:</w:t>
      </w:r>
      <w:r>
        <w:rPr>
          <w:rFonts w:ascii="Palatino Linotype" w:eastAsia="Palatino Linotype" w:hAnsi="Palatino Linotype" w:cs="Palatino Linotype"/>
          <w:i/>
        </w:rPr>
        <w:t xml:space="preserve"> A la autoridad adscrita a la Secretaría de la Contraloría, a los órganos internos de control, al Órgano Superior, así como a las unidades de responsabilidades de las empresas de participación estatal o municipal que, en el ámbito de su competencia, dirigen y conducen el procedimiento de responsabilidades administrativas desde la admisión del informe de presunta responsabilidad administrativa y hasta la conclusión de la audiencia inicial.</w:t>
      </w:r>
    </w:p>
    <w:p w14:paraId="474C8E0E" w14:textId="77777777" w:rsidR="00C255B0" w:rsidRDefault="00C255B0" w:rsidP="00C255B0">
      <w:pPr>
        <w:ind w:left="567" w:right="567"/>
        <w:jc w:val="both"/>
        <w:rPr>
          <w:rFonts w:ascii="Palatino Linotype" w:eastAsia="Palatino Linotype" w:hAnsi="Palatino Linotype" w:cs="Palatino Linotype"/>
          <w:i/>
        </w:rPr>
      </w:pPr>
    </w:p>
    <w:p w14:paraId="5EF27B70"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rPr>
        <w:t>La función de la autoridad substanciadora, en ningún caso podrá ser ejercida por una autoridad investigadora.</w:t>
      </w:r>
    </w:p>
    <w:p w14:paraId="1776550D" w14:textId="77777777" w:rsidR="00C255B0" w:rsidRDefault="00C255B0" w:rsidP="00C255B0">
      <w:pPr>
        <w:ind w:left="567" w:right="567"/>
        <w:jc w:val="both"/>
        <w:rPr>
          <w:rFonts w:ascii="Palatino Linotype" w:eastAsia="Palatino Linotype" w:hAnsi="Palatino Linotype" w:cs="Palatino Linotype"/>
          <w:i/>
        </w:rPr>
      </w:pPr>
    </w:p>
    <w:p w14:paraId="31A993A3" w14:textId="77777777" w:rsidR="00C255B0" w:rsidRDefault="00C255B0" w:rsidP="00C255B0">
      <w:pPr>
        <w:ind w:left="567" w:right="567"/>
        <w:jc w:val="both"/>
        <w:rPr>
          <w:rFonts w:ascii="Palatino Linotype" w:eastAsia="Palatino Linotype" w:hAnsi="Palatino Linotype" w:cs="Palatino Linotype"/>
          <w:i/>
        </w:rPr>
      </w:pPr>
      <w:r>
        <w:rPr>
          <w:rFonts w:ascii="Palatino Linotype" w:eastAsia="Palatino Linotype" w:hAnsi="Palatino Linotype" w:cs="Palatino Linotype"/>
          <w:b/>
          <w:i/>
        </w:rPr>
        <w:t>Autoridad resolutora:</w:t>
      </w:r>
      <w:r>
        <w:rPr>
          <w:rFonts w:ascii="Palatino Linotype" w:eastAsia="Palatino Linotype" w:hAnsi="Palatino Linotype" w:cs="Palatino Linotype"/>
          <w:i/>
        </w:rPr>
        <w:t xml:space="preserve"> A la unidad de responsabilidades administrativas adscrita a la Secretaría de la Contraloría y a los órganos internos de control o al servidor público que éstos últimos asignen, así como la de las empresas de participación estatal y municipal, tratándose de faltas administrativas no graves.</w:t>
      </w:r>
    </w:p>
    <w:p w14:paraId="5191ABBB" w14:textId="77777777" w:rsidR="00C255B0" w:rsidRDefault="00C255B0" w:rsidP="00C255B0">
      <w:pPr>
        <w:ind w:left="567" w:right="567"/>
        <w:jc w:val="both"/>
        <w:rPr>
          <w:rFonts w:ascii="Palatino Linotype" w:eastAsia="Palatino Linotype" w:hAnsi="Palatino Linotype" w:cs="Palatino Linotype"/>
          <w:i/>
        </w:rPr>
      </w:pPr>
    </w:p>
    <w:p w14:paraId="5C7604C4" w14:textId="77777777" w:rsidR="00C255B0" w:rsidRDefault="00C255B0" w:rsidP="00C255B0">
      <w:pPr>
        <w:ind w:left="567" w:right="567"/>
        <w:jc w:val="both"/>
        <w:rPr>
          <w:rFonts w:ascii="Palatino Linotype" w:eastAsia="Palatino Linotype" w:hAnsi="Palatino Linotype" w:cs="Palatino Linotype"/>
          <w:color w:val="000000"/>
          <w:lang w:val="es-419"/>
        </w:rPr>
      </w:pPr>
      <w:r>
        <w:rPr>
          <w:rFonts w:ascii="Palatino Linotype" w:eastAsia="Palatino Linotype" w:hAnsi="Palatino Linotype" w:cs="Palatino Linotype"/>
          <w:i/>
        </w:rPr>
        <w:t>En el supuesto de faltas administrativas graves, así como para las faltas de particulares lo será el Tribunal.</w:t>
      </w:r>
      <w:r>
        <w:rPr>
          <w:rFonts w:ascii="Palatino Linotype" w:eastAsia="Palatino Linotype" w:hAnsi="Palatino Linotype" w:cs="Palatino Linotype"/>
          <w:i/>
          <w:lang w:val="es-419"/>
        </w:rPr>
        <w:t>”</w:t>
      </w:r>
    </w:p>
    <w:p w14:paraId="36A1B942" w14:textId="77777777" w:rsidR="00C255B0" w:rsidRDefault="00C255B0" w:rsidP="00C255B0">
      <w:pPr>
        <w:spacing w:line="360" w:lineRule="auto"/>
        <w:ind w:right="51"/>
        <w:jc w:val="both"/>
        <w:rPr>
          <w:rFonts w:ascii="Palatino Linotype" w:eastAsia="Arial Unicode MS" w:hAnsi="Palatino Linotype" w:cs="Arial"/>
          <w:lang w:val="es-MX"/>
        </w:rPr>
      </w:pPr>
    </w:p>
    <w:p w14:paraId="754CDB96" w14:textId="77777777" w:rsidR="00C255B0" w:rsidRDefault="00C255B0" w:rsidP="00C255B0">
      <w:pPr>
        <w:spacing w:line="360" w:lineRule="auto"/>
        <w:ind w:right="51"/>
        <w:jc w:val="both"/>
        <w:rPr>
          <w:rFonts w:ascii="Palatino Linotype" w:eastAsia="Arial Unicode MS" w:hAnsi="Palatino Linotype" w:cs="Arial"/>
        </w:rPr>
      </w:pPr>
      <w:r>
        <w:rPr>
          <w:rFonts w:ascii="Palatino Linotype" w:eastAsia="Arial Unicode MS" w:hAnsi="Palatino Linotype" w:cs="Arial"/>
        </w:rPr>
        <w:lastRenderedPageBreak/>
        <w:t>De lo anterior se desprende que la Contraloría Municipal tiene competencia para dirigir y conducir el procedimiento de responsabilidades administrativas desde la admisión del informe de presunta responsabilidad administrativa y hasta la conclusión del procedimiento para los casos de faltas administrativas no graves.</w:t>
      </w:r>
    </w:p>
    <w:p w14:paraId="3935D173"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4E2703C0"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lo que para la entrega de la información solicitada, se debieron observar las reglas que se siguen respecto al acceso a la información concerniente a los expedientes administrativos generados y administrados por la Contraloría Interna, esto es se considera que se debe analizar si los procedimientos de responsabilidades administrativas de los que se solicita </w:t>
      </w:r>
      <w:r>
        <w:rPr>
          <w:rFonts w:ascii="Palatino Linotype" w:eastAsia="Palatino Linotype" w:hAnsi="Palatino Linotype" w:cs="Palatino Linotype"/>
          <w:color w:val="000000"/>
          <w:lang w:val="es-419"/>
        </w:rPr>
        <w:t xml:space="preserve">información </w:t>
      </w:r>
      <w:r>
        <w:rPr>
          <w:rFonts w:ascii="Palatino Linotype" w:eastAsia="Palatino Linotype" w:hAnsi="Palatino Linotype" w:cs="Palatino Linotype"/>
          <w:color w:val="000000"/>
        </w:rPr>
        <w:t>se encuentran en trámite o concluidos, es decir que ya causaron estado, son públicos o reservados, por lo que, se procede a revisar cada supuesto.</w:t>
      </w:r>
    </w:p>
    <w:p w14:paraId="1135682E" w14:textId="77777777" w:rsidR="00D6282D" w:rsidRDefault="00D6282D" w:rsidP="00D6282D">
      <w:pPr>
        <w:spacing w:line="360" w:lineRule="auto"/>
        <w:jc w:val="both"/>
        <w:rPr>
          <w:rFonts w:ascii="Palatino Linotype" w:eastAsia="Palatino Linotype" w:hAnsi="Palatino Linotype" w:cs="Palatino Linotype"/>
          <w:color w:val="000000"/>
        </w:rPr>
      </w:pPr>
    </w:p>
    <w:p w14:paraId="3841D238" w14:textId="53B77903" w:rsidR="00D6282D" w:rsidRDefault="00D6282D" w:rsidP="00D6282D">
      <w:pPr>
        <w:spacing w:line="360" w:lineRule="auto"/>
        <w:jc w:val="both"/>
        <w:rPr>
          <w:rFonts w:ascii="Palatino Linotype" w:hAnsi="Palatino Linotype" w:cs="Arial"/>
        </w:rPr>
      </w:pPr>
      <w:r>
        <w:rPr>
          <w:rFonts w:ascii="Palatino Linotype" w:eastAsia="Palatino Linotype" w:hAnsi="Palatino Linotype" w:cs="Palatino Linotype"/>
          <w:color w:val="000000"/>
        </w:rPr>
        <w:t xml:space="preserve">Asimismo, se debió analizar la entrega de la información en caso de tratarse  de responsabilidades administrativas graves, administración que también posee y administra el Sujeto Obligado, y que se establecen </w:t>
      </w:r>
      <w:r>
        <w:rPr>
          <w:rFonts w:ascii="Palatino Linotype" w:hAnsi="Palatino Linotype" w:cs="Arial"/>
        </w:rPr>
        <w:t>de conformidad con lo establecido por el artículo 52 de la Ley de Responsabilidades Administrativas del Estado de México y Municipios siendo las siguientes: el cohecho, peculado, desvío de recursos públicos, utilización indebida de información, abuso de funciones, cometer o tolerar conductas de hostigamiento y acoso sexual, actuar bajo conflicto de interés, contratación indebida, enriquecimiento oculto u ocultamiento de conflicto de interés, tráfico de influencias, encubrimiento, desacato, obstrucción de la Justicia.</w:t>
      </w:r>
    </w:p>
    <w:p w14:paraId="502A84E3"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0A38CA71" w14:textId="77777777" w:rsidR="00D6282D" w:rsidRDefault="00D6282D" w:rsidP="00D6282D">
      <w:pPr>
        <w:autoSpaceDE w:val="0"/>
        <w:autoSpaceDN w:val="0"/>
        <w:adjustRightInd w:val="0"/>
        <w:spacing w:line="360" w:lineRule="auto"/>
        <w:ind w:right="49"/>
        <w:jc w:val="both"/>
        <w:rPr>
          <w:rFonts w:ascii="Palatino Linotype" w:hAnsi="Palatino Linotype" w:cs="Arial"/>
        </w:rPr>
      </w:pPr>
      <w:r>
        <w:rPr>
          <w:rFonts w:ascii="Palatino Linotype" w:hAnsi="Palatino Linotype" w:cs="Arial"/>
        </w:rPr>
        <w:lastRenderedPageBreak/>
        <w:t>Es de hacer notar que varias de las anteriores conductas se encuentran previstas en la Convención de las Naciones Unidas Contra la Corrupción, y que de la misma manera se tratan de delitos en materia de corrupción, los cuales se encuentran reglamentados por el Título Décimo del Código Penal Federal, y que van del artículo 212 al artículo 224.</w:t>
      </w:r>
    </w:p>
    <w:p w14:paraId="3FBAF996" w14:textId="77777777" w:rsidR="00D6282D" w:rsidRDefault="00D6282D" w:rsidP="00D6282D">
      <w:pPr>
        <w:autoSpaceDE w:val="0"/>
        <w:autoSpaceDN w:val="0"/>
        <w:adjustRightInd w:val="0"/>
        <w:spacing w:line="360" w:lineRule="auto"/>
        <w:ind w:right="49"/>
        <w:jc w:val="both"/>
        <w:rPr>
          <w:rFonts w:ascii="Palatino Linotype" w:hAnsi="Palatino Linotype" w:cs="Arial"/>
        </w:rPr>
      </w:pPr>
    </w:p>
    <w:p w14:paraId="14EBBE91" w14:textId="77777777" w:rsidR="00D6282D" w:rsidRDefault="00D6282D" w:rsidP="00D6282D">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Conforme a lo anterior, se logra vislumbrar que las responsabilidades graves, causan un perjuicio de manera externa, esto es, a terceras personas o bien, a la hacienda o erario público; por lo que, se podría considerar que existe una trascendencia social, para dar a conocer dicha información, además que se relacionan dichas conductas con actos de corrupción, conforme a la normatividad citada en el párrafo previo.</w:t>
      </w:r>
    </w:p>
    <w:p w14:paraId="2AC4129A"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3F0A588A"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Lo </w:t>
      </w:r>
      <w:proofErr w:type="gramStart"/>
      <w:r>
        <w:rPr>
          <w:rFonts w:ascii="Palatino Linotype" w:hAnsi="Palatino Linotype" w:cstheme="minorHAnsi"/>
          <w:color w:val="000000" w:themeColor="text1"/>
        </w:rPr>
        <w:t>anterior,  aunado</w:t>
      </w:r>
      <w:proofErr w:type="gramEnd"/>
      <w:r>
        <w:rPr>
          <w:rFonts w:ascii="Palatino Linotype" w:hAnsi="Palatino Linotype" w:cstheme="minorHAnsi"/>
          <w:color w:val="000000" w:themeColor="text1"/>
        </w:rPr>
        <w:t xml:space="preserve"> a la importancia de transparentar temas de rendición de cuentas como acontece en la especie, toda vez que las decisiones que se tomen por parte del gobierno forzosamente deben estar al alcance de los ciudadanos de una manera accesible, clara y veraz, lo que coadyuva y favorece a la constante vigilancia de los recursos públicos y que estos se ejerzan en estricto apego a la ley.</w:t>
      </w:r>
    </w:p>
    <w:p w14:paraId="0AF381A0" w14:textId="77777777" w:rsidR="00353A15" w:rsidRDefault="00353A15" w:rsidP="00353A15">
      <w:pPr>
        <w:pStyle w:val="Prrafodelista"/>
        <w:tabs>
          <w:tab w:val="left" w:pos="426"/>
        </w:tabs>
        <w:spacing w:line="360" w:lineRule="auto"/>
        <w:ind w:left="0" w:right="51"/>
        <w:jc w:val="both"/>
        <w:rPr>
          <w:rFonts w:ascii="Palatino Linotype" w:hAnsi="Palatino Linotype" w:cstheme="minorHAnsi"/>
          <w:color w:val="000000" w:themeColor="text1"/>
        </w:rPr>
      </w:pPr>
    </w:p>
    <w:p w14:paraId="3AC08249" w14:textId="77777777" w:rsidR="00353A15" w:rsidRDefault="00353A15" w:rsidP="00353A15">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Así, en la medida en la que un municipio sea transparente y rinda cuentas sobre el ejercicio del gasto público, entonces generará mayor confianza entre los ciudadanos, generando un incentivo para el pago de impuestos, ya que a mayor vigilancia y propuesta ciudadana, los gobiernos están sujetos a tener un gasto eficiente con </w:t>
      </w:r>
      <w:r>
        <w:rPr>
          <w:rFonts w:ascii="Palatino Linotype" w:hAnsi="Palatino Linotype" w:cstheme="minorHAnsi"/>
          <w:color w:val="000000" w:themeColor="text1"/>
        </w:rPr>
        <w:lastRenderedPageBreak/>
        <w:t>menos posibilidades de corrupción, por lo que la fiscalización de los recursos que integran la hacienda pública de los municipios es primordial.</w:t>
      </w:r>
    </w:p>
    <w:p w14:paraId="0652F5FA" w14:textId="77777777" w:rsidR="00353A15" w:rsidRDefault="00353A15" w:rsidP="00353A15">
      <w:pPr>
        <w:pStyle w:val="NormalWeb"/>
        <w:shd w:val="clear" w:color="auto" w:fill="FFFFFF"/>
        <w:spacing w:before="0" w:beforeAutospacing="0" w:after="0" w:afterAutospacing="0" w:line="360" w:lineRule="auto"/>
        <w:jc w:val="both"/>
        <w:rPr>
          <w:rFonts w:ascii="Palatino Linotype" w:hAnsi="Palatino Linotype" w:cstheme="minorHAnsi"/>
          <w:color w:val="000000" w:themeColor="text1"/>
        </w:rPr>
      </w:pPr>
    </w:p>
    <w:p w14:paraId="2A4B9C4F" w14:textId="77777777" w:rsidR="00353A15" w:rsidRDefault="00353A15" w:rsidP="00353A15">
      <w:pPr>
        <w:spacing w:line="360" w:lineRule="auto"/>
        <w:jc w:val="both"/>
        <w:rPr>
          <w:rFonts w:ascii="Palatino Linotype" w:hAnsi="Palatino Linotype" w:cstheme="minorHAnsi"/>
          <w:b/>
          <w:color w:val="000000" w:themeColor="text1"/>
          <w:lang w:val="es-MX"/>
        </w:rPr>
      </w:pPr>
      <w:r>
        <w:rPr>
          <w:rFonts w:ascii="Palatino Linotype" w:hAnsi="Palatino Linotype" w:cstheme="minorHAnsi"/>
          <w:b/>
          <w:color w:val="000000" w:themeColor="text1"/>
        </w:rPr>
        <w:t>CONCLUSION:</w:t>
      </w:r>
    </w:p>
    <w:p w14:paraId="31B84F80" w14:textId="77777777" w:rsidR="00353A15" w:rsidRDefault="00353A15" w:rsidP="00353A15">
      <w:pPr>
        <w:spacing w:line="360" w:lineRule="auto"/>
        <w:jc w:val="both"/>
        <w:rPr>
          <w:rFonts w:ascii="Palatino Linotype" w:hAnsi="Palatino Linotype" w:cstheme="minorHAnsi"/>
          <w:b/>
          <w:color w:val="000000" w:themeColor="text1"/>
        </w:rPr>
      </w:pPr>
    </w:p>
    <w:p w14:paraId="06CEC250" w14:textId="77777777"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No se debió analizar la solicitud de información interpretándola a partir de un criterio restrictivo, ya que  lo solicitado corresponde a información de carácter de interés público al versar sobre rendición de cuentas, que constituye una herramienta para fortalecer la democracia y credibilidad de los ciudadanos en sus autoridades, siempre y cuando éstas informen de manera clara sobre sus decisiones y justifiquen las acciones emprendidas, con el acompañamiento de mecanismos de control y sanción para quienes no se conduzcan de acuerdo a la Ley.</w:t>
      </w:r>
    </w:p>
    <w:p w14:paraId="45011E40" w14:textId="77777777" w:rsidR="00353A15" w:rsidRDefault="00353A15" w:rsidP="00353A15">
      <w:pPr>
        <w:spacing w:line="360" w:lineRule="auto"/>
        <w:jc w:val="both"/>
        <w:rPr>
          <w:rFonts w:ascii="Palatino Linotype" w:hAnsi="Palatino Linotype" w:cstheme="minorHAnsi"/>
          <w:color w:val="000000" w:themeColor="text1"/>
        </w:rPr>
      </w:pPr>
    </w:p>
    <w:p w14:paraId="56F25703" w14:textId="77777777" w:rsidR="00353A15" w:rsidRDefault="00353A15" w:rsidP="00353A15">
      <w:pPr>
        <w:spacing w:line="360" w:lineRule="auto"/>
        <w:jc w:val="both"/>
        <w:rPr>
          <w:rFonts w:ascii="Palatino Linotype" w:hAnsi="Palatino Linotype" w:cstheme="minorHAnsi"/>
          <w:color w:val="000000" w:themeColor="text1"/>
        </w:rPr>
      </w:pPr>
      <w:r>
        <w:rPr>
          <w:rFonts w:ascii="Palatino Linotype" w:hAnsi="Palatino Linotype" w:cstheme="minorHAnsi"/>
          <w:color w:val="000000" w:themeColor="text1"/>
        </w:rPr>
        <w:t xml:space="preserve">La transparencia, la rendición de cuentas, el orden, el control y el combate a la corrupción, son principios de actuación cotidiana con sustento legal en su aplicación, los cuales se instituyen en prácticas de gobierno que gozan de amplio reconocimiento. </w:t>
      </w:r>
    </w:p>
    <w:p w14:paraId="2A00FF29" w14:textId="77777777" w:rsidR="00353A15" w:rsidRDefault="00353A15" w:rsidP="00353A15">
      <w:pPr>
        <w:spacing w:line="360" w:lineRule="auto"/>
        <w:jc w:val="both"/>
        <w:rPr>
          <w:rFonts w:ascii="Palatino Linotype" w:hAnsi="Palatino Linotype" w:cstheme="minorHAnsi"/>
          <w:color w:val="000000" w:themeColor="text1"/>
        </w:rPr>
      </w:pPr>
    </w:p>
    <w:p w14:paraId="750FDB77" w14:textId="75A11A6E" w:rsidR="00D96441" w:rsidRDefault="00353A15" w:rsidP="00353A15">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r>
        <w:rPr>
          <w:rFonts w:ascii="Palatino Linotype" w:hAnsi="Palatino Linotype" w:cstheme="minorHAnsi"/>
          <w:color w:val="000000" w:themeColor="text1"/>
        </w:rPr>
        <w:t>La adopción de estos principios por quienes conforman la administración debe estar respaldada por el reconocimiento de la situación actual que guarda la entidad; sólo a partir de ello será posible identificar las causas y las alternativas de acción para la consolidación de la tarea mencionada. Atento a lo anterior, se expone razones suficientes para la emisión y presentación del presente Voto.</w:t>
      </w:r>
    </w:p>
    <w:p w14:paraId="516E46BA" w14:textId="77777777" w:rsidR="00864A74" w:rsidRDefault="00864A74" w:rsidP="00D96441">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p>
    <w:p w14:paraId="0E9C2C35" w14:textId="77777777" w:rsidR="00864A74" w:rsidRDefault="00864A74" w:rsidP="00D96441">
      <w:pPr>
        <w:autoSpaceDE w:val="0"/>
        <w:autoSpaceDN w:val="0"/>
        <w:adjustRightInd w:val="0"/>
        <w:spacing w:line="360" w:lineRule="auto"/>
        <w:ind w:right="49"/>
        <w:jc w:val="both"/>
        <w:rPr>
          <w:rFonts w:ascii="Palatino Linotype" w:eastAsiaTheme="minorHAnsi" w:hAnsi="Palatino Linotype" w:cs="Tahoma"/>
          <w:bCs/>
          <w:iCs/>
          <w:color w:val="000000" w:themeColor="text1"/>
          <w:szCs w:val="22"/>
        </w:rPr>
      </w:pPr>
    </w:p>
    <w:p w14:paraId="1858B08B" w14:textId="77777777" w:rsidR="00864A74" w:rsidRDefault="00864A74" w:rsidP="00D96441">
      <w:pPr>
        <w:autoSpaceDE w:val="0"/>
        <w:autoSpaceDN w:val="0"/>
        <w:adjustRightInd w:val="0"/>
        <w:spacing w:line="360" w:lineRule="auto"/>
        <w:ind w:right="49"/>
        <w:jc w:val="both"/>
        <w:rPr>
          <w:rFonts w:ascii="Palatino Linotype" w:hAnsi="Palatino Linotype" w:cs="Arial"/>
        </w:rPr>
      </w:pPr>
    </w:p>
    <w:p w14:paraId="535F465C" w14:textId="77777777" w:rsidR="00CF3F65" w:rsidRDefault="00CF3F65" w:rsidP="00CF3F65">
      <w:pPr>
        <w:spacing w:line="360" w:lineRule="auto"/>
        <w:rPr>
          <w:rFonts w:ascii="Palatino Linotype" w:hAnsi="Palatino Linotype"/>
        </w:rPr>
      </w:pPr>
    </w:p>
    <w:p w14:paraId="091B2A5E" w14:textId="77777777" w:rsidR="00CF3F65" w:rsidRDefault="00CF3F65" w:rsidP="00CF3F65">
      <w:pPr>
        <w:spacing w:line="360" w:lineRule="auto"/>
        <w:rPr>
          <w:rFonts w:ascii="Palatino Linotype" w:hAnsi="Palatino Linotype"/>
        </w:rPr>
      </w:pPr>
    </w:p>
    <w:p w14:paraId="7234FDAF" w14:textId="77777777" w:rsidR="00CF3F65" w:rsidRDefault="00CF3F65" w:rsidP="00CF3F65">
      <w:pPr>
        <w:spacing w:line="360" w:lineRule="auto"/>
        <w:rPr>
          <w:rFonts w:ascii="Palatino Linotype" w:hAnsi="Palatino Linotype"/>
        </w:rPr>
      </w:pPr>
    </w:p>
    <w:p w14:paraId="75F522D9" w14:textId="77777777" w:rsidR="00CF3F65" w:rsidRDefault="00CF3F65" w:rsidP="00CF3F65">
      <w:pPr>
        <w:spacing w:line="360" w:lineRule="auto"/>
        <w:rPr>
          <w:rFonts w:ascii="Palatino Linotype" w:hAnsi="Palatino Linotype"/>
        </w:rPr>
      </w:pPr>
    </w:p>
    <w:p w14:paraId="5846DDD6" w14:textId="77777777" w:rsidR="00CF3F65" w:rsidRDefault="00CF3F65" w:rsidP="00CF3F65">
      <w:pPr>
        <w:spacing w:line="360" w:lineRule="auto"/>
        <w:rPr>
          <w:rFonts w:ascii="Palatino Linotype" w:hAnsi="Palatino Linotype"/>
        </w:rPr>
      </w:pPr>
    </w:p>
    <w:p w14:paraId="31B93016" w14:textId="77777777" w:rsidR="00CF3F65" w:rsidRDefault="00CF3F65" w:rsidP="00CF3F65">
      <w:pPr>
        <w:spacing w:line="360" w:lineRule="auto"/>
        <w:rPr>
          <w:rFonts w:ascii="Palatino Linotype" w:hAnsi="Palatino Linotype"/>
        </w:rPr>
      </w:pPr>
    </w:p>
    <w:p w14:paraId="28769190" w14:textId="77777777" w:rsidR="00CF3F65" w:rsidRDefault="00CF3F65" w:rsidP="00CF3F65">
      <w:pPr>
        <w:spacing w:line="360" w:lineRule="auto"/>
        <w:rPr>
          <w:rFonts w:ascii="Palatino Linotype" w:hAnsi="Palatino Linotype"/>
        </w:rPr>
      </w:pPr>
    </w:p>
    <w:p w14:paraId="67BB056C" w14:textId="77777777" w:rsidR="00CF3F65" w:rsidRPr="00CF3F65" w:rsidRDefault="00CF3F65" w:rsidP="00CF3F65">
      <w:pPr>
        <w:spacing w:line="360" w:lineRule="auto"/>
        <w:rPr>
          <w:rFonts w:ascii="Palatino Linotype" w:hAnsi="Palatino Linotype"/>
        </w:rPr>
      </w:pPr>
    </w:p>
    <w:sectPr w:rsidR="00CF3F65" w:rsidRPr="00CF3F65" w:rsidSect="00430304">
      <w:headerReference w:type="even" r:id="rId8"/>
      <w:headerReference w:type="default" r:id="rId9"/>
      <w:footerReference w:type="default" r:id="rId10"/>
      <w:headerReference w:type="first" r:id="rId11"/>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B7756" w14:textId="77777777" w:rsidR="001E4075" w:rsidRDefault="001E4075" w:rsidP="00C80F8C">
      <w:r>
        <w:separator/>
      </w:r>
    </w:p>
  </w:endnote>
  <w:endnote w:type="continuationSeparator" w:id="0">
    <w:p w14:paraId="0456D947" w14:textId="77777777" w:rsidR="001E4075" w:rsidRDefault="001E407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F5855" w14:textId="77777777" w:rsidR="001E4075" w:rsidRDefault="001E4075" w:rsidP="00C80F8C">
      <w:r>
        <w:separator/>
      </w:r>
    </w:p>
  </w:footnote>
  <w:footnote w:type="continuationSeparator" w:id="0">
    <w:p w14:paraId="255C2C2E" w14:textId="77777777" w:rsidR="001E4075" w:rsidRDefault="001E4075"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8EB71" w14:textId="4D1910B5" w:rsidR="001112E6" w:rsidRDefault="0000000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1026" type="#_x0000_t136" style="position:absolute;margin-left:0;margin-top:0;width:620.2pt;height:82.65pt;rotation:315;z-index:-251654144;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C9FC2" w14:textId="4DC1E042" w:rsidR="00F47FB5" w:rsidRPr="00754FF0" w:rsidRDefault="00754FF0" w:rsidP="00F47FB5">
    <w:pPr>
      <w:pStyle w:val="Encabezado"/>
      <w:tabs>
        <w:tab w:val="clear" w:pos="4252"/>
        <w:tab w:val="clear" w:pos="8504"/>
        <w:tab w:val="left" w:pos="2326"/>
      </w:tabs>
      <w:ind w:left="2835"/>
      <w:rPr>
        <w:rFonts w:ascii="Palatino Linotype" w:hAnsi="Palatino Linotype"/>
      </w:rPr>
    </w:pPr>
    <w:r w:rsidRPr="00754FF0">
      <w:rPr>
        <w:rFonts w:ascii="Palatino Linotype" w:hAnsi="Palatino Linotype"/>
        <w:noProof/>
        <w:lang w:val="es-MX" w:eastAsia="es-MX"/>
      </w:rPr>
      <w:drawing>
        <wp:anchor distT="0" distB="0" distL="114300" distR="114300" simplePos="0" relativeHeight="251658240" behindDoc="1" locked="0" layoutInCell="1" allowOverlap="1" wp14:anchorId="46D381A4" wp14:editId="44499B88">
          <wp:simplePos x="0" y="0"/>
          <wp:positionH relativeFrom="column">
            <wp:posOffset>-1327785</wp:posOffset>
          </wp:positionH>
          <wp:positionV relativeFrom="paragraph">
            <wp:posOffset>-354330</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000000">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1027" type="#_x0000_t136" style="position:absolute;left:0;text-align:left;margin-left:0;margin-top:0;width:620.2pt;height:82.65pt;rotation:315;z-index:-251652096;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r w:rsidR="00F47FB5" w:rsidRPr="00754FF0">
      <w:rPr>
        <w:rFonts w:ascii="Palatino Linotype" w:hAnsi="Palatino Linotype" w:cs="Tahoma"/>
        <w:b/>
      </w:rPr>
      <w:t>Voto Particular</w:t>
    </w:r>
  </w:p>
  <w:p w14:paraId="218A957B" w14:textId="77777777" w:rsidR="007D35E1" w:rsidRDefault="00F47FB5" w:rsidP="00864A74">
    <w:pPr>
      <w:pStyle w:val="Encabezado"/>
      <w:ind w:left="2835" w:right="-250"/>
      <w:rPr>
        <w:rFonts w:ascii="Palatino Linotype" w:eastAsia="Palatino Linotype" w:hAnsi="Palatino Linotype" w:cs="Palatino Linotype"/>
        <w:b/>
      </w:rPr>
    </w:pPr>
    <w:r w:rsidRPr="00754FF0">
      <w:rPr>
        <w:rFonts w:ascii="Palatino Linotype" w:hAnsi="Palatino Linotype" w:cs="Tahoma"/>
        <w:b/>
      </w:rPr>
      <w:t xml:space="preserve">Recurso de Revisión: </w:t>
    </w:r>
    <w:r w:rsidR="007D35E1">
      <w:rPr>
        <w:rFonts w:ascii="Palatino Linotype" w:eastAsia="Palatino Linotype" w:hAnsi="Palatino Linotype" w:cs="Palatino Linotype"/>
        <w:b/>
      </w:rPr>
      <w:t>00894/INFOEM/IP/RR/2023</w:t>
    </w:r>
  </w:p>
  <w:p w14:paraId="71104997" w14:textId="788237B2" w:rsidR="00634485" w:rsidRDefault="00F47FB5" w:rsidP="00864A74">
    <w:pPr>
      <w:pStyle w:val="Encabezado"/>
      <w:ind w:left="2835" w:right="-250"/>
    </w:pPr>
    <w:r w:rsidRPr="00754FF0">
      <w:rPr>
        <w:rFonts w:ascii="Palatino Linotype" w:hAnsi="Palatino Linotype" w:cs="Tahoma"/>
        <w:b/>
      </w:rPr>
      <w:t>Sujeto Obligado:</w:t>
    </w:r>
    <w:r w:rsidRPr="00754FF0">
      <w:rPr>
        <w:rFonts w:ascii="Palatino Linotype" w:eastAsia="Palatino Linotype" w:hAnsi="Palatino Linotype" w:cs="Palatino Linotype"/>
        <w:b/>
      </w:rPr>
      <w:t xml:space="preserve"> </w:t>
    </w:r>
    <w:r w:rsidR="007D35E1">
      <w:rPr>
        <w:rFonts w:ascii="Palatino Linotype" w:eastAsia="Palatino Linotype" w:hAnsi="Palatino Linotype" w:cs="Palatino Linotype"/>
        <w:b/>
      </w:rPr>
      <w:t>Ayuntamiento de Capulhuac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106B" w14:textId="6EC0913B" w:rsidR="001112E6" w:rsidRDefault="0000000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1025" type="#_x0000_t136" style="position:absolute;margin-left:0;margin-top:0;width:620.2pt;height:82.65pt;rotation:315;z-index:-251656192;mso-position-horizontal:center;mso-position-horizontal-relative:margin;mso-position-vertical:center;mso-position-vertical-relative:margin"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745A45"/>
    <w:multiLevelType w:val="multilevel"/>
    <w:tmpl w:val="948E8CBA"/>
    <w:lvl w:ilvl="0">
      <w:start w:val="1"/>
      <w:numFmt w:val="decimal"/>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EC35CB"/>
    <w:multiLevelType w:val="hybridMultilevel"/>
    <w:tmpl w:val="DC1A8FC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5F723D2"/>
    <w:multiLevelType w:val="multilevel"/>
    <w:tmpl w:val="BDE6B31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7"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18"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1EA4F9B"/>
    <w:multiLevelType w:val="multilevel"/>
    <w:tmpl w:val="5F1E8898"/>
    <w:lvl w:ilvl="0">
      <w:start w:val="1"/>
      <w:numFmt w:val="decimal"/>
      <w:pStyle w:val="Listaconvietas3"/>
      <w:lvlText w:val="%1."/>
      <w:lvlJc w:val="left"/>
      <w:pPr>
        <w:ind w:left="720" w:hanging="360"/>
      </w:pPr>
      <w:rPr>
        <w:rFonts w:ascii="Palatino Linotype" w:eastAsia="Palatino Linotype" w:hAnsi="Palatino Linotype" w:cs="Palatino Linotype"/>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25"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28"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0"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1"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44665249">
    <w:abstractNumId w:val="2"/>
  </w:num>
  <w:num w:numId="2" w16cid:durableId="1397822627">
    <w:abstractNumId w:val="35"/>
  </w:num>
  <w:num w:numId="3" w16cid:durableId="1396900274">
    <w:abstractNumId w:val="10"/>
  </w:num>
  <w:num w:numId="4" w16cid:durableId="375467871">
    <w:abstractNumId w:val="14"/>
  </w:num>
  <w:num w:numId="5" w16cid:durableId="2121676274">
    <w:abstractNumId w:val="28"/>
  </w:num>
  <w:num w:numId="6" w16cid:durableId="1924096980">
    <w:abstractNumId w:val="26"/>
  </w:num>
  <w:num w:numId="7" w16cid:durableId="2089228368">
    <w:abstractNumId w:val="22"/>
  </w:num>
  <w:num w:numId="8" w16cid:durableId="808089948">
    <w:abstractNumId w:val="31"/>
  </w:num>
  <w:num w:numId="9" w16cid:durableId="210321175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9283522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1919053">
    <w:abstractNumId w:val="11"/>
  </w:num>
  <w:num w:numId="12" w16cid:durableId="772165149">
    <w:abstractNumId w:val="32"/>
  </w:num>
  <w:num w:numId="13" w16cid:durableId="14131626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2983177">
    <w:abstractNumId w:val="25"/>
  </w:num>
  <w:num w:numId="15" w16cid:durableId="1621571518">
    <w:abstractNumId w:val="18"/>
  </w:num>
  <w:num w:numId="16" w16cid:durableId="6337600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4981460">
    <w:abstractNumId w:val="27"/>
  </w:num>
  <w:num w:numId="18" w16cid:durableId="1784036352">
    <w:abstractNumId w:val="1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52845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10754335">
    <w:abstractNumId w:val="20"/>
  </w:num>
  <w:num w:numId="21" w16cid:durableId="110125328">
    <w:abstractNumId w:val="19"/>
  </w:num>
  <w:num w:numId="22" w16cid:durableId="20918520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88629979">
    <w:abstractNumId w:val="9"/>
  </w:num>
  <w:num w:numId="24" w16cid:durableId="3059332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926836">
    <w:abstractNumId w:val="4"/>
  </w:num>
  <w:num w:numId="26" w16cid:durableId="2128885412">
    <w:abstractNumId w:val="33"/>
  </w:num>
  <w:num w:numId="27" w16cid:durableId="16052617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01884759">
    <w:abstractNumId w:val="23"/>
  </w:num>
  <w:num w:numId="29" w16cid:durableId="31729096">
    <w:abstractNumId w:val="27"/>
  </w:num>
  <w:num w:numId="30" w16cid:durableId="1137134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5882165">
    <w:abstractNumId w:val="16"/>
  </w:num>
  <w:num w:numId="32" w16cid:durableId="19048260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807991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551629">
    <w:abstractNumId w:val="16"/>
  </w:num>
  <w:num w:numId="35" w16cid:durableId="1332950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17000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308046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444518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3360D"/>
    <w:rsid w:val="00043D11"/>
    <w:rsid w:val="000477D4"/>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3D11"/>
    <w:rsid w:val="001C7B07"/>
    <w:rsid w:val="001E4075"/>
    <w:rsid w:val="0020666A"/>
    <w:rsid w:val="00216C06"/>
    <w:rsid w:val="002378AC"/>
    <w:rsid w:val="00266831"/>
    <w:rsid w:val="00284217"/>
    <w:rsid w:val="00294490"/>
    <w:rsid w:val="002A4C3F"/>
    <w:rsid w:val="002D5B21"/>
    <w:rsid w:val="002E7D97"/>
    <w:rsid w:val="003026CE"/>
    <w:rsid w:val="00312863"/>
    <w:rsid w:val="00326EEA"/>
    <w:rsid w:val="003338BC"/>
    <w:rsid w:val="003448FB"/>
    <w:rsid w:val="00353A15"/>
    <w:rsid w:val="003D1F47"/>
    <w:rsid w:val="003F0929"/>
    <w:rsid w:val="003F528B"/>
    <w:rsid w:val="00411692"/>
    <w:rsid w:val="00430304"/>
    <w:rsid w:val="0043105B"/>
    <w:rsid w:val="00435FF9"/>
    <w:rsid w:val="00445879"/>
    <w:rsid w:val="0047213D"/>
    <w:rsid w:val="004807CC"/>
    <w:rsid w:val="00484A47"/>
    <w:rsid w:val="00484F6F"/>
    <w:rsid w:val="00486597"/>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5D8"/>
    <w:rsid w:val="005B3E0F"/>
    <w:rsid w:val="005C0271"/>
    <w:rsid w:val="005C481C"/>
    <w:rsid w:val="005C4ADA"/>
    <w:rsid w:val="005C59B8"/>
    <w:rsid w:val="005D1946"/>
    <w:rsid w:val="005F3A48"/>
    <w:rsid w:val="00615B7E"/>
    <w:rsid w:val="00621357"/>
    <w:rsid w:val="00634485"/>
    <w:rsid w:val="00665800"/>
    <w:rsid w:val="0067340C"/>
    <w:rsid w:val="00676638"/>
    <w:rsid w:val="0068101D"/>
    <w:rsid w:val="00685B0E"/>
    <w:rsid w:val="006A7AB7"/>
    <w:rsid w:val="006B2674"/>
    <w:rsid w:val="006E6389"/>
    <w:rsid w:val="006F0A6E"/>
    <w:rsid w:val="006F30F8"/>
    <w:rsid w:val="00701B9E"/>
    <w:rsid w:val="0071093C"/>
    <w:rsid w:val="00736C06"/>
    <w:rsid w:val="00754FF0"/>
    <w:rsid w:val="00760037"/>
    <w:rsid w:val="007617C8"/>
    <w:rsid w:val="00762C20"/>
    <w:rsid w:val="007A0EB7"/>
    <w:rsid w:val="007A1C9F"/>
    <w:rsid w:val="007B1CFA"/>
    <w:rsid w:val="007B578D"/>
    <w:rsid w:val="007C0652"/>
    <w:rsid w:val="007C766E"/>
    <w:rsid w:val="007D35E1"/>
    <w:rsid w:val="007D4251"/>
    <w:rsid w:val="007D46B1"/>
    <w:rsid w:val="007D49CE"/>
    <w:rsid w:val="007E2D4F"/>
    <w:rsid w:val="007E70F8"/>
    <w:rsid w:val="00812F10"/>
    <w:rsid w:val="00820022"/>
    <w:rsid w:val="00820034"/>
    <w:rsid w:val="00825202"/>
    <w:rsid w:val="0083108D"/>
    <w:rsid w:val="00861117"/>
    <w:rsid w:val="00861A61"/>
    <w:rsid w:val="00864A74"/>
    <w:rsid w:val="00892AFC"/>
    <w:rsid w:val="008A584E"/>
    <w:rsid w:val="008B0A68"/>
    <w:rsid w:val="008C19BE"/>
    <w:rsid w:val="008C2C2F"/>
    <w:rsid w:val="008C3C4B"/>
    <w:rsid w:val="008D1526"/>
    <w:rsid w:val="008F67BC"/>
    <w:rsid w:val="00956B18"/>
    <w:rsid w:val="00961995"/>
    <w:rsid w:val="00975EB9"/>
    <w:rsid w:val="00997CD5"/>
    <w:rsid w:val="009D10D2"/>
    <w:rsid w:val="009E155A"/>
    <w:rsid w:val="009F0D8D"/>
    <w:rsid w:val="00A16950"/>
    <w:rsid w:val="00A303B0"/>
    <w:rsid w:val="00A53363"/>
    <w:rsid w:val="00A561C5"/>
    <w:rsid w:val="00A610D3"/>
    <w:rsid w:val="00A74BB7"/>
    <w:rsid w:val="00A7532A"/>
    <w:rsid w:val="00A81140"/>
    <w:rsid w:val="00AB78CF"/>
    <w:rsid w:val="00AC0680"/>
    <w:rsid w:val="00AE7763"/>
    <w:rsid w:val="00B014D8"/>
    <w:rsid w:val="00B05E5A"/>
    <w:rsid w:val="00B343D6"/>
    <w:rsid w:val="00B53290"/>
    <w:rsid w:val="00B64CFB"/>
    <w:rsid w:val="00B703D7"/>
    <w:rsid w:val="00B7360E"/>
    <w:rsid w:val="00B8132C"/>
    <w:rsid w:val="00B868A5"/>
    <w:rsid w:val="00BB071F"/>
    <w:rsid w:val="00BB11DB"/>
    <w:rsid w:val="00BB2AD1"/>
    <w:rsid w:val="00BC1756"/>
    <w:rsid w:val="00BD07E6"/>
    <w:rsid w:val="00BD7483"/>
    <w:rsid w:val="00BF358F"/>
    <w:rsid w:val="00BF68F0"/>
    <w:rsid w:val="00BF6974"/>
    <w:rsid w:val="00BF6E14"/>
    <w:rsid w:val="00C156E5"/>
    <w:rsid w:val="00C17E9C"/>
    <w:rsid w:val="00C255B0"/>
    <w:rsid w:val="00C27236"/>
    <w:rsid w:val="00C65950"/>
    <w:rsid w:val="00C75CBC"/>
    <w:rsid w:val="00C80F8C"/>
    <w:rsid w:val="00C85F1D"/>
    <w:rsid w:val="00C8760D"/>
    <w:rsid w:val="00CE0FA6"/>
    <w:rsid w:val="00CF3F65"/>
    <w:rsid w:val="00D03369"/>
    <w:rsid w:val="00D20156"/>
    <w:rsid w:val="00D36ABC"/>
    <w:rsid w:val="00D6282D"/>
    <w:rsid w:val="00D96441"/>
    <w:rsid w:val="00DC2CB7"/>
    <w:rsid w:val="00DC3082"/>
    <w:rsid w:val="00DD45AC"/>
    <w:rsid w:val="00DD5CD5"/>
    <w:rsid w:val="00DE1629"/>
    <w:rsid w:val="00DE5C27"/>
    <w:rsid w:val="00E37AE3"/>
    <w:rsid w:val="00E429BA"/>
    <w:rsid w:val="00E73E67"/>
    <w:rsid w:val="00EF3513"/>
    <w:rsid w:val="00F05A30"/>
    <w:rsid w:val="00F47FB5"/>
    <w:rsid w:val="00F503FF"/>
    <w:rsid w:val="00F614DA"/>
    <w:rsid w:val="00F717F4"/>
    <w:rsid w:val="00F75892"/>
    <w:rsid w:val="00F9546D"/>
    <w:rsid w:val="00FA1233"/>
    <w:rsid w:val="00FA6301"/>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vietas3">
    <w:name w:val="List Bullet 3"/>
    <w:basedOn w:val="Normal"/>
    <w:uiPriority w:val="99"/>
    <w:semiHidden/>
    <w:unhideWhenUsed/>
    <w:rsid w:val="00864A74"/>
    <w:pPr>
      <w:numPr>
        <w:numId w:val="36"/>
      </w:numPr>
      <w:contextualSpacing/>
    </w:pPr>
    <w:rPr>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58793165">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161285269">
      <w:bodyDiv w:val="1"/>
      <w:marLeft w:val="0"/>
      <w:marRight w:val="0"/>
      <w:marTop w:val="0"/>
      <w:marBottom w:val="0"/>
      <w:divBdr>
        <w:top w:val="none" w:sz="0" w:space="0" w:color="auto"/>
        <w:left w:val="none" w:sz="0" w:space="0" w:color="auto"/>
        <w:bottom w:val="none" w:sz="0" w:space="0" w:color="auto"/>
        <w:right w:val="none" w:sz="0" w:space="0" w:color="auto"/>
      </w:divBdr>
    </w:div>
    <w:div w:id="197206125">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21743278">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0762154">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720178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482619514">
      <w:bodyDiv w:val="1"/>
      <w:marLeft w:val="0"/>
      <w:marRight w:val="0"/>
      <w:marTop w:val="0"/>
      <w:marBottom w:val="0"/>
      <w:divBdr>
        <w:top w:val="none" w:sz="0" w:space="0" w:color="auto"/>
        <w:left w:val="none" w:sz="0" w:space="0" w:color="auto"/>
        <w:bottom w:val="none" w:sz="0" w:space="0" w:color="auto"/>
        <w:right w:val="none" w:sz="0" w:space="0" w:color="auto"/>
      </w:divBdr>
    </w:div>
    <w:div w:id="487867220">
      <w:bodyDiv w:val="1"/>
      <w:marLeft w:val="0"/>
      <w:marRight w:val="0"/>
      <w:marTop w:val="0"/>
      <w:marBottom w:val="0"/>
      <w:divBdr>
        <w:top w:val="none" w:sz="0" w:space="0" w:color="auto"/>
        <w:left w:val="none" w:sz="0" w:space="0" w:color="auto"/>
        <w:bottom w:val="none" w:sz="0" w:space="0" w:color="auto"/>
        <w:right w:val="none" w:sz="0" w:space="0" w:color="auto"/>
      </w:divBdr>
    </w:div>
    <w:div w:id="525795901">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51253222">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8596081">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765492758">
      <w:bodyDiv w:val="1"/>
      <w:marLeft w:val="0"/>
      <w:marRight w:val="0"/>
      <w:marTop w:val="0"/>
      <w:marBottom w:val="0"/>
      <w:divBdr>
        <w:top w:val="none" w:sz="0" w:space="0" w:color="auto"/>
        <w:left w:val="none" w:sz="0" w:space="0" w:color="auto"/>
        <w:bottom w:val="none" w:sz="0" w:space="0" w:color="auto"/>
        <w:right w:val="none" w:sz="0" w:space="0" w:color="auto"/>
      </w:divBdr>
    </w:div>
    <w:div w:id="769280580">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4954174">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53370405">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998536907">
      <w:bodyDiv w:val="1"/>
      <w:marLeft w:val="0"/>
      <w:marRight w:val="0"/>
      <w:marTop w:val="0"/>
      <w:marBottom w:val="0"/>
      <w:divBdr>
        <w:top w:val="none" w:sz="0" w:space="0" w:color="auto"/>
        <w:left w:val="none" w:sz="0" w:space="0" w:color="auto"/>
        <w:bottom w:val="none" w:sz="0" w:space="0" w:color="auto"/>
        <w:right w:val="none" w:sz="0" w:space="0" w:color="auto"/>
      </w:divBdr>
    </w:div>
    <w:div w:id="1025598103">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0272955">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6613866">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0637622">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2966410">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1943588">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86642628">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54979936">
      <w:bodyDiv w:val="1"/>
      <w:marLeft w:val="0"/>
      <w:marRight w:val="0"/>
      <w:marTop w:val="0"/>
      <w:marBottom w:val="0"/>
      <w:divBdr>
        <w:top w:val="none" w:sz="0" w:space="0" w:color="auto"/>
        <w:left w:val="none" w:sz="0" w:space="0" w:color="auto"/>
        <w:bottom w:val="none" w:sz="0" w:space="0" w:color="auto"/>
        <w:right w:val="none" w:sz="0" w:space="0" w:color="auto"/>
      </w:divBdr>
    </w:div>
    <w:div w:id="1472207973">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61286507">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687319685">
      <w:bodyDiv w:val="1"/>
      <w:marLeft w:val="0"/>
      <w:marRight w:val="0"/>
      <w:marTop w:val="0"/>
      <w:marBottom w:val="0"/>
      <w:divBdr>
        <w:top w:val="none" w:sz="0" w:space="0" w:color="auto"/>
        <w:left w:val="none" w:sz="0" w:space="0" w:color="auto"/>
        <w:bottom w:val="none" w:sz="0" w:space="0" w:color="auto"/>
        <w:right w:val="none" w:sz="0" w:space="0" w:color="auto"/>
      </w:divBdr>
    </w:div>
    <w:div w:id="1743721536">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78216290">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3265662">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09D6C-6818-4B0B-983D-262D3E8DE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2220</Words>
  <Characters>12212</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Infoem600</cp:lastModifiedBy>
  <cp:revision>3</cp:revision>
  <cp:lastPrinted>2023-09-19T00:15:00Z</cp:lastPrinted>
  <dcterms:created xsi:type="dcterms:W3CDTF">2023-10-17T19:20:00Z</dcterms:created>
  <dcterms:modified xsi:type="dcterms:W3CDTF">2024-02-09T00:01:00Z</dcterms:modified>
</cp:coreProperties>
</file>