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06">
      <w:pPr>
        <w:spacing w:before="270" w:line="360" w:lineRule="auto"/>
        <w:ind w:left="965" w:right="104" w:firstLine="0"/>
        <w:jc w:val="both"/>
        <w:rPr>
          <w:b w:val="1"/>
          <w:sz w:val="22"/>
          <w:szCs w:val="22"/>
        </w:rPr>
      </w:pPr>
      <w:r w:rsidDel="00000000" w:rsidR="00000000" w:rsidRPr="00000000">
        <w:rPr>
          <w:b w:val="1"/>
          <w:sz w:val="22"/>
          <w:szCs w:val="22"/>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CUADRAGÉSIMA SESIÓN ORDINARIA DEL OCHO DE NOVIEMBRE DE DOS MIL VEINTITRÉS, EN EL RECURSO DE REVISIÓN 01820/INFOEM/IP/RR/2023.</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la suscrita emite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01820/INFOEM/IP/RR/2023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pronunciada por el Pleno de este Instituto ante el proyecto presentado por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Comisionado Presidente José Martínez Vilchis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 cual es al tenor siguiente: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32"/>
        </w:tabs>
        <w:spacing w:after="0" w:before="1" w:line="240" w:lineRule="auto"/>
        <w:ind w:left="1532" w:right="0" w:hanging="140"/>
        <w:jc w:val="left"/>
        <w:rPr>
          <w:rFonts w:ascii="Palatino Linotype" w:cs="Palatino Linotype" w:eastAsia="Palatino Linotype" w:hAnsi="Palatino Linotype"/>
          <w:b w:val="1"/>
          <w:i w:val="0"/>
          <w:smallCaps w:val="0"/>
          <w:strike w:val="0"/>
          <w:color w:val="000000"/>
          <w:sz w:val="20"/>
          <w:szCs w:val="20"/>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Antecedentes.</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asunto que ahora nos ocupa, la parte Recurrente solicitó al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le </w:t>
      </w:r>
      <w:r w:rsidDel="00000000" w:rsidR="00000000" w:rsidRPr="00000000">
        <w:rPr>
          <w:rtl w:val="0"/>
        </w:rPr>
        <w:t xml:space="preserve">proporcionará</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siguiente información: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276" w:lineRule="auto"/>
        <w:ind w:left="1531" w:right="722" w:firstLine="0"/>
        <w:jc w:val="both"/>
        <w:rPr>
          <w:i w:val="1"/>
          <w:sz w:val="22"/>
          <w:szCs w:val="22"/>
        </w:rPr>
      </w:pPr>
      <w:r w:rsidDel="00000000" w:rsidR="00000000" w:rsidRPr="00000000">
        <w:rPr>
          <w:i w:val="1"/>
          <w:sz w:val="22"/>
          <w:szCs w:val="22"/>
          <w:rtl w:val="0"/>
        </w:rPr>
        <w:t xml:space="preserve">“Se entregue la siguiente información correspondiente al 2023: Presupuesto de Ingresos Detallado 1.Carátula del Presupuesto de Ingresos 2. Presupuesto de Egresos Detallado</w:t>
      </w:r>
    </w:p>
    <w:p w:rsidR="00000000" w:rsidDel="00000000" w:rsidP="00000000" w:rsidRDefault="00000000" w:rsidRPr="00000000" w14:paraId="0000000F">
      <w:pPr>
        <w:spacing w:before="0" w:line="296" w:lineRule="auto"/>
        <w:ind w:left="1531" w:right="0" w:firstLine="0"/>
        <w:jc w:val="both"/>
        <w:rPr>
          <w:i w:val="1"/>
          <w:sz w:val="22"/>
          <w:szCs w:val="22"/>
        </w:rPr>
      </w:pPr>
      <w:r w:rsidDel="00000000" w:rsidR="00000000" w:rsidRPr="00000000">
        <w:rPr>
          <w:i w:val="1"/>
          <w:sz w:val="22"/>
          <w:szCs w:val="22"/>
          <w:rtl w:val="0"/>
        </w:rPr>
        <w:t xml:space="preserve">3. Presupuesto de Egresos Global Calendarizado 4. Carátula del Presupuesto de Egresos</w:t>
      </w:r>
    </w:p>
    <w:p w:rsidR="00000000" w:rsidDel="00000000" w:rsidP="00000000" w:rsidRDefault="00000000" w:rsidRPr="00000000" w14:paraId="00000010">
      <w:pPr>
        <w:spacing w:before="44" w:line="276" w:lineRule="auto"/>
        <w:ind w:left="1531" w:right="719" w:firstLine="0"/>
        <w:jc w:val="both"/>
        <w:rPr>
          <w:b w:val="1"/>
          <w:i w:val="1"/>
          <w:sz w:val="22"/>
          <w:szCs w:val="22"/>
        </w:rPr>
      </w:pPr>
      <w:r w:rsidDel="00000000" w:rsidR="00000000" w:rsidRPr="00000000">
        <w:rPr>
          <w:i w:val="1"/>
          <w:sz w:val="22"/>
          <w:szCs w:val="22"/>
          <w:rtl w:val="0"/>
        </w:rPr>
        <w:t xml:space="preserve">5. Tabulador de Sueldos 6. Programa Anual de Adquisiciones 7. Programa Anual de Obra 8. Programa Anual de Obra (Reparaciones y Mantenimiento) 9. </w:t>
      </w:r>
      <w:r w:rsidDel="00000000" w:rsidR="00000000" w:rsidRPr="00000000">
        <w:rPr>
          <w:b w:val="1"/>
          <w:i w:val="1"/>
          <w:sz w:val="22"/>
          <w:szCs w:val="22"/>
          <w:u w:val="single"/>
          <w:rtl w:val="0"/>
        </w:rPr>
        <w:t xml:space="preserve">Remuneraciones</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de Servidores Públicos” (Sic)</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spacing w:before="0" w:lineRule="auto"/>
        <w:ind w:left="0" w:right="105" w:firstLine="0"/>
        <w:jc w:val="right"/>
        <w:rPr>
          <w:rFonts w:ascii="Arial" w:cs="Arial" w:eastAsia="Arial" w:hAnsi="Arial"/>
          <w:b w:val="1"/>
          <w:sz w:val="20"/>
          <w:szCs w:val="20"/>
        </w:rPr>
        <w:sectPr>
          <w:pgSz w:h="15840" w:w="12240" w:orient="portrait"/>
          <w:pgMar w:bottom="0" w:top="380" w:left="1020" w:right="1220" w:header="360" w:footer="360"/>
          <w:pgNumType w:start="1"/>
        </w:sectPr>
      </w:pPr>
      <w:r w:rsidDel="00000000" w:rsidR="00000000" w:rsidRPr="00000000">
        <w:rPr>
          <w:rFonts w:ascii="Arial" w:cs="Arial" w:eastAsia="Arial" w:hAnsi="Arial"/>
          <w:b w:val="1"/>
          <w:sz w:val="20"/>
          <w:szCs w:val="20"/>
          <w:rtl w:val="0"/>
        </w:rPr>
        <w:t xml:space="preserve">1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40" w:lineRule="auto"/>
        <w:ind w:left="965"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respuesta, el Sujeto Obligado remitió los documentos que se describen a continuación: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85"/>
        </w:tabs>
        <w:spacing w:after="0" w:before="0" w:line="276" w:lineRule="auto"/>
        <w:ind w:left="1685" w:right="102"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PROGRAMA ANUAL DE OBRA.pdf: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Contiene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PbRM 07a Programa Anual de Obra,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primero de enero al treinta y uno de diciembre de dos mil veintitrés.</w:t>
      </w:r>
    </w:p>
    <w:p w:rsidR="00000000" w:rsidDel="00000000" w:rsidP="00000000" w:rsidRDefault="00000000" w:rsidRPr="00000000" w14:paraId="0000002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85"/>
        </w:tabs>
        <w:spacing w:after="0" w:before="1" w:line="276" w:lineRule="auto"/>
        <w:ind w:left="1685" w:right="104"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PROGRAMA ANUAL DE OBRA.pdf: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Consta de diversos oficios, entre ellos los siguientes oficios:</w:t>
      </w:r>
    </w:p>
    <w:p w:rsidR="00000000" w:rsidDel="00000000" w:rsidP="00000000" w:rsidRDefault="00000000" w:rsidRPr="00000000" w14:paraId="00000023">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105"/>
        </w:tabs>
        <w:spacing w:after="0" w:before="93" w:line="276" w:lineRule="auto"/>
        <w:ind w:left="2105" w:right="104"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TM/ECA/2166/2023: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Mediante el cual la Tesorera Municipal refiere que hace entrega de la información solicitada, adjuntando así la Carátula de Presupuesto de Ingresos y la Carátula de Presupuesto de Egresos.</w:t>
      </w:r>
    </w:p>
    <w:p w:rsidR="00000000" w:rsidDel="00000000" w:rsidP="00000000" w:rsidRDefault="00000000" w:rsidRPr="00000000" w14:paraId="00000024">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105"/>
        </w:tabs>
        <w:spacing w:after="0" w:before="95" w:line="276" w:lineRule="auto"/>
        <w:ind w:left="2105" w:right="10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DA/ECA/SAyL/0938/2023: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Mediante el cual la Dirección de Administración refiere que para el caso del Tabulador de Sueldos y el Programa Anual de Adquisiciones, manifiesta que respecto a la información solicitada para el Presupuesto 2023, aún se encuentra en estado de actualización, razón por la cual todavía no se cuenta con él, toda vez que no ha sido turnado por parte de la Tesorería Municipal.</w:t>
      </w:r>
    </w:p>
    <w:p w:rsidR="00000000" w:rsidDel="00000000" w:rsidP="00000000" w:rsidRDefault="00000000" w:rsidRPr="00000000" w14:paraId="00000025">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105"/>
        </w:tabs>
        <w:spacing w:after="0" w:before="96" w:line="276" w:lineRule="auto"/>
        <w:ind w:left="2105" w:right="10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DA/ECA/SRH/DEyCP/0926/2023: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Mediante el cual refiere que para el caso del Tabulador de sueldos, y las remuneraciones de servidores públicos, pueden ser visualizados a través de la Plataforma Ipomex, sin embargo lo relativo al primer trimestre del ejercicio 2023, actualmente se encuentra en proceso de actualización en términos de lo establecido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sin embargo puede consultarse la información relativa al ejercicio anterior, en la dirección electrónica </w:t>
      </w:r>
      <w:hyperlink r:id="rId8">
        <w:r w:rsidDel="00000000" w:rsidR="00000000" w:rsidRPr="00000000">
          <w:rPr>
            <w:rFonts w:ascii="Palatino Linotype" w:cs="Palatino Linotype" w:eastAsia="Palatino Linotype" w:hAnsi="Palatino Linotype"/>
            <w:b w:val="0"/>
            <w:i w:val="1"/>
            <w:smallCaps w:val="0"/>
            <w:strike w:val="0"/>
            <w:color w:val="0000ff"/>
            <w:sz w:val="22"/>
            <w:szCs w:val="22"/>
            <w:u w:val="single"/>
            <w:shd w:fill="auto" w:val="clear"/>
            <w:vertAlign w:val="baseline"/>
            <w:rtl w:val="0"/>
          </w:rPr>
          <w:t xml:space="preserve">http://ecatepec.gob.mx/transparencia</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ejercicio 2018 y posteriores, el numeral 5 en el artículo 92 fracción VIII B Tabulador de Sueldos, y el 9 en el Artículo 92 fracción VIII A Remuneraciones, por lo que para su consulta anexa los instructivos que indican como realizar las búsquedas.</w:t>
      </w:r>
    </w:p>
    <w:p w:rsidR="00000000" w:rsidDel="00000000" w:rsidP="00000000" w:rsidRDefault="00000000" w:rsidRPr="00000000" w14:paraId="00000026">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105"/>
        </w:tabs>
        <w:spacing w:after="0" w:before="94" w:line="278.00000000000006" w:lineRule="auto"/>
        <w:ind w:left="2105" w:right="104"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DDUyOP/ECA/02839/2023: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Mediante el cual el Director de Desarrollo Urbano y Obras Públicas, manifiesta que anexa en formato digital a la presente el Programa Anual de obra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2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33">
      <w:pPr>
        <w:spacing w:before="270" w:line="276" w:lineRule="auto"/>
        <w:ind w:left="2105" w:right="105" w:firstLine="0"/>
        <w:jc w:val="both"/>
        <w:rPr>
          <w:i w:val="1"/>
          <w:sz w:val="22"/>
          <w:szCs w:val="22"/>
        </w:rPr>
      </w:pPr>
      <w:r w:rsidDel="00000000" w:rsidR="00000000" w:rsidRPr="00000000">
        <w:rPr>
          <w:i w:val="1"/>
          <w:sz w:val="22"/>
          <w:szCs w:val="22"/>
          <w:rtl w:val="0"/>
        </w:rPr>
        <w:t xml:space="preserve">vigente para el ejercicio fiscal 2023, asimismo se adjunta el memorándum 94, emitido por el encargado del Despacho de la Subdirección de Obras Públicas, mediante el cual refiere que para atender lo solicitado, se anexa el Programa Anual de Obra Vigente (20 fojas), para el ejercicio 2023.</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5"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Posteriormente, la parte Solicitante presentó su medio de impugnación, a través de lo cual refirió lo siguiente: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spacing w:before="1" w:lineRule="auto"/>
        <w:ind w:left="1531" w:right="0" w:firstLine="0"/>
        <w:jc w:val="left"/>
        <w:rPr>
          <w:i w:val="1"/>
          <w:sz w:val="22"/>
          <w:szCs w:val="22"/>
        </w:rPr>
      </w:pPr>
      <w:r w:rsidDel="00000000" w:rsidR="00000000" w:rsidRPr="00000000">
        <w:rPr>
          <w:i w:val="1"/>
          <w:sz w:val="22"/>
          <w:szCs w:val="22"/>
          <w:rtl w:val="0"/>
        </w:rPr>
        <w:t xml:space="preserve">“NO CONTIENE TODA LA INFORMACION REQUERIDA.”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5"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partes fueron omisas en rendir manifestaciones.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las cosas, la Ponencia Resolutora una vez analizadas las constancias que obran en el expediente electrónico del SAIMEX, determinó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MODIFICAR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respuesta y determinó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ORDENAR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siguiente información: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6"/>
        </w:tabs>
        <w:spacing w:after="0" w:before="0" w:line="240" w:lineRule="auto"/>
        <w:ind w:left="1746" w:right="0" w:hanging="359.00000000000006"/>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Documento donde conste el presupuesto de ingreso detallado, a la fecha de la solicitud.</w:t>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6"/>
        </w:tabs>
        <w:spacing w:after="0" w:before="44" w:line="240" w:lineRule="auto"/>
        <w:ind w:left="1746" w:right="0" w:hanging="359.00000000000006"/>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Documento donde conste el presupuesto de egresos detallado a la fecha de la solicitud.</w:t>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7"/>
          <w:tab w:val="left" w:leader="none" w:pos="1802"/>
        </w:tabs>
        <w:spacing w:after="0" w:before="44" w:line="276" w:lineRule="auto"/>
        <w:ind w:left="1747" w:right="806" w:hanging="36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ab/>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Documento donde conste el presupuesto de egresos global calendarizado a la fecha de la solicitud.</w:t>
      </w:r>
    </w:p>
    <w:p w:rsidR="00000000" w:rsidDel="00000000" w:rsidP="00000000" w:rsidRDefault="00000000" w:rsidRPr="00000000" w14:paraId="0000004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6"/>
        </w:tabs>
        <w:spacing w:after="0" w:before="0" w:line="296" w:lineRule="auto"/>
        <w:ind w:left="1746" w:right="0" w:hanging="359.00000000000006"/>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Tabulador de sueldos del Sujeto Obligado a la fecha de la solicitud.</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7"/>
        </w:tabs>
        <w:spacing w:after="0" w:before="0" w:line="276" w:lineRule="auto"/>
        <w:ind w:left="1747" w:right="81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highlight w:val="white"/>
          <w:u w:val="none"/>
          <w:vertAlign w:val="baseline"/>
          <w:rtl w:val="0"/>
        </w:rPr>
        <w:t xml:space="preserve">La remuneración bruta y neta de todos los servidores públicos adscritos al Sujeto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Obligado, a la fecha de la solicitud.</w:t>
      </w:r>
    </w:p>
    <w:p w:rsidR="00000000" w:rsidDel="00000000" w:rsidP="00000000" w:rsidRDefault="00000000" w:rsidRPr="00000000" w14:paraId="000000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747"/>
        </w:tabs>
        <w:spacing w:after="0" w:before="0" w:line="276" w:lineRule="auto"/>
        <w:ind w:left="1747" w:right="808"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Documento donde conste el programa anual de adquisiciones a la fecha de la solicitud. Para la entrega en versión pública deberá emitir el Acuerdo del Comité de Transparencia en términos de los artículos 49, fracción VIII y 132 fracción II de la Ley de Transparencia y Acceso a la Información Pública del Estado de México y</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3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3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52">
      <w:pPr>
        <w:spacing w:before="270" w:line="276" w:lineRule="auto"/>
        <w:ind w:left="1747" w:right="591" w:firstLine="0"/>
        <w:jc w:val="left"/>
        <w:rPr>
          <w:i w:val="1"/>
          <w:sz w:val="22"/>
          <w:szCs w:val="22"/>
        </w:rPr>
      </w:pPr>
      <w:r w:rsidDel="00000000" w:rsidR="00000000" w:rsidRPr="00000000">
        <w:rPr>
          <w:i w:val="1"/>
          <w:sz w:val="22"/>
          <w:szCs w:val="22"/>
          <w:rtl w:val="0"/>
        </w:rPr>
        <w:t xml:space="preserve">Municipios, en el que funde y motive las razones sobre los datos que se supriman o eliminen y se ponga a disposición del recurrente.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85"/>
        </w:tabs>
        <w:spacing w:after="0" w:before="0" w:line="240" w:lineRule="auto"/>
        <w:ind w:left="1685" w:right="0" w:hanging="36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del Voto Particular.</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este orden de ideas, resulta importante señalar que respecto al punto 5 del resolutivo segundo, coincido con los términos generales planteados en la Resolución toda vez que por regla general la publicidad 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spacing w:before="0" w:line="360" w:lineRule="auto"/>
        <w:ind w:left="965" w:right="100" w:firstLine="0"/>
        <w:jc w:val="both"/>
        <w:rPr>
          <w:sz w:val="22"/>
          <w:szCs w:val="22"/>
        </w:rPr>
      </w:pPr>
      <w:r w:rsidDel="00000000" w:rsidR="00000000" w:rsidRPr="00000000">
        <w:rPr>
          <w:sz w:val="22"/>
          <w:szCs w:val="22"/>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b w:val="1"/>
          <w:sz w:val="22"/>
          <w:szCs w:val="22"/>
          <w:rtl w:val="0"/>
        </w:rPr>
        <w:t xml:space="preserve">los Municipios</w:t>
      </w:r>
      <w:r w:rsidDel="00000000" w:rsidR="00000000" w:rsidRPr="00000000">
        <w:rPr>
          <w:sz w:val="22"/>
          <w:szCs w:val="22"/>
          <w:rtl w:val="0"/>
        </w:rPr>
        <w:t xml:space="preserve">, </w:t>
      </w:r>
      <w:r w:rsidDel="00000000" w:rsidR="00000000" w:rsidRPr="00000000">
        <w:rPr>
          <w:b w:val="1"/>
          <w:sz w:val="22"/>
          <w:szCs w:val="22"/>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sz w:val="22"/>
          <w:szCs w:val="22"/>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4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65" w:right="105"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5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3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spacing w:before="1" w:lineRule="auto"/>
        <w:ind w:left="1531" w:right="1096" w:firstLine="0"/>
        <w:jc w:val="both"/>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rtl w:val="0"/>
        </w:rPr>
        <w:t xml:space="preserve">Artículo 81.- </w:t>
      </w:r>
      <w:r w:rsidDel="00000000" w:rsidR="00000000" w:rsidRPr="00000000">
        <w:rPr>
          <w:i w:val="1"/>
          <w:sz w:val="22"/>
          <w:szCs w:val="22"/>
          <w:rtl w:val="0"/>
        </w:rPr>
        <w:t xml:space="preserve">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7D">
      <w:pPr>
        <w:spacing w:before="1" w:lineRule="auto"/>
        <w:ind w:left="1531"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7E">
      <w:pPr>
        <w:pStyle w:val="Heading2"/>
        <w:numPr>
          <w:ilvl w:val="0"/>
          <w:numId w:val="5"/>
        </w:numPr>
        <w:tabs>
          <w:tab w:val="left" w:leader="none" w:pos="1757"/>
        </w:tabs>
        <w:spacing w:after="0" w:before="1" w:line="240" w:lineRule="auto"/>
        <w:ind w:left="1531" w:right="1097" w:firstLine="0"/>
        <w:jc w:val="both"/>
        <w:rPr>
          <w:u w:val="single"/>
        </w:rPr>
      </w:pPr>
      <w:r w:rsidDel="00000000" w:rsidR="00000000" w:rsidRPr="00000000">
        <w:rPr>
          <w:u w:val="single"/>
          <w:rtl w:val="0"/>
        </w:rPr>
        <w:t xml:space="preserve"> Aquella cuya revelación pueda ser utilizada para actualizar o potenciar</w:t>
      </w:r>
      <w:r w:rsidDel="00000000" w:rsidR="00000000" w:rsidRPr="00000000">
        <w:rPr>
          <w:rtl w:val="0"/>
        </w:rPr>
        <w:t xml:space="preserve"> </w:t>
      </w:r>
      <w:r w:rsidDel="00000000" w:rsidR="00000000" w:rsidRPr="00000000">
        <w:rPr>
          <w:u w:val="single"/>
          <w:rtl w:val="0"/>
        </w:rPr>
        <w:t xml:space="preserve">una amenaza a la seguridad pública o a las instituciones del Estado de</w:t>
      </w:r>
      <w:r w:rsidDel="00000000" w:rsidR="00000000" w:rsidRPr="00000000">
        <w:rPr>
          <w:rtl w:val="0"/>
        </w:rPr>
        <w:t xml:space="preserve"> </w:t>
      </w:r>
      <w:r w:rsidDel="00000000" w:rsidR="00000000" w:rsidRPr="00000000">
        <w:rPr>
          <w:u w:val="single"/>
          <w:rtl w:val="0"/>
        </w:rPr>
        <w:t xml:space="preserve">México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spacing w:before="0" w:lineRule="auto"/>
        <w:ind w:left="1531" w:right="591" w:firstLine="0"/>
        <w:jc w:val="left"/>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rtl w:val="0"/>
        </w:rPr>
        <w:t xml:space="preserve">Artículo 113. </w:t>
      </w:r>
      <w:r w:rsidDel="00000000" w:rsidR="00000000" w:rsidRPr="00000000">
        <w:rPr>
          <w:i w:val="1"/>
          <w:sz w:val="22"/>
          <w:szCs w:val="22"/>
          <w:rtl w:val="0"/>
        </w:rPr>
        <w:t xml:space="preserve">Como información reservada podrá clasificarse aquella cuya publicación:</w:t>
      </w:r>
    </w:p>
    <w:p w:rsidR="00000000" w:rsidDel="00000000" w:rsidP="00000000" w:rsidRDefault="00000000" w:rsidRPr="00000000" w14:paraId="00000083">
      <w:pPr>
        <w:pStyle w:val="Heading2"/>
        <w:numPr>
          <w:ilvl w:val="0"/>
          <w:numId w:val="2"/>
        </w:numPr>
        <w:tabs>
          <w:tab w:val="left" w:leader="none" w:pos="1797"/>
        </w:tabs>
        <w:spacing w:after="0" w:before="2" w:line="240" w:lineRule="auto"/>
        <w:ind w:left="1531" w:right="815" w:firstLine="0"/>
        <w:jc w:val="left"/>
        <w:rPr/>
      </w:pPr>
      <w:r w:rsidDel="00000000" w:rsidR="00000000" w:rsidRPr="00000000">
        <w:rPr>
          <w:rtl w:val="0"/>
        </w:rPr>
        <w:t xml:space="preserve">Comprometa la seguridad nacional, la seguridad pública o la defensa nacional y cuente con un propósito genuino y un efecto demostrable;</w:t>
      </w:r>
    </w:p>
    <w:p w:rsidR="00000000" w:rsidDel="00000000" w:rsidP="00000000" w:rsidRDefault="00000000" w:rsidRPr="00000000" w14:paraId="00000084">
      <w:pPr>
        <w:spacing w:before="1" w:line="295" w:lineRule="auto"/>
        <w:ind w:left="1531" w:right="0" w:firstLine="0"/>
        <w:jc w:val="left"/>
        <w:rPr>
          <w:b w:val="1"/>
          <w:i w:val="1"/>
          <w:sz w:val="22"/>
          <w:szCs w:val="22"/>
        </w:rPr>
      </w:pPr>
      <w:r w:rsidDel="00000000" w:rsidR="00000000" w:rsidRPr="00000000">
        <w:rPr>
          <w:b w:val="1"/>
          <w:i w:val="1"/>
          <w:sz w:val="22"/>
          <w:szCs w:val="22"/>
          <w:rtl w:val="0"/>
        </w:rPr>
        <w:t xml:space="preserve">..</w:t>
      </w:r>
    </w:p>
    <w:p w:rsidR="00000000" w:rsidDel="00000000" w:rsidP="00000000" w:rsidRDefault="00000000" w:rsidRPr="00000000" w14:paraId="00000085">
      <w:pPr>
        <w:spacing w:before="0" w:lineRule="auto"/>
        <w:ind w:left="1531" w:right="813" w:firstLine="0"/>
        <w:jc w:val="both"/>
        <w:rPr>
          <w:i w:val="1"/>
          <w:sz w:val="22"/>
          <w:szCs w:val="22"/>
        </w:rPr>
      </w:pPr>
      <w:r w:rsidDel="00000000" w:rsidR="00000000" w:rsidRPr="00000000">
        <w:rPr>
          <w:b w:val="1"/>
          <w:i w:val="1"/>
          <w:sz w:val="22"/>
          <w:szCs w:val="22"/>
          <w:rtl w:val="0"/>
        </w:rPr>
        <w:t xml:space="preserve">Artículo 140. </w:t>
      </w:r>
      <w:r w:rsidDel="00000000" w:rsidR="00000000" w:rsidRPr="00000000">
        <w:rPr>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6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92">
      <w:pPr>
        <w:pStyle w:val="Heading2"/>
        <w:spacing w:before="272" w:lineRule="auto"/>
        <w:ind w:firstLine="1531"/>
        <w:rPr/>
      </w:pPr>
      <w:r w:rsidDel="00000000" w:rsidR="00000000" w:rsidRPr="00000000">
        <w:rPr>
          <w:rtl w:val="0"/>
        </w:rPr>
        <w:t xml:space="preserve">I.Comprometa la seguridad pública y cuente con un propósito genuino y un efecto demostrable…”</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Posteriormente los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spacing w:before="0" w:line="360" w:lineRule="auto"/>
        <w:ind w:left="965" w:right="100" w:firstLine="0"/>
        <w:jc w:val="both"/>
        <w:rPr>
          <w:sz w:val="22"/>
          <w:szCs w:val="22"/>
        </w:rPr>
      </w:pPr>
      <w:r w:rsidDel="00000000" w:rsidR="00000000" w:rsidRPr="00000000">
        <w:rPr>
          <w:sz w:val="22"/>
          <w:szCs w:val="22"/>
          <w:rtl w:val="0"/>
        </w:rPr>
        <w:t xml:space="preserve">Es crucial señalar que estos Lineamientos señalan </w:t>
      </w:r>
      <w:r w:rsidDel="00000000" w:rsidR="00000000" w:rsidRPr="00000000">
        <w:rPr>
          <w:b w:val="1"/>
          <w:sz w:val="22"/>
          <w:szCs w:val="22"/>
          <w:u w:val="single"/>
          <w:rtl w:val="0"/>
        </w:rPr>
        <w:t xml:space="preserve">que es susceptible de considerarse como</w:t>
      </w:r>
      <w:r w:rsidDel="00000000" w:rsidR="00000000" w:rsidRPr="00000000">
        <w:rPr>
          <w:b w:val="1"/>
          <w:sz w:val="22"/>
          <w:szCs w:val="22"/>
          <w:rtl w:val="0"/>
        </w:rPr>
        <w:t xml:space="preserve"> </w:t>
      </w:r>
      <w:r w:rsidDel="00000000" w:rsidR="00000000" w:rsidRPr="00000000">
        <w:rPr>
          <w:b w:val="1"/>
          <w:sz w:val="22"/>
          <w:szCs w:val="22"/>
          <w:u w:val="single"/>
          <w:rtl w:val="0"/>
        </w:rPr>
        <w:t xml:space="preserve">reservada aquella que revele datos que pudieran ser aprovechados para conocer la</w:t>
      </w:r>
      <w:r w:rsidDel="00000000" w:rsidR="00000000" w:rsidRPr="00000000">
        <w:rPr>
          <w:b w:val="1"/>
          <w:sz w:val="22"/>
          <w:szCs w:val="22"/>
          <w:rtl w:val="0"/>
        </w:rPr>
        <w:t xml:space="preserve"> </w:t>
      </w:r>
      <w:r w:rsidDel="00000000" w:rsidR="00000000" w:rsidRPr="00000000">
        <w:rPr>
          <w:b w:val="1"/>
          <w:sz w:val="22"/>
          <w:szCs w:val="22"/>
          <w:u w:val="single"/>
          <w:rtl w:val="0"/>
        </w:rPr>
        <w:t xml:space="preserve">capacidad de reacción de las instituciones encargadas de la seguridad pública</w:t>
      </w:r>
      <w:r w:rsidDel="00000000" w:rsidR="00000000" w:rsidRPr="00000000">
        <w:rPr>
          <w:sz w:val="22"/>
          <w:szCs w:val="22"/>
          <w:rtl w:val="0"/>
        </w:rPr>
        <w:t xml:space="preserve">, sus planes, estrategias, tecnología, información, sistemas de comunicaciones.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spacing w:before="1"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7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360" w:lineRule="auto"/>
        <w:ind w:left="965" w:right="10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5"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conclusión, la reserva del personal operativo procede por dos circunstancias: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82"/>
        </w:tabs>
        <w:spacing w:after="0" w:before="0" w:line="360" w:lineRule="auto"/>
        <w:ind w:left="1531" w:right="81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identifica en términos concretos cómo es que la información requerida podría comprometer el ejercicio de sus facultades constitucionales y, con ello, la seguridad pública, en virtud de que:</w:t>
      </w:r>
    </w:p>
    <w:p w:rsidR="00000000" w:rsidDel="00000000" w:rsidP="00000000" w:rsidRDefault="00000000" w:rsidRPr="00000000" w14:paraId="000000A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832"/>
        </w:tabs>
        <w:spacing w:after="0" w:before="1" w:line="360" w:lineRule="auto"/>
        <w:ind w:left="1531" w:right="80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información podría ser aprovechada por los grupos criminales para conocer la capacidad de reacción</w:t>
      </w:r>
    </w:p>
    <w:p w:rsidR="00000000" w:rsidDel="00000000" w:rsidP="00000000" w:rsidRDefault="00000000" w:rsidRPr="00000000" w14:paraId="000000A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791"/>
        </w:tabs>
        <w:spacing w:after="0" w:before="0" w:line="360" w:lineRule="auto"/>
        <w:ind w:left="1531" w:right="81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 dicha información se revelarían a detalle las características funcionales del personal y con ello, su organización para el cumplimiento de sus funciones; y;</w:t>
      </w:r>
    </w:p>
    <w:p w:rsidR="00000000" w:rsidDel="00000000" w:rsidP="00000000" w:rsidRDefault="00000000" w:rsidRPr="00000000" w14:paraId="000000A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82"/>
        </w:tabs>
        <w:spacing w:after="0" w:before="0" w:line="360" w:lineRule="auto"/>
        <w:ind w:left="1531" w:right="81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Existe una relación causal general entre la entrega de la información y la afectación a la seguridad pública, pues los grupos criminales estarían en posibilidad de obstaculizar o bloquear actividades encaminadas a preservar el orden dentro de la dinámica social.</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8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360" w:lineRule="auto"/>
        <w:ind w:left="965" w:right="9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estado de fuerza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65" w:right="24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 la fecha de la solicitud, aunado a que no se hace una distinción entre el número de personal operativo y administrativo.</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spacing w:before="1"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9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991235</wp:posOffset>
                </wp:positionH>
                <wp:positionV relativeFrom="page">
                  <wp:posOffset>247538</wp:posOffset>
                </wp:positionV>
                <wp:extent cx="6438265" cy="9578340"/>
                <wp:effectExtent b="0" l="0" r="0" t="0"/>
                <wp:wrapNone/>
                <wp:docPr id="37" name=""/>
                <a:graphic>
                  <a:graphicData uri="http://schemas.microsoft.com/office/word/2010/wordprocessingGroup">
                    <wpg:wgp>
                      <wpg:cNvGrpSpPr/>
                      <wpg:grpSpPr>
                        <a:xfrm>
                          <a:off x="2126850" y="0"/>
                          <a:ext cx="6438265" cy="9578340"/>
                          <a:chOff x="2126850" y="0"/>
                          <a:chExt cx="6438275" cy="7560000"/>
                        </a:xfrm>
                      </wpg:grpSpPr>
                      <wpg:grpSp>
                        <wpg:cNvGrpSpPr/>
                        <wpg:grpSpPr>
                          <a:xfrm>
                            <a:off x="2126868" y="0"/>
                            <a:ext cx="6438250" cy="7559988"/>
                            <a:chOff x="0" y="0"/>
                            <a:chExt cx="6438250" cy="9578325"/>
                          </a:xfrm>
                        </wpg:grpSpPr>
                        <wps:wsp>
                          <wps:cNvSpPr/>
                          <wps:cNvPr id="3" name="Shape 3"/>
                          <wps:spPr>
                            <a:xfrm>
                              <a:off x="0" y="0"/>
                              <a:ext cx="6438250" cy="9578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0" l="0" r="0" t="0"/>
                            <a:stretch/>
                          </pic:blipFill>
                          <pic:spPr>
                            <a:xfrm>
                              <a:off x="185215" y="0"/>
                              <a:ext cx="6252808" cy="9577816"/>
                            </a:xfrm>
                            <a:prstGeom prst="rect">
                              <a:avLst/>
                            </a:prstGeom>
                            <a:noFill/>
                            <a:ln>
                              <a:noFill/>
                            </a:ln>
                          </pic:spPr>
                        </pic:pic>
                        <pic:pic>
                          <pic:nvPicPr>
                            <pic:cNvPr id="11" name="Shape 11"/>
                            <pic:cNvPicPr preferRelativeResize="0"/>
                          </pic:nvPicPr>
                          <pic:blipFill rotWithShape="1">
                            <a:blip r:embed="rId10">
                              <a:alphaModFix/>
                            </a:blip>
                            <a:srcRect b="0" l="0" r="0" t="0"/>
                            <a:stretch/>
                          </pic:blipFill>
                          <pic:spPr>
                            <a:xfrm>
                              <a:off x="0" y="2281666"/>
                              <a:ext cx="5669279" cy="5453379"/>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991235</wp:posOffset>
                </wp:positionH>
                <wp:positionV relativeFrom="page">
                  <wp:posOffset>247538</wp:posOffset>
                </wp:positionV>
                <wp:extent cx="6438265" cy="9578340"/>
                <wp:effectExtent b="0" l="0" r="0" t="0"/>
                <wp:wrapNone/>
                <wp:docPr id="3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438265" cy="95783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360" w:lineRule="auto"/>
        <w:ind w:left="965"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anterior encuentra sustento en el Instructivo del módulo 4 para la entrega del informe trimestral 2022, en dicho documento obran los siguientes elementos: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10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1172210</wp:posOffset>
                </wp:positionH>
                <wp:positionV relativeFrom="page">
                  <wp:posOffset>247538</wp:posOffset>
                </wp:positionV>
                <wp:extent cx="6257290" cy="9578340"/>
                <wp:effectExtent b="0" l="0" r="0" t="0"/>
                <wp:wrapNone/>
                <wp:docPr id="35" name=""/>
                <a:graphic>
                  <a:graphicData uri="http://schemas.microsoft.com/office/word/2010/wordprocessingGroup">
                    <wpg:wgp>
                      <wpg:cNvGrpSpPr/>
                      <wpg:grpSpPr>
                        <a:xfrm>
                          <a:off x="2217350" y="0"/>
                          <a:ext cx="6257290" cy="9578340"/>
                          <a:chOff x="2217350" y="0"/>
                          <a:chExt cx="6257300" cy="7560000"/>
                        </a:xfrm>
                      </wpg:grpSpPr>
                      <wpg:grpSp>
                        <wpg:cNvGrpSpPr/>
                        <wpg:grpSpPr>
                          <a:xfrm>
                            <a:off x="2217355" y="0"/>
                            <a:ext cx="6257275" cy="7559988"/>
                            <a:chOff x="0" y="0"/>
                            <a:chExt cx="6257275" cy="9578325"/>
                          </a:xfrm>
                        </wpg:grpSpPr>
                        <wps:wsp>
                          <wps:cNvSpPr/>
                          <wps:cNvPr id="3" name="Shape 3"/>
                          <wps:spPr>
                            <a:xfrm>
                              <a:off x="0" y="0"/>
                              <a:ext cx="6257275" cy="9578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9">
                              <a:alphaModFix/>
                            </a:blip>
                            <a:srcRect b="0" l="0" r="0" t="0"/>
                            <a:stretch/>
                          </pic:blipFill>
                          <pic:spPr>
                            <a:xfrm>
                              <a:off x="4240" y="0"/>
                              <a:ext cx="6252808" cy="9577816"/>
                            </a:xfrm>
                            <a:prstGeom prst="rect">
                              <a:avLst/>
                            </a:prstGeom>
                            <a:noFill/>
                            <a:ln>
                              <a:noFill/>
                            </a:ln>
                          </pic:spPr>
                        </pic:pic>
                        <pic:pic>
                          <pic:nvPicPr>
                            <pic:cNvPr id="5" name="Shape 5"/>
                            <pic:cNvPicPr preferRelativeResize="0"/>
                          </pic:nvPicPr>
                          <pic:blipFill rotWithShape="1">
                            <a:blip r:embed="rId12">
                              <a:alphaModFix/>
                            </a:blip>
                            <a:srcRect b="0" l="0" r="0" t="0"/>
                            <a:stretch/>
                          </pic:blipFill>
                          <pic:spPr>
                            <a:xfrm>
                              <a:off x="0" y="1173845"/>
                              <a:ext cx="5572760" cy="706945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1172210</wp:posOffset>
                </wp:positionH>
                <wp:positionV relativeFrom="page">
                  <wp:posOffset>247538</wp:posOffset>
                </wp:positionV>
                <wp:extent cx="6257290" cy="9578340"/>
                <wp:effectExtent b="0" l="0" r="0" t="0"/>
                <wp:wrapNone/>
                <wp:docPr id="35"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6257290" cy="95783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11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1176450</wp:posOffset>
            </wp:positionH>
            <wp:positionV relativeFrom="page">
              <wp:posOffset>247538</wp:posOffset>
            </wp:positionV>
            <wp:extent cx="6252808" cy="9577816"/>
            <wp:effectExtent b="0" l="0" r="0" t="0"/>
            <wp:wrapNone/>
            <wp:docPr id="4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52808" cy="9577816"/>
                    </a:xfrm>
                    <a:prstGeom prst="rect"/>
                    <a:ln/>
                  </pic:spPr>
                </pic:pic>
              </a:graphicData>
            </a:graphic>
          </wp:anchor>
        </w:drawing>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spacing w:before="0" w:lineRule="auto"/>
        <w:ind w:left="4841" w:right="97" w:firstLine="3031"/>
        <w:jc w:val="left"/>
        <w:rPr>
          <w:b w:val="1"/>
          <w:sz w:val="20"/>
          <w:szCs w:val="20"/>
        </w:rPr>
      </w:pPr>
      <w:r w:rsidDel="00000000" w:rsidR="00000000" w:rsidRPr="00000000">
        <w:rPr>
          <w:b w:val="1"/>
          <w:sz w:val="20"/>
          <w:szCs w:val="20"/>
          <w:rtl w:val="0"/>
        </w:rPr>
        <w:t xml:space="preserve">VOTO PARTICULAR RECURSOS DE REVISIÓN 01820/INFOEM/IP/RR/2023</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360" w:lineRule="auto"/>
        <w:ind w:left="965" w:right="23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facilitaría a las células delictivas el</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neutralizar las acciones implementadas o por implementar para la preservación de la paz</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pública, afectando así su estado de fuerza, o bien les permita</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realizar actos para amenazar, 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spacing w:before="0" w:lineRule="auto"/>
        <w:ind w:left="0" w:right="105" w:firstLine="0"/>
        <w:jc w:val="right"/>
        <w:rPr>
          <w:rFonts w:ascii="Arial" w:cs="Arial" w:eastAsia="Arial" w:hAnsi="Arial"/>
          <w:b w:val="1"/>
          <w:sz w:val="20"/>
          <w:szCs w:val="20"/>
        </w:rPr>
        <w:sectPr>
          <w:type w:val="nextPage"/>
          <w:pgSz w:h="15840" w:w="12240" w:orient="portrait"/>
          <w:pgMar w:bottom="0" w:top="380" w:left="1020" w:right="1220" w:header="360" w:footer="360"/>
        </w:sectPr>
      </w:pPr>
      <w:r w:rsidDel="00000000" w:rsidR="00000000" w:rsidRPr="00000000">
        <w:rPr>
          <w:rFonts w:ascii="Arial" w:cs="Arial" w:eastAsia="Arial" w:hAnsi="Arial"/>
          <w:b w:val="1"/>
          <w:sz w:val="20"/>
          <w:szCs w:val="20"/>
          <w:rtl w:val="0"/>
        </w:rPr>
        <w:t xml:space="preserve">12 </w:t>
      </w:r>
      <w:r w:rsidDel="00000000" w:rsidR="00000000" w:rsidRPr="00000000">
        <w:rPr>
          <w:rFonts w:ascii="Helvetica Neue" w:cs="Helvetica Neue" w:eastAsia="Helvetica Neue" w:hAnsi="Helvetica Neue"/>
          <w:sz w:val="20"/>
          <w:szCs w:val="20"/>
          <w:rtl w:val="0"/>
        </w:rPr>
        <w:t xml:space="preserve">de </w:t>
      </w:r>
      <w:r w:rsidDel="00000000" w:rsidR="00000000" w:rsidRPr="00000000">
        <w:rPr>
          <w:rFonts w:ascii="Arial" w:cs="Arial" w:eastAsia="Arial" w:hAnsi="Arial"/>
          <w:b w:val="1"/>
          <w:sz w:val="20"/>
          <w:szCs w:val="20"/>
          <w:rtl w:val="0"/>
        </w:rPr>
        <w:t xml:space="preserve">13</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36"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3" name="Shape 3"/>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4">
                              <a:alphaModFix/>
                            </a:blip>
                            <a:srcRect b="0" l="0" r="0" t="0"/>
                            <a:stretch/>
                          </pic:blipFill>
                          <pic:spPr>
                            <a:xfrm>
                              <a:off x="0" y="92627"/>
                              <a:ext cx="7379208" cy="715518"/>
                            </a:xfrm>
                            <a:prstGeom prst="rect">
                              <a:avLst/>
                            </a:prstGeom>
                            <a:noFill/>
                            <a:ln>
                              <a:noFill/>
                            </a:ln>
                          </pic:spPr>
                        </pic:pic>
                        <wps:wsp>
                          <wps:cNvSpPr/>
                          <wps:cNvPr id="8" name="Shape 8"/>
                          <wps:spPr>
                            <a:xfrm>
                              <a:off x="6045200" y="0"/>
                              <a:ext cx="929640" cy="135255"/>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13 de 13</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36"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86757" cy="700944"/>
            <wp:effectExtent b="0" l="0" r="0" t="0"/>
            <wp:docPr id="4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486757" cy="700944"/>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spacing w:before="0"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2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531" w:hanging="252"/>
      </w:pPr>
      <w:rPr>
        <w:rFonts w:ascii="Palatino Linotype" w:cs="Palatino Linotype" w:eastAsia="Palatino Linotype" w:hAnsi="Palatino Linotype"/>
        <w:b w:val="0"/>
        <w:i w:val="0"/>
        <w:sz w:val="22"/>
        <w:szCs w:val="22"/>
      </w:rPr>
    </w:lvl>
    <w:lvl w:ilvl="1">
      <w:start w:val="1"/>
      <w:numFmt w:val="lowerLetter"/>
      <w:lvlText w:val="%2)"/>
      <w:lvlJc w:val="left"/>
      <w:pPr>
        <w:ind w:left="1531" w:hanging="303"/>
      </w:pPr>
      <w:rPr>
        <w:rFonts w:ascii="Palatino Linotype" w:cs="Palatino Linotype" w:eastAsia="Palatino Linotype" w:hAnsi="Palatino Linotype"/>
        <w:b w:val="0"/>
        <w:i w:val="0"/>
        <w:sz w:val="22"/>
        <w:szCs w:val="22"/>
      </w:rPr>
    </w:lvl>
    <w:lvl w:ilvl="2">
      <w:start w:val="0"/>
      <w:numFmt w:val="bullet"/>
      <w:lvlText w:val="•"/>
      <w:lvlJc w:val="left"/>
      <w:pPr>
        <w:ind w:left="3232" w:hanging="303"/>
      </w:pPr>
      <w:rPr/>
    </w:lvl>
    <w:lvl w:ilvl="3">
      <w:start w:val="0"/>
      <w:numFmt w:val="bullet"/>
      <w:lvlText w:val="•"/>
      <w:lvlJc w:val="left"/>
      <w:pPr>
        <w:ind w:left="4078" w:hanging="303"/>
      </w:pPr>
      <w:rPr/>
    </w:lvl>
    <w:lvl w:ilvl="4">
      <w:start w:val="0"/>
      <w:numFmt w:val="bullet"/>
      <w:lvlText w:val="•"/>
      <w:lvlJc w:val="left"/>
      <w:pPr>
        <w:ind w:left="4924" w:hanging="303"/>
      </w:pPr>
      <w:rPr/>
    </w:lvl>
    <w:lvl w:ilvl="5">
      <w:start w:val="0"/>
      <w:numFmt w:val="bullet"/>
      <w:lvlText w:val="•"/>
      <w:lvlJc w:val="left"/>
      <w:pPr>
        <w:ind w:left="5770" w:hanging="303"/>
      </w:pPr>
      <w:rPr/>
    </w:lvl>
    <w:lvl w:ilvl="6">
      <w:start w:val="0"/>
      <w:numFmt w:val="bullet"/>
      <w:lvlText w:val="•"/>
      <w:lvlJc w:val="left"/>
      <w:pPr>
        <w:ind w:left="6616" w:hanging="302.9999999999991"/>
      </w:pPr>
      <w:rPr/>
    </w:lvl>
    <w:lvl w:ilvl="7">
      <w:start w:val="0"/>
      <w:numFmt w:val="bullet"/>
      <w:lvlText w:val="•"/>
      <w:lvlJc w:val="left"/>
      <w:pPr>
        <w:ind w:left="7462" w:hanging="302.9999999999991"/>
      </w:pPr>
      <w:rPr/>
    </w:lvl>
    <w:lvl w:ilvl="8">
      <w:start w:val="0"/>
      <w:numFmt w:val="bullet"/>
      <w:lvlText w:val="•"/>
      <w:lvlJc w:val="left"/>
      <w:pPr>
        <w:ind w:left="8308" w:hanging="303"/>
      </w:pPr>
      <w:rPr/>
    </w:lvl>
  </w:abstractNum>
  <w:abstractNum w:abstractNumId="2">
    <w:lvl w:ilvl="0">
      <w:start w:val="1"/>
      <w:numFmt w:val="upperRoman"/>
      <w:lvlText w:val="%1."/>
      <w:lvlJc w:val="left"/>
      <w:pPr>
        <w:ind w:left="1531" w:hanging="267"/>
      </w:pPr>
      <w:rPr>
        <w:rFonts w:ascii="Palatino Linotype" w:cs="Palatino Linotype" w:eastAsia="Palatino Linotype" w:hAnsi="Palatino Linotype"/>
        <w:b w:val="1"/>
        <w:i w:val="1"/>
        <w:sz w:val="22"/>
        <w:szCs w:val="22"/>
      </w:rPr>
    </w:lvl>
    <w:lvl w:ilvl="1">
      <w:start w:val="0"/>
      <w:numFmt w:val="bullet"/>
      <w:lvlText w:val="•"/>
      <w:lvlJc w:val="left"/>
      <w:pPr>
        <w:ind w:left="2386" w:hanging="267"/>
      </w:pPr>
      <w:rPr/>
    </w:lvl>
    <w:lvl w:ilvl="2">
      <w:start w:val="0"/>
      <w:numFmt w:val="bullet"/>
      <w:lvlText w:val="•"/>
      <w:lvlJc w:val="left"/>
      <w:pPr>
        <w:ind w:left="3232" w:hanging="267"/>
      </w:pPr>
      <w:rPr/>
    </w:lvl>
    <w:lvl w:ilvl="3">
      <w:start w:val="0"/>
      <w:numFmt w:val="bullet"/>
      <w:lvlText w:val="•"/>
      <w:lvlJc w:val="left"/>
      <w:pPr>
        <w:ind w:left="4078" w:hanging="267"/>
      </w:pPr>
      <w:rPr/>
    </w:lvl>
    <w:lvl w:ilvl="4">
      <w:start w:val="0"/>
      <w:numFmt w:val="bullet"/>
      <w:lvlText w:val="•"/>
      <w:lvlJc w:val="left"/>
      <w:pPr>
        <w:ind w:left="4924" w:hanging="267"/>
      </w:pPr>
      <w:rPr/>
    </w:lvl>
    <w:lvl w:ilvl="5">
      <w:start w:val="0"/>
      <w:numFmt w:val="bullet"/>
      <w:lvlText w:val="•"/>
      <w:lvlJc w:val="left"/>
      <w:pPr>
        <w:ind w:left="5770" w:hanging="267"/>
      </w:pPr>
      <w:rPr/>
    </w:lvl>
    <w:lvl w:ilvl="6">
      <w:start w:val="0"/>
      <w:numFmt w:val="bullet"/>
      <w:lvlText w:val="•"/>
      <w:lvlJc w:val="left"/>
      <w:pPr>
        <w:ind w:left="6616" w:hanging="267"/>
      </w:pPr>
      <w:rPr/>
    </w:lvl>
    <w:lvl w:ilvl="7">
      <w:start w:val="0"/>
      <w:numFmt w:val="bullet"/>
      <w:lvlText w:val="•"/>
      <w:lvlJc w:val="left"/>
      <w:pPr>
        <w:ind w:left="7462" w:hanging="267"/>
      </w:pPr>
      <w:rPr/>
    </w:lvl>
    <w:lvl w:ilvl="8">
      <w:start w:val="0"/>
      <w:numFmt w:val="bullet"/>
      <w:lvlText w:val="•"/>
      <w:lvlJc w:val="left"/>
      <w:pPr>
        <w:ind w:left="8308" w:hanging="267.0000000000009"/>
      </w:pPr>
      <w:rPr/>
    </w:lvl>
  </w:abstractNum>
  <w:abstractNum w:abstractNumId="3">
    <w:lvl w:ilvl="0">
      <w:start w:val="0"/>
      <w:numFmt w:val="bullet"/>
      <w:lvlText w:val="●"/>
      <w:lvlJc w:val="left"/>
      <w:pPr>
        <w:ind w:left="1685" w:hanging="360"/>
      </w:pPr>
      <w:rPr>
        <w:rFonts w:ascii="Helvetica Neue" w:cs="Helvetica Neue" w:eastAsia="Helvetica Neue" w:hAnsi="Helvetica Neue"/>
        <w:b w:val="0"/>
        <w:i w:val="0"/>
        <w:sz w:val="24"/>
        <w:szCs w:val="24"/>
      </w:rPr>
    </w:lvl>
    <w:lvl w:ilvl="1">
      <w:start w:val="0"/>
      <w:numFmt w:val="bullet"/>
      <w:lvlText w:val="•"/>
      <w:lvlJc w:val="left"/>
      <w:pPr>
        <w:ind w:left="2512" w:hanging="360"/>
      </w:pPr>
      <w:rPr/>
    </w:lvl>
    <w:lvl w:ilvl="2">
      <w:start w:val="0"/>
      <w:numFmt w:val="bullet"/>
      <w:lvlText w:val="•"/>
      <w:lvlJc w:val="left"/>
      <w:pPr>
        <w:ind w:left="3344" w:hanging="360"/>
      </w:pPr>
      <w:rPr/>
    </w:lvl>
    <w:lvl w:ilvl="3">
      <w:start w:val="0"/>
      <w:numFmt w:val="bullet"/>
      <w:lvlText w:val="•"/>
      <w:lvlJc w:val="left"/>
      <w:pPr>
        <w:ind w:left="4176" w:hanging="360"/>
      </w:pPr>
      <w:rPr/>
    </w:lvl>
    <w:lvl w:ilvl="4">
      <w:start w:val="0"/>
      <w:numFmt w:val="bullet"/>
      <w:lvlText w:val="•"/>
      <w:lvlJc w:val="left"/>
      <w:pPr>
        <w:ind w:left="5008" w:hanging="360"/>
      </w:pPr>
      <w:rPr/>
    </w:lvl>
    <w:lvl w:ilvl="5">
      <w:start w:val="0"/>
      <w:numFmt w:val="bullet"/>
      <w:lvlText w:val="•"/>
      <w:lvlJc w:val="left"/>
      <w:pPr>
        <w:ind w:left="5840" w:hanging="360"/>
      </w:pPr>
      <w:rPr/>
    </w:lvl>
    <w:lvl w:ilvl="6">
      <w:start w:val="0"/>
      <w:numFmt w:val="bullet"/>
      <w:lvlText w:val="•"/>
      <w:lvlJc w:val="left"/>
      <w:pPr>
        <w:ind w:left="6672" w:hanging="360"/>
      </w:pPr>
      <w:rPr/>
    </w:lvl>
    <w:lvl w:ilvl="7">
      <w:start w:val="0"/>
      <w:numFmt w:val="bullet"/>
      <w:lvlText w:val="•"/>
      <w:lvlJc w:val="left"/>
      <w:pPr>
        <w:ind w:left="7504" w:hanging="360"/>
      </w:pPr>
      <w:rPr/>
    </w:lvl>
    <w:lvl w:ilvl="8">
      <w:start w:val="0"/>
      <w:numFmt w:val="bullet"/>
      <w:lvlText w:val="•"/>
      <w:lvlJc w:val="left"/>
      <w:pPr>
        <w:ind w:left="8336" w:hanging="360"/>
      </w:pPr>
      <w:rPr/>
    </w:lvl>
  </w:abstractNum>
  <w:abstractNum w:abstractNumId="4">
    <w:lvl w:ilvl="0">
      <w:start w:val="1"/>
      <w:numFmt w:val="decimal"/>
      <w:lvlText w:val="%1."/>
      <w:lvlJc w:val="left"/>
      <w:pPr>
        <w:ind w:left="1747" w:hanging="360"/>
      </w:pPr>
      <w:rPr>
        <w:rFonts w:ascii="Palatino Linotype" w:cs="Palatino Linotype" w:eastAsia="Palatino Linotype" w:hAnsi="Palatino Linotype"/>
        <w:b w:val="0"/>
        <w:i w:val="0"/>
        <w:sz w:val="22"/>
        <w:szCs w:val="22"/>
      </w:rPr>
    </w:lvl>
    <w:lvl w:ilvl="1">
      <w:start w:val="0"/>
      <w:numFmt w:val="bullet"/>
      <w:lvlText w:val="•"/>
      <w:lvlJc w:val="left"/>
      <w:pPr>
        <w:ind w:left="2566" w:hanging="360"/>
      </w:pPr>
      <w:rPr/>
    </w:lvl>
    <w:lvl w:ilvl="2">
      <w:start w:val="0"/>
      <w:numFmt w:val="bullet"/>
      <w:lvlText w:val="•"/>
      <w:lvlJc w:val="left"/>
      <w:pPr>
        <w:ind w:left="3392" w:hanging="360"/>
      </w:pPr>
      <w:rPr/>
    </w:lvl>
    <w:lvl w:ilvl="3">
      <w:start w:val="0"/>
      <w:numFmt w:val="bullet"/>
      <w:lvlText w:val="•"/>
      <w:lvlJc w:val="left"/>
      <w:pPr>
        <w:ind w:left="4218" w:hanging="360"/>
      </w:pPr>
      <w:rPr/>
    </w:lvl>
    <w:lvl w:ilvl="4">
      <w:start w:val="0"/>
      <w:numFmt w:val="bullet"/>
      <w:lvlText w:val="•"/>
      <w:lvlJc w:val="left"/>
      <w:pPr>
        <w:ind w:left="5044" w:hanging="360"/>
      </w:pPr>
      <w:rPr/>
    </w:lvl>
    <w:lvl w:ilvl="5">
      <w:start w:val="0"/>
      <w:numFmt w:val="bullet"/>
      <w:lvlText w:val="•"/>
      <w:lvlJc w:val="left"/>
      <w:pPr>
        <w:ind w:left="5870" w:hanging="360"/>
      </w:pPr>
      <w:rPr/>
    </w:lvl>
    <w:lvl w:ilvl="6">
      <w:start w:val="0"/>
      <w:numFmt w:val="bullet"/>
      <w:lvlText w:val="•"/>
      <w:lvlJc w:val="left"/>
      <w:pPr>
        <w:ind w:left="6696" w:hanging="360"/>
      </w:pPr>
      <w:rPr/>
    </w:lvl>
    <w:lvl w:ilvl="7">
      <w:start w:val="0"/>
      <w:numFmt w:val="bullet"/>
      <w:lvlText w:val="•"/>
      <w:lvlJc w:val="left"/>
      <w:pPr>
        <w:ind w:left="7522" w:hanging="360"/>
      </w:pPr>
      <w:rPr/>
    </w:lvl>
    <w:lvl w:ilvl="8">
      <w:start w:val="0"/>
      <w:numFmt w:val="bullet"/>
      <w:lvlText w:val="•"/>
      <w:lvlJc w:val="left"/>
      <w:pPr>
        <w:ind w:left="8348" w:hanging="360"/>
      </w:pPr>
      <w:rPr/>
    </w:lvl>
  </w:abstractNum>
  <w:abstractNum w:abstractNumId="5">
    <w:lvl w:ilvl="0">
      <w:start w:val="1"/>
      <w:numFmt w:val="upperRoman"/>
      <w:lvlText w:val="%1."/>
      <w:lvlJc w:val="left"/>
      <w:pPr>
        <w:ind w:left="1535" w:hanging="143"/>
      </w:pPr>
      <w:rPr/>
    </w:lvl>
    <w:lvl w:ilvl="1">
      <w:start w:val="1"/>
      <w:numFmt w:val="decimal"/>
      <w:lvlText w:val="%2."/>
      <w:lvlJc w:val="left"/>
      <w:pPr>
        <w:ind w:left="1685" w:hanging="360"/>
      </w:pPr>
      <w:rPr>
        <w:rFonts w:ascii="Palatino Linotype" w:cs="Palatino Linotype" w:eastAsia="Palatino Linotype" w:hAnsi="Palatino Linotype"/>
        <w:b w:val="1"/>
        <w:i w:val="1"/>
        <w:sz w:val="22"/>
        <w:szCs w:val="22"/>
      </w:rPr>
    </w:lvl>
    <w:lvl w:ilvl="2">
      <w:start w:val="0"/>
      <w:numFmt w:val="bullet"/>
      <w:lvlText w:val="●"/>
      <w:lvlJc w:val="left"/>
      <w:pPr>
        <w:ind w:left="2105" w:hanging="360"/>
      </w:pPr>
      <w:rPr>
        <w:rFonts w:ascii="Helvetica Neue" w:cs="Helvetica Neue" w:eastAsia="Helvetica Neue" w:hAnsi="Helvetica Neue"/>
        <w:b w:val="0"/>
        <w:i w:val="0"/>
        <w:sz w:val="22"/>
        <w:szCs w:val="22"/>
      </w:rPr>
    </w:lvl>
    <w:lvl w:ilvl="3">
      <w:start w:val="0"/>
      <w:numFmt w:val="bullet"/>
      <w:lvlText w:val="•"/>
      <w:lvlJc w:val="left"/>
      <w:pPr>
        <w:ind w:left="3087" w:hanging="360"/>
      </w:pPr>
      <w:rPr/>
    </w:lvl>
    <w:lvl w:ilvl="4">
      <w:start w:val="0"/>
      <w:numFmt w:val="bullet"/>
      <w:lvlText w:val="•"/>
      <w:lvlJc w:val="left"/>
      <w:pPr>
        <w:ind w:left="4075" w:hanging="360"/>
      </w:pPr>
      <w:rPr/>
    </w:lvl>
    <w:lvl w:ilvl="5">
      <w:start w:val="0"/>
      <w:numFmt w:val="bullet"/>
      <w:lvlText w:val="•"/>
      <w:lvlJc w:val="left"/>
      <w:pPr>
        <w:ind w:left="5062" w:hanging="360"/>
      </w:pPr>
      <w:rPr/>
    </w:lvl>
    <w:lvl w:ilvl="6">
      <w:start w:val="0"/>
      <w:numFmt w:val="bullet"/>
      <w:lvlText w:val="•"/>
      <w:lvlJc w:val="left"/>
      <w:pPr>
        <w:ind w:left="6050" w:hanging="360"/>
      </w:pPr>
      <w:rPr/>
    </w:lvl>
    <w:lvl w:ilvl="7">
      <w:start w:val="0"/>
      <w:numFmt w:val="bullet"/>
      <w:lvlText w:val="•"/>
      <w:lvlJc w:val="left"/>
      <w:pPr>
        <w:ind w:left="7037" w:hanging="360"/>
      </w:pPr>
      <w:rPr/>
    </w:lvl>
    <w:lvl w:ilvl="8">
      <w:start w:val="0"/>
      <w:numFmt w:val="bullet"/>
      <w:lvlText w:val="•"/>
      <w:lvlJc w:val="left"/>
      <w:pPr>
        <w:ind w:left="8025"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 w:lineRule="auto"/>
      <w:ind w:left="20"/>
    </w:pPr>
    <w:rPr>
      <w:rFonts w:ascii="Arial" w:cs="Arial" w:eastAsia="Arial" w:hAnsi="Arial"/>
      <w:sz w:val="24"/>
      <w:szCs w:val="24"/>
    </w:rPr>
  </w:style>
  <w:style w:type="paragraph" w:styleId="Heading2">
    <w:name w:val="heading 2"/>
    <w:basedOn w:val="Normal"/>
    <w:next w:val="Normal"/>
    <w:pPr>
      <w:spacing w:before="1" w:lineRule="auto"/>
      <w:ind w:left="1531" w:right="591"/>
    </w:pPr>
    <w:rPr>
      <w:rFonts w:ascii="Palatino Linotype" w:cs="Palatino Linotype" w:eastAsia="Palatino Linotype" w:hAnsi="Palatino Linotype"/>
      <w:b w:val="1"/>
      <w:i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2"/>
      <w:szCs w:val="22"/>
      <w:lang w:bidi="ar-SA" w:eastAsia="en-US" w:val="es-ES"/>
    </w:rPr>
  </w:style>
  <w:style w:type="paragraph" w:styleId="Heading1">
    <w:name w:val="Heading 1"/>
    <w:basedOn w:val="Normal"/>
    <w:uiPriority w:val="1"/>
    <w:qFormat w:val="1"/>
    <w:pPr>
      <w:spacing w:before="12"/>
      <w:ind w:left="20"/>
      <w:outlineLvl w:val="1"/>
    </w:pPr>
    <w:rPr>
      <w:rFonts w:ascii="Arial MT" w:cs="Arial MT" w:eastAsia="Arial MT" w:hAnsi="Arial MT"/>
      <w:sz w:val="24"/>
      <w:szCs w:val="24"/>
      <w:lang w:bidi="ar-SA" w:eastAsia="en-US" w:val="es-ES"/>
    </w:rPr>
  </w:style>
  <w:style w:type="paragraph" w:styleId="Heading2">
    <w:name w:val="Heading 2"/>
    <w:basedOn w:val="Normal"/>
    <w:uiPriority w:val="1"/>
    <w:qFormat w:val="1"/>
    <w:pPr>
      <w:spacing w:before="1"/>
      <w:ind w:left="1531" w:right="591"/>
      <w:outlineLvl w:val="2"/>
    </w:pPr>
    <w:rPr>
      <w:rFonts w:ascii="Palatino Linotype" w:cs="Palatino Linotype" w:eastAsia="Palatino Linotype" w:hAnsi="Palatino Linotype"/>
      <w:b w:val="1"/>
      <w:bCs w:val="1"/>
      <w:i w:val="1"/>
      <w:iCs w:val="1"/>
      <w:sz w:val="22"/>
      <w:szCs w:val="22"/>
      <w:lang w:bidi="ar-SA" w:eastAsia="en-US" w:val="es-ES"/>
    </w:rPr>
  </w:style>
  <w:style w:type="paragraph" w:styleId="ListParagraph">
    <w:name w:val="List Paragraph"/>
    <w:basedOn w:val="Normal"/>
    <w:uiPriority w:val="1"/>
    <w:qFormat w:val="1"/>
    <w:pPr>
      <w:ind w:left="1531" w:hanging="360"/>
      <w:jc w:val="both"/>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9.jpg"/><Relationship Id="rId13" Type="http://schemas.openxmlformats.org/officeDocument/2006/relationships/image" Target="media/image3.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4.png"/><Relationship Id="rId14" Type="http://schemas.openxmlformats.org/officeDocument/2006/relationships/image" Target="media/image10.jp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ecatepec.gob.mx/transparenc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0zjuGjfSP882fVHn2LUr3yzEZw==">CgMxLjA4AHIhMWVaTVkyYlk2dkJCVmM5M29tNEtINXY1cXJqMWZBZTVj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2024-08-29T23:57:16Z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Creator">
    <vt:lpwstr>Microsoft® Word 2013</vt:lpwstr>
  </property>
  <property fmtid="{D5CDD505-2E9C-101B-9397-08002B2CF9AE}" pid="4" name="LastSaved">
    <vt:filetime>2024-08-29T00:00:00Z</vt:filetime>
  </property>
  <property fmtid="{D5CDD505-2E9C-101B-9397-08002B2CF9AE}" pid="5" name="Producer">
    <vt:lpwstr>Microsoft® Word 2013; modified using iText® 5.5.13 ©2000-2018 iText Group NV (AGPL-version)</vt:lpwstr>
  </property>
</Properties>
</file>