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763" w:rsidRPr="00322990" w:rsidRDefault="002F4B90">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sidRPr="00322990">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sidRPr="00322990">
        <w:rPr>
          <w:rFonts w:ascii="Palatino Linotype" w:eastAsia="Palatino Linotype" w:hAnsi="Palatino Linotype" w:cs="Palatino Linotype"/>
          <w:b/>
          <w:sz w:val="24"/>
          <w:szCs w:val="24"/>
        </w:rPr>
        <w:t>TRIGÉSIMA SEXTA SESIÓN ORDINARIA DEL TRES DE OCTUBRE DE DOS MIL VEINTITRÉS, EN LOS RECURSOS DE REVISIÓN 00244/INFOEM/IP/RR/2023 Y ACUMULADOS.</w:t>
      </w:r>
    </w:p>
    <w:p w:rsidR="00F25763" w:rsidRPr="00322990" w:rsidRDefault="002F4B90">
      <w:pP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Con fundamento en lo dispuesto por el artículo 14, fracciones X y XI, del Reglamento del Instituto de Transparenci</w:t>
      </w:r>
      <w:r w:rsidRPr="00322990">
        <w:rPr>
          <w:rFonts w:ascii="Palatino Linotype" w:eastAsia="Palatino Linotype" w:hAnsi="Palatino Linotype" w:cs="Palatino Linotype"/>
          <w:sz w:val="24"/>
          <w:szCs w:val="24"/>
        </w:rPr>
        <w:t xml:space="preserve">a, Acceso a la Información Pública y Protección de Datos Personales del Estado de México, la suscrita emite </w:t>
      </w:r>
      <w:r w:rsidRPr="00322990">
        <w:rPr>
          <w:rFonts w:ascii="Palatino Linotype" w:eastAsia="Palatino Linotype" w:hAnsi="Palatino Linotype" w:cs="Palatino Linotype"/>
          <w:b/>
          <w:sz w:val="24"/>
          <w:szCs w:val="24"/>
        </w:rPr>
        <w:t xml:space="preserve">VOTO PARTICULAR </w:t>
      </w:r>
      <w:r w:rsidRPr="00322990">
        <w:rPr>
          <w:rFonts w:ascii="Palatino Linotype" w:eastAsia="Palatino Linotype" w:hAnsi="Palatino Linotype" w:cs="Palatino Linotype"/>
          <w:sz w:val="24"/>
          <w:szCs w:val="24"/>
        </w:rPr>
        <w:t xml:space="preserve">respecto a la resolución dictada en los recursos de revisión número </w:t>
      </w:r>
      <w:r w:rsidRPr="00322990">
        <w:rPr>
          <w:rFonts w:ascii="Palatino Linotype" w:eastAsia="Palatino Linotype" w:hAnsi="Palatino Linotype" w:cs="Palatino Linotype"/>
          <w:b/>
          <w:sz w:val="24"/>
          <w:szCs w:val="24"/>
        </w:rPr>
        <w:t>00244/INFOEM/IP/RR/2023, 00246/INFOEM/IP/RR/2023, 00247/INFOEM/I</w:t>
      </w:r>
      <w:r w:rsidRPr="00322990">
        <w:rPr>
          <w:rFonts w:ascii="Palatino Linotype" w:eastAsia="Palatino Linotype" w:hAnsi="Palatino Linotype" w:cs="Palatino Linotype"/>
          <w:b/>
          <w:sz w:val="24"/>
          <w:szCs w:val="24"/>
        </w:rPr>
        <w:t xml:space="preserve">P/RR/2023, 00278/INFOEM/IP/RR/2023, 00282/INFOEM/IP/RR/2023, 00283/INFOEM/IP/RR/2023, 00284/INFOEM/IP/RR/2023, 00285/INFOEM/IP/RR/2023, 00286/INFOEM/IP/RR/2023, 00287/INFOEM/IP/RR/2023 </w:t>
      </w:r>
      <w:r w:rsidRPr="00322990">
        <w:rPr>
          <w:rFonts w:ascii="Palatino Linotype" w:eastAsia="Palatino Linotype" w:hAnsi="Palatino Linotype" w:cs="Palatino Linotype"/>
          <w:sz w:val="24"/>
          <w:szCs w:val="24"/>
        </w:rPr>
        <w:t xml:space="preserve">y </w:t>
      </w:r>
      <w:r w:rsidRPr="00322990">
        <w:rPr>
          <w:rFonts w:ascii="Palatino Linotype" w:eastAsia="Palatino Linotype" w:hAnsi="Palatino Linotype" w:cs="Palatino Linotype"/>
          <w:b/>
          <w:sz w:val="24"/>
          <w:szCs w:val="24"/>
        </w:rPr>
        <w:t>00288/INFOEM/IP/RR/2023, acumulados</w:t>
      </w:r>
      <w:r w:rsidRPr="00322990">
        <w:rPr>
          <w:rFonts w:ascii="Palatino Linotype" w:eastAsia="Palatino Linotype" w:hAnsi="Palatino Linotype" w:cs="Palatino Linotype"/>
          <w:sz w:val="24"/>
          <w:szCs w:val="24"/>
        </w:rPr>
        <w:t xml:space="preserve">, </w:t>
      </w:r>
      <w:r w:rsidRPr="00322990">
        <w:rPr>
          <w:rFonts w:ascii="Palatino Linotype" w:eastAsia="Palatino Linotype" w:hAnsi="Palatino Linotype" w:cs="Palatino Linotype"/>
          <w:sz w:val="24"/>
          <w:szCs w:val="24"/>
        </w:rPr>
        <w:t>pronunciada por el Pleno de este</w:t>
      </w:r>
      <w:r w:rsidRPr="00322990">
        <w:rPr>
          <w:rFonts w:ascii="Palatino Linotype" w:eastAsia="Palatino Linotype" w:hAnsi="Palatino Linotype" w:cs="Palatino Linotype"/>
          <w:sz w:val="24"/>
          <w:szCs w:val="24"/>
        </w:rPr>
        <w:t xml:space="preserve"> Instituto ante el proyecto presentado por la suscrita, el cual fue engrosado conforme al criterio mayoritario, es al tenor siguiente:</w:t>
      </w:r>
    </w:p>
    <w:p w:rsidR="00F25763" w:rsidRPr="00322990" w:rsidRDefault="00F25763">
      <w:pPr>
        <w:spacing w:before="240" w:after="240" w:line="360" w:lineRule="auto"/>
        <w:jc w:val="both"/>
        <w:rPr>
          <w:rFonts w:ascii="Palatino Linotype" w:eastAsia="Palatino Linotype" w:hAnsi="Palatino Linotype" w:cs="Palatino Linotype"/>
          <w:sz w:val="24"/>
          <w:szCs w:val="24"/>
        </w:rPr>
      </w:pPr>
    </w:p>
    <w:p w:rsidR="00F25763" w:rsidRPr="00322990" w:rsidRDefault="00F25763">
      <w:pPr>
        <w:spacing w:before="240" w:after="240" w:line="360" w:lineRule="auto"/>
        <w:jc w:val="both"/>
        <w:rPr>
          <w:rFonts w:ascii="Palatino Linotype" w:eastAsia="Palatino Linotype" w:hAnsi="Palatino Linotype" w:cs="Palatino Linotype"/>
          <w:sz w:val="24"/>
          <w:szCs w:val="24"/>
        </w:rPr>
      </w:pPr>
    </w:p>
    <w:p w:rsidR="00F25763" w:rsidRPr="00322990" w:rsidRDefault="002F4B90">
      <w:pPr>
        <w:numPr>
          <w:ilvl w:val="0"/>
          <w:numId w:val="1"/>
        </w:numPr>
        <w:tabs>
          <w:tab w:val="left" w:pos="567"/>
        </w:tabs>
        <w:spacing w:after="0" w:line="360" w:lineRule="auto"/>
        <w:ind w:left="284" w:firstLine="0"/>
        <w:jc w:val="both"/>
        <w:rPr>
          <w:rFonts w:ascii="Palatino Linotype" w:eastAsia="Palatino Linotype" w:hAnsi="Palatino Linotype" w:cs="Palatino Linotype"/>
          <w:b/>
          <w:sz w:val="24"/>
          <w:szCs w:val="24"/>
        </w:rPr>
      </w:pPr>
      <w:r w:rsidRPr="00322990">
        <w:rPr>
          <w:rFonts w:ascii="Palatino Linotype" w:eastAsia="Palatino Linotype" w:hAnsi="Palatino Linotype" w:cs="Palatino Linotype"/>
          <w:b/>
          <w:sz w:val="24"/>
          <w:szCs w:val="24"/>
        </w:rPr>
        <w:lastRenderedPageBreak/>
        <w:t>Antecedentes.</w:t>
      </w:r>
    </w:p>
    <w:p w:rsidR="00F25763" w:rsidRPr="00322990" w:rsidRDefault="002F4B90">
      <w:pPr>
        <w:spacing w:after="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 xml:space="preserve">En el asunto que nos ocupa, la parte </w:t>
      </w:r>
      <w:r w:rsidRPr="00322990">
        <w:rPr>
          <w:rFonts w:ascii="Palatino Linotype" w:eastAsia="Palatino Linotype" w:hAnsi="Palatino Linotype" w:cs="Palatino Linotype"/>
          <w:b/>
          <w:sz w:val="24"/>
          <w:szCs w:val="24"/>
        </w:rPr>
        <w:t>Recurrente</w:t>
      </w:r>
      <w:r w:rsidRPr="00322990">
        <w:rPr>
          <w:rFonts w:ascii="Palatino Linotype" w:eastAsia="Palatino Linotype" w:hAnsi="Palatino Linotype" w:cs="Palatino Linotype"/>
          <w:sz w:val="24"/>
          <w:szCs w:val="24"/>
        </w:rPr>
        <w:t xml:space="preserve"> solicitó al </w:t>
      </w:r>
      <w:r w:rsidRPr="00322990">
        <w:rPr>
          <w:rFonts w:ascii="Palatino Linotype" w:eastAsia="Palatino Linotype" w:hAnsi="Palatino Linotype" w:cs="Palatino Linotype"/>
          <w:b/>
          <w:sz w:val="24"/>
          <w:szCs w:val="24"/>
        </w:rPr>
        <w:t>Sujeto Obligado</w:t>
      </w:r>
      <w:r w:rsidRPr="00322990">
        <w:rPr>
          <w:rFonts w:ascii="Palatino Linotype" w:eastAsia="Palatino Linotype" w:hAnsi="Palatino Linotype" w:cs="Palatino Linotype"/>
          <w:sz w:val="24"/>
          <w:szCs w:val="24"/>
        </w:rPr>
        <w:t>, le proporcionara la siguient</w:t>
      </w:r>
      <w:r w:rsidRPr="00322990">
        <w:rPr>
          <w:rFonts w:ascii="Palatino Linotype" w:eastAsia="Palatino Linotype" w:hAnsi="Palatino Linotype" w:cs="Palatino Linotype"/>
          <w:sz w:val="24"/>
          <w:szCs w:val="24"/>
        </w:rPr>
        <w:t xml:space="preserve">e información: </w:t>
      </w:r>
    </w:p>
    <w:p w:rsidR="00F25763" w:rsidRPr="00322990" w:rsidRDefault="002F4B90">
      <w:pPr>
        <w:tabs>
          <w:tab w:val="left" w:pos="8647"/>
        </w:tabs>
        <w:spacing w:before="240" w:after="240" w:line="360" w:lineRule="auto"/>
        <w:ind w:left="284"/>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1. Listas de asistencia de la segunda quincena de noviembre de 2022 de todos los Directores y de los servidores públicos adscritos a las siguientes áreas:</w:t>
      </w:r>
    </w:p>
    <w:p w:rsidR="00F25763" w:rsidRPr="00322990" w:rsidRDefault="002F4B90">
      <w:pPr>
        <w:tabs>
          <w:tab w:val="left" w:pos="8647"/>
        </w:tabs>
        <w:spacing w:before="120" w:after="120"/>
        <w:ind w:left="567"/>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a. Unidad de Transparencia.</w:t>
      </w:r>
    </w:p>
    <w:p w:rsidR="00F25763" w:rsidRPr="00322990" w:rsidRDefault="002F4B90">
      <w:pPr>
        <w:tabs>
          <w:tab w:val="left" w:pos="8647"/>
        </w:tabs>
        <w:spacing w:before="120" w:after="120"/>
        <w:ind w:left="567"/>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b. Dirección de Administración.</w:t>
      </w:r>
    </w:p>
    <w:p w:rsidR="00F25763" w:rsidRPr="00322990" w:rsidRDefault="002F4B90">
      <w:pPr>
        <w:tabs>
          <w:tab w:val="left" w:pos="8647"/>
        </w:tabs>
        <w:spacing w:before="120" w:after="120"/>
        <w:ind w:left="567"/>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c. Contraloría Municipal.</w:t>
      </w:r>
    </w:p>
    <w:p w:rsidR="00F25763" w:rsidRPr="00322990" w:rsidRDefault="002F4B90">
      <w:pPr>
        <w:tabs>
          <w:tab w:val="left" w:pos="8647"/>
        </w:tabs>
        <w:spacing w:before="120" w:after="120"/>
        <w:ind w:left="567"/>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d. Presidencia Municipal.</w:t>
      </w:r>
    </w:p>
    <w:p w:rsidR="00F25763" w:rsidRPr="00322990" w:rsidRDefault="002F4B90">
      <w:pPr>
        <w:tabs>
          <w:tab w:val="left" w:pos="8647"/>
        </w:tabs>
        <w:spacing w:before="120" w:after="120"/>
        <w:ind w:left="567"/>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e. Unidad de Información, Planeación, Programación y Evaluación, UIPPE.</w:t>
      </w:r>
    </w:p>
    <w:p w:rsidR="00F25763" w:rsidRPr="00322990" w:rsidRDefault="002F4B90">
      <w:pPr>
        <w:tabs>
          <w:tab w:val="left" w:pos="8647"/>
        </w:tabs>
        <w:spacing w:before="120" w:after="120"/>
        <w:ind w:left="567"/>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f. Secretaría del Ayuntamiento.</w:t>
      </w:r>
    </w:p>
    <w:p w:rsidR="00F25763" w:rsidRPr="00322990" w:rsidRDefault="002F4B90">
      <w:pPr>
        <w:tabs>
          <w:tab w:val="left" w:pos="8647"/>
        </w:tabs>
        <w:spacing w:before="120" w:after="120"/>
        <w:ind w:left="567"/>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g. Regidurías.</w:t>
      </w:r>
    </w:p>
    <w:p w:rsidR="00F25763" w:rsidRPr="00322990" w:rsidRDefault="002F4B90">
      <w:pPr>
        <w:tabs>
          <w:tab w:val="left" w:pos="8647"/>
        </w:tabs>
        <w:spacing w:before="120" w:after="120"/>
        <w:ind w:left="567"/>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h. Medio Ambiente</w:t>
      </w:r>
    </w:p>
    <w:p w:rsidR="00F25763" w:rsidRPr="00322990" w:rsidRDefault="002F4B90">
      <w:pPr>
        <w:tabs>
          <w:tab w:val="left" w:pos="8647"/>
        </w:tabs>
        <w:spacing w:before="120" w:after="120"/>
        <w:ind w:left="567"/>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i. Seguridad Pública</w:t>
      </w:r>
    </w:p>
    <w:p w:rsidR="00F25763" w:rsidRPr="00322990" w:rsidRDefault="002F4B90">
      <w:pPr>
        <w:tabs>
          <w:tab w:val="left" w:pos="8647"/>
        </w:tabs>
        <w:spacing w:before="120" w:after="120"/>
        <w:ind w:left="567"/>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j. Dirección Jurídica</w:t>
      </w:r>
    </w:p>
    <w:p w:rsidR="00F25763" w:rsidRPr="00322990" w:rsidRDefault="002F4B90">
      <w:pP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 xml:space="preserve">En respuesta a la solicitud de información, el </w:t>
      </w:r>
      <w:r w:rsidRPr="00322990">
        <w:rPr>
          <w:rFonts w:ascii="Palatino Linotype" w:eastAsia="Palatino Linotype" w:hAnsi="Palatino Linotype" w:cs="Palatino Linotype"/>
          <w:b/>
          <w:sz w:val="24"/>
          <w:szCs w:val="24"/>
        </w:rPr>
        <w:t>Su</w:t>
      </w:r>
      <w:r w:rsidRPr="00322990">
        <w:rPr>
          <w:rFonts w:ascii="Palatino Linotype" w:eastAsia="Palatino Linotype" w:hAnsi="Palatino Linotype" w:cs="Palatino Linotype"/>
          <w:b/>
          <w:sz w:val="24"/>
          <w:szCs w:val="24"/>
        </w:rPr>
        <w:t>jeto Obligado</w:t>
      </w:r>
      <w:r w:rsidRPr="00322990">
        <w:rPr>
          <w:rFonts w:ascii="Palatino Linotype" w:eastAsia="Palatino Linotype" w:hAnsi="Palatino Linotype" w:cs="Palatino Linotype"/>
          <w:sz w:val="24"/>
          <w:szCs w:val="24"/>
        </w:rPr>
        <w:t xml:space="preserve"> remitió la respuesta a las solicitudes que dieron origen a los recursos que se resolvieron, señalando que al realizar un análisis de las mismas procedió a turnarlas al Servidor Público Habilitado poseedor de la información, mismo que informó </w:t>
      </w:r>
      <w:r w:rsidRPr="00322990">
        <w:rPr>
          <w:rFonts w:ascii="Palatino Linotype" w:eastAsia="Palatino Linotype" w:hAnsi="Palatino Linotype" w:cs="Palatino Linotype"/>
          <w:sz w:val="24"/>
          <w:szCs w:val="24"/>
        </w:rPr>
        <w:t>que “</w:t>
      </w:r>
      <w:r w:rsidRPr="00322990">
        <w:rPr>
          <w:rFonts w:ascii="Palatino Linotype" w:eastAsia="Palatino Linotype" w:hAnsi="Palatino Linotype" w:cs="Palatino Linotype"/>
          <w:i/>
          <w:sz w:val="24"/>
          <w:szCs w:val="24"/>
        </w:rPr>
        <w:t>no se generan listas de asistencia toda vez que al tratarse de personal de confianza son personal considerados como personal de confianza</w:t>
      </w:r>
      <w:r w:rsidRPr="00322990">
        <w:rPr>
          <w:rFonts w:ascii="Palatino Linotype" w:eastAsia="Palatino Linotype" w:hAnsi="Palatino Linotype" w:cs="Palatino Linotype"/>
          <w:sz w:val="24"/>
          <w:szCs w:val="24"/>
        </w:rPr>
        <w:t>.” (sic) en todos los casos.</w:t>
      </w:r>
    </w:p>
    <w:p w:rsidR="00F25763" w:rsidRPr="00322990" w:rsidRDefault="002F4B90">
      <w:pPr>
        <w:spacing w:before="280" w:after="28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lastRenderedPageBreak/>
        <w:t>Una vez admitidos los recursos de revisión, se integraron  los expedientes y se pusieron a disposición de las partes para que, en un plazo máximo de siete días hábiles, manifestaran lo que a su derecho resultara conveniente.</w:t>
      </w:r>
    </w:p>
    <w:p w:rsidR="00F25763" w:rsidRPr="00322990" w:rsidRDefault="002F4B90">
      <w:pPr>
        <w:spacing w:before="240" w:after="240" w:line="360" w:lineRule="auto"/>
        <w:ind w:right="49"/>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 xml:space="preserve">En tal sentido, el </w:t>
      </w:r>
      <w:r w:rsidRPr="00322990">
        <w:rPr>
          <w:rFonts w:ascii="Palatino Linotype" w:eastAsia="Palatino Linotype" w:hAnsi="Palatino Linotype" w:cs="Palatino Linotype"/>
          <w:b/>
          <w:sz w:val="24"/>
          <w:szCs w:val="24"/>
        </w:rPr>
        <w:t>Sujeto Oblig</w:t>
      </w:r>
      <w:r w:rsidRPr="00322990">
        <w:rPr>
          <w:rFonts w:ascii="Palatino Linotype" w:eastAsia="Palatino Linotype" w:hAnsi="Palatino Linotype" w:cs="Palatino Linotype"/>
          <w:b/>
          <w:sz w:val="24"/>
          <w:szCs w:val="24"/>
        </w:rPr>
        <w:t xml:space="preserve">ado, </w:t>
      </w:r>
      <w:r w:rsidRPr="00322990">
        <w:rPr>
          <w:rFonts w:ascii="Palatino Linotype" w:eastAsia="Palatino Linotype" w:hAnsi="Palatino Linotype" w:cs="Palatino Linotype"/>
          <w:sz w:val="24"/>
          <w:szCs w:val="24"/>
        </w:rPr>
        <w:t>a través de la Dirección de Administración precisó que no se generaban listas de asistencia a los mandos medios y Directores al ser personal de confianza.</w:t>
      </w:r>
    </w:p>
    <w:p w:rsidR="00F25763" w:rsidRPr="00322990" w:rsidRDefault="002F4B90">
      <w:pPr>
        <w:spacing w:before="280" w:after="28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Asimismo, remitió el oficio mediante el cual se hace del conocimiento a los integrantes del Pleno de este Instituto que en la Segunda Sesión Extraordinaria del Comité Municipal de Transparencia se aprobó la petición de ampliar los plazos para la atención a</w:t>
      </w:r>
      <w:r w:rsidRPr="00322990">
        <w:rPr>
          <w:rFonts w:ascii="Palatino Linotype" w:eastAsia="Palatino Linotype" w:hAnsi="Palatino Linotype" w:cs="Palatino Linotype"/>
          <w:sz w:val="24"/>
          <w:szCs w:val="24"/>
        </w:rPr>
        <w:t xml:space="preserve"> las Solicitudes de Información, solicitando en el acto sea aprobada dicha solicitud de ampliación de plazo para la atención de solicitudes hasta por 30 días hábiles para el cumplimiento de la resolución de los recursos de revisión derivado de las solicitu</w:t>
      </w:r>
      <w:r w:rsidRPr="00322990">
        <w:rPr>
          <w:rFonts w:ascii="Palatino Linotype" w:eastAsia="Palatino Linotype" w:hAnsi="Palatino Linotype" w:cs="Palatino Linotype"/>
          <w:sz w:val="24"/>
          <w:szCs w:val="24"/>
        </w:rPr>
        <w:t>des de información que motivaron los mismos.</w:t>
      </w:r>
    </w:p>
    <w:p w:rsidR="00F25763" w:rsidRPr="00322990" w:rsidRDefault="002F4B90">
      <w:pPr>
        <w:spacing w:before="240" w:after="240" w:line="360" w:lineRule="auto"/>
        <w:ind w:right="-6"/>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 xml:space="preserve">En tal sentido, derivado del análisis efectuado, a consideración de la suscrita, los motivos de inconformidad aducidos por la parte </w:t>
      </w:r>
      <w:r w:rsidRPr="00322990">
        <w:rPr>
          <w:rFonts w:ascii="Palatino Linotype" w:eastAsia="Palatino Linotype" w:hAnsi="Palatino Linotype" w:cs="Palatino Linotype"/>
          <w:b/>
          <w:sz w:val="24"/>
          <w:szCs w:val="24"/>
        </w:rPr>
        <w:t xml:space="preserve">Recurrente </w:t>
      </w:r>
      <w:r w:rsidRPr="00322990">
        <w:rPr>
          <w:rFonts w:ascii="Palatino Linotype" w:eastAsia="Palatino Linotype" w:hAnsi="Palatino Linotype" w:cs="Palatino Linotype"/>
          <w:sz w:val="24"/>
          <w:szCs w:val="24"/>
        </w:rPr>
        <w:t>resultaron fundados y se determinó revocar las respuestas proporcion</w:t>
      </w:r>
      <w:r w:rsidRPr="00322990">
        <w:rPr>
          <w:rFonts w:ascii="Palatino Linotype" w:eastAsia="Palatino Linotype" w:hAnsi="Palatino Linotype" w:cs="Palatino Linotype"/>
          <w:sz w:val="24"/>
          <w:szCs w:val="24"/>
        </w:rPr>
        <w:t>adas para ordenar la entrega en versión pública, de lo siguiente:</w:t>
      </w:r>
    </w:p>
    <w:p w:rsidR="00F25763" w:rsidRPr="00322990" w:rsidRDefault="002F4B90">
      <w:pPr>
        <w:spacing w:before="240" w:after="240" w:line="360" w:lineRule="auto"/>
        <w:ind w:left="426"/>
        <w:jc w:val="both"/>
        <w:rPr>
          <w:rFonts w:ascii="Palatino Linotype" w:eastAsia="Palatino Linotype" w:hAnsi="Palatino Linotype" w:cs="Palatino Linotype"/>
          <w:b/>
          <w:sz w:val="24"/>
          <w:szCs w:val="24"/>
        </w:rPr>
      </w:pPr>
      <w:r w:rsidRPr="00322990">
        <w:rPr>
          <w:rFonts w:ascii="Palatino Linotype" w:eastAsia="Palatino Linotype" w:hAnsi="Palatino Linotype" w:cs="Palatino Linotype"/>
          <w:sz w:val="24"/>
          <w:szCs w:val="24"/>
        </w:rPr>
        <w:t>1. Listas de asistencia o documento donde conste el control o registro de asistencia de la segunda quincena de noviembre de dos mil veintidós, de los servidores públicos adscritos a la ofici</w:t>
      </w:r>
      <w:r w:rsidRPr="00322990">
        <w:rPr>
          <w:rFonts w:ascii="Palatino Linotype" w:eastAsia="Palatino Linotype" w:hAnsi="Palatino Linotype" w:cs="Palatino Linotype"/>
          <w:sz w:val="24"/>
          <w:szCs w:val="24"/>
        </w:rPr>
        <w:t xml:space="preserve">na de la Presidencia Municipal, las </w:t>
      </w:r>
      <w:r w:rsidRPr="00322990">
        <w:rPr>
          <w:rFonts w:ascii="Palatino Linotype" w:eastAsia="Palatino Linotype" w:hAnsi="Palatino Linotype" w:cs="Palatino Linotype"/>
          <w:sz w:val="24"/>
          <w:szCs w:val="24"/>
        </w:rPr>
        <w:lastRenderedPageBreak/>
        <w:t>Regidurías, la Secretaría del Ayuntamiento, la Unidad de Información, Planeación, Programación y Evaluación, UIPPE, la Unidad de Transparencia, la Contraloría Municipal, la Dirección de Administración, Dirección de Segur</w:t>
      </w:r>
      <w:r w:rsidRPr="00322990">
        <w:rPr>
          <w:rFonts w:ascii="Palatino Linotype" w:eastAsia="Palatino Linotype" w:hAnsi="Palatino Linotype" w:cs="Palatino Linotype"/>
          <w:sz w:val="24"/>
          <w:szCs w:val="24"/>
        </w:rPr>
        <w:t xml:space="preserve">idad Pública y Tránsito, la Dirección de Medio Ambiente y la Dirección Jurídica, que </w:t>
      </w:r>
      <w:r w:rsidRPr="00322990">
        <w:rPr>
          <w:rFonts w:ascii="Palatino Linotype" w:eastAsia="Palatino Linotype" w:hAnsi="Palatino Linotype" w:cs="Palatino Linotype"/>
          <w:b/>
          <w:sz w:val="24"/>
          <w:szCs w:val="24"/>
        </w:rPr>
        <w:t xml:space="preserve">no ostentan cargos de mandos medios y superiores, </w:t>
      </w:r>
      <w:r w:rsidRPr="00322990">
        <w:rPr>
          <w:rFonts w:ascii="Palatino Linotype" w:eastAsia="Palatino Linotype" w:hAnsi="Palatino Linotype" w:cs="Palatino Linotype"/>
          <w:sz w:val="24"/>
          <w:szCs w:val="24"/>
        </w:rPr>
        <w:t xml:space="preserve">o bien, la autorización emitida por autoridad competente, para omitir la elaboración de dicho control, para exceptuar el </w:t>
      </w:r>
      <w:r w:rsidRPr="00322990">
        <w:rPr>
          <w:rFonts w:ascii="Palatino Linotype" w:eastAsia="Palatino Linotype" w:hAnsi="Palatino Linotype" w:cs="Palatino Linotype"/>
          <w:sz w:val="24"/>
          <w:szCs w:val="24"/>
        </w:rPr>
        <w:t>registro de asistencia durante el periodo referido, de los citados servidores públicos.</w:t>
      </w:r>
    </w:p>
    <w:p w:rsidR="00F25763" w:rsidRPr="00322990" w:rsidRDefault="002F4B90">
      <w:pPr>
        <w:tabs>
          <w:tab w:val="left" w:pos="7655"/>
        </w:tabs>
        <w:spacing w:before="240" w:after="240" w:line="360" w:lineRule="auto"/>
        <w:ind w:left="426" w:right="49"/>
        <w:jc w:val="both"/>
        <w:rPr>
          <w:rFonts w:ascii="Palatino Linotype" w:eastAsia="Palatino Linotype" w:hAnsi="Palatino Linotype" w:cs="Palatino Linotype"/>
          <w:b/>
          <w:sz w:val="24"/>
          <w:szCs w:val="24"/>
        </w:rPr>
      </w:pPr>
      <w:r w:rsidRPr="00322990">
        <w:rPr>
          <w:rFonts w:ascii="Palatino Linotype" w:eastAsia="Palatino Linotype" w:hAnsi="Palatino Linotype" w:cs="Palatino Linotype"/>
          <w:b/>
          <w:sz w:val="24"/>
          <w:szCs w:val="24"/>
        </w:rPr>
        <w:t xml:space="preserve">2. </w:t>
      </w:r>
      <w:r w:rsidRPr="00322990">
        <w:rPr>
          <w:rFonts w:ascii="Palatino Linotype" w:eastAsia="Palatino Linotype" w:hAnsi="Palatino Linotype" w:cs="Palatino Linotype"/>
          <w:sz w:val="24"/>
          <w:szCs w:val="24"/>
        </w:rPr>
        <w:t>La autorización emitida por autoridad competente, para omitir la elaboración del control o registro de asistencia de los servidores públicos adscritos a la oficina d</w:t>
      </w:r>
      <w:r w:rsidRPr="00322990">
        <w:rPr>
          <w:rFonts w:ascii="Palatino Linotype" w:eastAsia="Palatino Linotype" w:hAnsi="Palatino Linotype" w:cs="Palatino Linotype"/>
          <w:sz w:val="24"/>
          <w:szCs w:val="24"/>
        </w:rPr>
        <w:t>e la Presidencia Municipal, las Regidurías, la Secretaría del Ayuntamiento, la Unidad de Información, Planeación, Programación y Evaluación, UIPPE, la Unidad de Transparencia, la Contraloría Municipal, la Dirección de Administración, Dirección de Seguridad</w:t>
      </w:r>
      <w:r w:rsidRPr="00322990">
        <w:rPr>
          <w:rFonts w:ascii="Palatino Linotype" w:eastAsia="Palatino Linotype" w:hAnsi="Palatino Linotype" w:cs="Palatino Linotype"/>
          <w:sz w:val="24"/>
          <w:szCs w:val="24"/>
        </w:rPr>
        <w:t xml:space="preserve"> Pública y Tránsito, la Dirección de Medio Ambiente y la Dirección Jurídica, que </w:t>
      </w:r>
      <w:r w:rsidRPr="00322990">
        <w:rPr>
          <w:rFonts w:ascii="Palatino Linotype" w:eastAsia="Palatino Linotype" w:hAnsi="Palatino Linotype" w:cs="Palatino Linotype"/>
          <w:b/>
          <w:sz w:val="24"/>
          <w:szCs w:val="24"/>
        </w:rPr>
        <w:t>ostentan cargos de mandos medios y superiores,</w:t>
      </w:r>
      <w:r w:rsidRPr="00322990">
        <w:rPr>
          <w:rFonts w:ascii="Palatino Linotype" w:eastAsia="Palatino Linotype" w:hAnsi="Palatino Linotype" w:cs="Palatino Linotype"/>
          <w:sz w:val="24"/>
          <w:szCs w:val="24"/>
        </w:rPr>
        <w:t xml:space="preserve"> así como de los Directores de las Direcciones de Obras Públicas, Desarrollo Metropolitano y Movilidad, Desarrollo Territorial y </w:t>
      </w:r>
      <w:r w:rsidRPr="00322990">
        <w:rPr>
          <w:rFonts w:ascii="Palatino Linotype" w:eastAsia="Palatino Linotype" w:hAnsi="Palatino Linotype" w:cs="Palatino Linotype"/>
          <w:sz w:val="24"/>
          <w:szCs w:val="24"/>
        </w:rPr>
        <w:t>Urbano, Desarrollo Económico, Desarrollo Social, Servicios Públicos, Cultura y Turismo, Educación, Gobernación, y de la Mujer.</w:t>
      </w:r>
    </w:p>
    <w:p w:rsidR="00F25763" w:rsidRPr="00322990" w:rsidRDefault="00F25763">
      <w:pPr>
        <w:spacing w:after="0" w:line="360" w:lineRule="auto"/>
      </w:pPr>
    </w:p>
    <w:p w:rsidR="00F25763" w:rsidRPr="00322990" w:rsidRDefault="00F25763">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b/>
          <w:sz w:val="24"/>
          <w:szCs w:val="24"/>
        </w:rPr>
      </w:pPr>
    </w:p>
    <w:p w:rsidR="00F25763" w:rsidRPr="00322990" w:rsidRDefault="002F4B90">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b/>
          <w:sz w:val="24"/>
          <w:szCs w:val="24"/>
        </w:rPr>
      </w:pPr>
      <w:r w:rsidRPr="00322990">
        <w:rPr>
          <w:rFonts w:ascii="Palatino Linotype" w:eastAsia="Palatino Linotype" w:hAnsi="Palatino Linotype" w:cs="Palatino Linotype"/>
          <w:b/>
          <w:sz w:val="24"/>
          <w:szCs w:val="24"/>
        </w:rPr>
        <w:lastRenderedPageBreak/>
        <w:t>II. Razones del Voto Particular.</w:t>
      </w:r>
    </w:p>
    <w:p w:rsidR="00F25763" w:rsidRPr="00322990" w:rsidRDefault="002F4B90">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bookmarkStart w:id="1" w:name="_heading=h.3hestacsg4px" w:colFirst="0" w:colLast="0"/>
      <w:bookmarkEnd w:id="1"/>
      <w:r w:rsidRPr="00322990">
        <w:rPr>
          <w:rFonts w:ascii="Palatino Linotype" w:eastAsia="Palatino Linotype" w:hAnsi="Palatino Linotype" w:cs="Palatino Linotype"/>
          <w:sz w:val="24"/>
          <w:szCs w:val="24"/>
        </w:rPr>
        <w:t>En este orden de ideas, resulta importante señalar que coincido con los términos generales planteados en la Resolución toda vez que por regla general la publicidad de la información que generen, administren o posean los sujetos obligados es pública, sin em</w:t>
      </w:r>
      <w:r w:rsidRPr="00322990">
        <w:rPr>
          <w:rFonts w:ascii="Palatino Linotype" w:eastAsia="Palatino Linotype" w:hAnsi="Palatino Linotype" w:cs="Palatino Linotype"/>
          <w:sz w:val="24"/>
          <w:szCs w:val="24"/>
        </w:rPr>
        <w:t xml:space="preserve">bargo, también considero que la información solicitada, respecto de la </w:t>
      </w:r>
      <w:r w:rsidRPr="00322990">
        <w:rPr>
          <w:rFonts w:ascii="Palatino Linotype" w:eastAsia="Palatino Linotype" w:hAnsi="Palatino Linotype" w:cs="Palatino Linotype"/>
          <w:sz w:val="24"/>
          <w:szCs w:val="24"/>
        </w:rPr>
        <w:t xml:space="preserve">Dirección de Seguridad Pública y Tránsito, concretamente respecto del </w:t>
      </w:r>
      <w:r w:rsidRPr="00322990">
        <w:rPr>
          <w:rFonts w:ascii="Palatino Linotype" w:eastAsia="Palatino Linotype" w:hAnsi="Palatino Linotype" w:cs="Palatino Linotype"/>
          <w:sz w:val="24"/>
          <w:szCs w:val="24"/>
        </w:rPr>
        <w:t xml:space="preserve">personal que se encuentra adscrito a dicha dependencia con funciones operativas  está sujeta a un claro régimen de </w:t>
      </w:r>
      <w:r w:rsidRPr="00322990">
        <w:rPr>
          <w:rFonts w:ascii="Palatino Linotype" w:eastAsia="Palatino Linotype" w:hAnsi="Palatino Linotype" w:cs="Palatino Linotype"/>
          <w:sz w:val="24"/>
          <w:szCs w:val="24"/>
        </w:rPr>
        <w:t>excepción.</w:t>
      </w:r>
    </w:p>
    <w:p w:rsidR="00F25763" w:rsidRPr="00322990" w:rsidRDefault="002F4B90">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Sobre este punto, debemos partir desde la máxima establecida en nuestro texto Constitucional Federal pues el artículo 21 en su párrafo noveno reconoce que la seguridad pública es una función del Estado a cargo de la Federación, las Entidades Fed</w:t>
      </w:r>
      <w:r w:rsidRPr="00322990">
        <w:rPr>
          <w:rFonts w:ascii="Palatino Linotype" w:eastAsia="Palatino Linotype" w:hAnsi="Palatino Linotype" w:cs="Palatino Linotype"/>
          <w:sz w:val="24"/>
          <w:szCs w:val="24"/>
        </w:rPr>
        <w:t xml:space="preserve">erativas y </w:t>
      </w:r>
      <w:r w:rsidRPr="00322990">
        <w:rPr>
          <w:rFonts w:ascii="Palatino Linotype" w:eastAsia="Palatino Linotype" w:hAnsi="Palatino Linotype" w:cs="Palatino Linotype"/>
          <w:b/>
          <w:sz w:val="24"/>
          <w:szCs w:val="24"/>
        </w:rPr>
        <w:t>los Municipios</w:t>
      </w:r>
      <w:r w:rsidRPr="00322990">
        <w:rPr>
          <w:rFonts w:ascii="Palatino Linotype" w:eastAsia="Palatino Linotype" w:hAnsi="Palatino Linotype" w:cs="Palatino Linotype"/>
          <w:sz w:val="24"/>
          <w:szCs w:val="24"/>
        </w:rPr>
        <w:t xml:space="preserve">, </w:t>
      </w:r>
      <w:r w:rsidRPr="00322990">
        <w:rPr>
          <w:rFonts w:ascii="Palatino Linotype" w:eastAsia="Palatino Linotype" w:hAnsi="Palatino Linotype" w:cs="Palatino Linotype"/>
          <w:b/>
          <w:sz w:val="24"/>
          <w:szCs w:val="24"/>
        </w:rPr>
        <w:t>cuyos fines son salvaguardar la vida, las libertades, la integridad y el patrimonio de las personas, así como contribuir a la generación y preservación del orden público y la paz social</w:t>
      </w:r>
      <w:r w:rsidRPr="00322990">
        <w:rPr>
          <w:rFonts w:ascii="Palatino Linotype" w:eastAsia="Palatino Linotype" w:hAnsi="Palatino Linotype" w:cs="Palatino Linotype"/>
          <w:sz w:val="24"/>
          <w:szCs w:val="24"/>
        </w:rPr>
        <w:t>. Asimismo, señala que la actuación de las i</w:t>
      </w:r>
      <w:r w:rsidRPr="00322990">
        <w:rPr>
          <w:rFonts w:ascii="Palatino Linotype" w:eastAsia="Palatino Linotype" w:hAnsi="Palatino Linotype" w:cs="Palatino Linotype"/>
          <w:sz w:val="24"/>
          <w:szCs w:val="24"/>
        </w:rPr>
        <w:t>nstituciones de seguridad pública se regirá por los principios de legalidad, objetividad, eficiencia, profesionalismo, honradez y respeto a los derechos humanos.</w:t>
      </w:r>
    </w:p>
    <w:p w:rsidR="00F25763" w:rsidRPr="00322990" w:rsidRDefault="002F4B90">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Dicha circunstancia es replicada por la Ley de Seguridad del Estado de México en su artículo 1</w:t>
      </w:r>
      <w:r w:rsidRPr="00322990">
        <w:rPr>
          <w:rFonts w:ascii="Palatino Linotype" w:eastAsia="Palatino Linotype" w:hAnsi="Palatino Linotype" w:cs="Palatino Linotype"/>
          <w:sz w:val="24"/>
          <w:szCs w:val="24"/>
        </w:rPr>
        <w:t>, fracciones II, III y V, las cuales señalan que dicho ordenamiento es de orden público, de interés social y de observancia general en todo el territorio del Estado de México y tiene por objeto establecer las bases de coordinación del Estado y los Municipi</w:t>
      </w:r>
      <w:r w:rsidRPr="00322990">
        <w:rPr>
          <w:rFonts w:ascii="Palatino Linotype" w:eastAsia="Palatino Linotype" w:hAnsi="Palatino Linotype" w:cs="Palatino Linotype"/>
          <w:sz w:val="24"/>
          <w:szCs w:val="24"/>
        </w:rPr>
        <w:t xml:space="preserve">os con la Federación, las Entidades Federativas, Municipios y </w:t>
      </w:r>
      <w:r w:rsidRPr="00322990">
        <w:rPr>
          <w:rFonts w:ascii="Palatino Linotype" w:eastAsia="Palatino Linotype" w:hAnsi="Palatino Linotype" w:cs="Palatino Linotype"/>
          <w:sz w:val="24"/>
          <w:szCs w:val="24"/>
        </w:rPr>
        <w:lastRenderedPageBreak/>
        <w:t xml:space="preserve">Alcaldías de la Ciudad de México; integrar el Sistema Estatal de Seguridad Pública, que a su vez contribuirá con el Sistema Nacional de Seguridad Pública; para la construcción de las bases para </w:t>
      </w:r>
      <w:r w:rsidRPr="00322990">
        <w:rPr>
          <w:rFonts w:ascii="Palatino Linotype" w:eastAsia="Palatino Linotype" w:hAnsi="Palatino Linotype" w:cs="Palatino Linotype"/>
          <w:sz w:val="24"/>
          <w:szCs w:val="24"/>
        </w:rPr>
        <w:t>una plena seguridad ciudadana.</w:t>
      </w:r>
    </w:p>
    <w:p w:rsidR="00F25763" w:rsidRPr="00322990" w:rsidRDefault="002F4B90">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De tal suerte que con lo señalado hasta este punto se advierte que la finalidad de la función de seguridad pública indudablemente tienen como eje central a la persona humana y, por ende, contribuyen al establecimiento de la s</w:t>
      </w:r>
      <w:r w:rsidRPr="00322990">
        <w:rPr>
          <w:rFonts w:ascii="Palatino Linotype" w:eastAsia="Palatino Linotype" w:hAnsi="Palatino Linotype" w:cs="Palatino Linotype"/>
          <w:sz w:val="24"/>
          <w:szCs w:val="24"/>
        </w:rPr>
        <w:t xml:space="preserve">eguridad ciudadana, la cual tiene por objeto proteger a las personas; asegurar el ejercicio de su ciudadanía, sus libertades y derechos fundamentales; establecer espacios de participación social corresponsable y armónica; propiciar la solución pacífica de </w:t>
      </w:r>
      <w:r w:rsidRPr="00322990">
        <w:rPr>
          <w:rFonts w:ascii="Palatino Linotype" w:eastAsia="Palatino Linotype" w:hAnsi="Palatino Linotype" w:cs="Palatino Linotype"/>
          <w:sz w:val="24"/>
          <w:szCs w:val="24"/>
        </w:rPr>
        <w:t>los conflictos interpersonales y sociales; fortalecer a las instituciones, y propiciar condiciones durables que permitan a los ciudadanos desarrollar sus capacidades, en un ambiente de paz y democracia.</w:t>
      </w:r>
    </w:p>
    <w:p w:rsidR="00F25763" w:rsidRPr="00322990" w:rsidRDefault="002F4B90">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Una vez acreditado el objeto de la seguridad pública,</w:t>
      </w:r>
      <w:r w:rsidRPr="00322990">
        <w:rPr>
          <w:rFonts w:ascii="Palatino Linotype" w:eastAsia="Palatino Linotype" w:hAnsi="Palatino Linotype" w:cs="Palatino Linotype"/>
          <w:sz w:val="24"/>
          <w:szCs w:val="24"/>
        </w:rPr>
        <w:t xml:space="preserve"> así como los sujetos encargados de ejecutar las acciones para consumar esta función, podemos observar con claridad la importancia de los elementos operativos que ejecutan estas acciones encaminadas a preservar el orden dentro de la dinámica social y podem</w:t>
      </w:r>
      <w:r w:rsidRPr="00322990">
        <w:rPr>
          <w:rFonts w:ascii="Palatino Linotype" w:eastAsia="Palatino Linotype" w:hAnsi="Palatino Linotype" w:cs="Palatino Linotype"/>
          <w:sz w:val="24"/>
          <w:szCs w:val="24"/>
        </w:rPr>
        <w:t xml:space="preserve">os partir de este punto para determinar el riesgo de la divulgación de esta información y por ende, la procedencia de su clasificación como información reservada. </w:t>
      </w:r>
    </w:p>
    <w:p w:rsidR="00F25763" w:rsidRPr="00322990" w:rsidRDefault="002F4B90">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 xml:space="preserve">En primer momento podemos vislumbrar que el artículo 81, fracción II de la Ley de Seguridad </w:t>
      </w:r>
      <w:r w:rsidRPr="00322990">
        <w:rPr>
          <w:rFonts w:ascii="Palatino Linotype" w:eastAsia="Palatino Linotype" w:hAnsi="Palatino Linotype" w:cs="Palatino Linotype"/>
          <w:sz w:val="24"/>
          <w:szCs w:val="24"/>
        </w:rPr>
        <w:t xml:space="preserve">del Estado de México dispone de manera expresa que toda información para la seguridad pública generada o en poder de Instituciones de Seguridad Pública </w:t>
      </w:r>
      <w:r w:rsidRPr="00322990">
        <w:rPr>
          <w:rFonts w:ascii="Palatino Linotype" w:eastAsia="Palatino Linotype" w:hAnsi="Palatino Linotype" w:cs="Palatino Linotype"/>
          <w:sz w:val="24"/>
          <w:szCs w:val="24"/>
        </w:rPr>
        <w:lastRenderedPageBreak/>
        <w:t>o de cualquier instancia del Sistema Estatal debe clasificarse, sirve de referencia la siguiente cita:</w:t>
      </w:r>
    </w:p>
    <w:p w:rsidR="00F25763" w:rsidRPr="00322990" w:rsidRDefault="002F4B90">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sidRPr="00322990">
        <w:rPr>
          <w:rFonts w:ascii="Palatino Linotype" w:eastAsia="Palatino Linotype" w:hAnsi="Palatino Linotype" w:cs="Palatino Linotype"/>
          <w:i/>
        </w:rPr>
        <w:t>“</w:t>
      </w:r>
      <w:r w:rsidRPr="00322990">
        <w:rPr>
          <w:rFonts w:ascii="Palatino Linotype" w:eastAsia="Palatino Linotype" w:hAnsi="Palatino Linotype" w:cs="Palatino Linotype"/>
          <w:b/>
          <w:i/>
        </w:rPr>
        <w:t>Artículo 81.-</w:t>
      </w:r>
      <w:r w:rsidRPr="00322990">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w:t>
      </w:r>
      <w:r w:rsidRPr="00322990">
        <w:rPr>
          <w:rFonts w:ascii="Palatino Linotype" w:eastAsia="Palatino Linotype" w:hAnsi="Palatino Linotype" w:cs="Palatino Linotype"/>
          <w:i/>
        </w:rPr>
        <w:t>stante lo anterior, esta información se considerará reservada en los casos siguientes:</w:t>
      </w:r>
    </w:p>
    <w:p w:rsidR="00F25763" w:rsidRPr="00322990" w:rsidRDefault="002F4B90">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sidRPr="00322990">
        <w:rPr>
          <w:rFonts w:ascii="Palatino Linotype" w:eastAsia="Palatino Linotype" w:hAnsi="Palatino Linotype" w:cs="Palatino Linotype"/>
          <w:i/>
        </w:rPr>
        <w:t>…</w:t>
      </w:r>
    </w:p>
    <w:p w:rsidR="00F25763" w:rsidRPr="00322990" w:rsidRDefault="002F4B90">
      <w:pPr>
        <w:pBdr>
          <w:top w:val="nil"/>
          <w:left w:val="nil"/>
          <w:bottom w:val="nil"/>
          <w:right w:val="nil"/>
          <w:between w:val="nil"/>
        </w:pBdr>
        <w:spacing w:after="0" w:line="240" w:lineRule="auto"/>
        <w:ind w:left="851" w:right="900"/>
        <w:jc w:val="both"/>
        <w:rPr>
          <w:rFonts w:ascii="Palatino Linotype" w:eastAsia="Palatino Linotype" w:hAnsi="Palatino Linotype" w:cs="Palatino Linotype"/>
          <w:i/>
        </w:rPr>
      </w:pPr>
      <w:r w:rsidRPr="00322990">
        <w:rPr>
          <w:rFonts w:ascii="Palatino Linotype" w:eastAsia="Palatino Linotype" w:hAnsi="Palatino Linotype" w:cs="Palatino Linotype"/>
          <w:b/>
          <w:i/>
          <w:u w:val="single"/>
        </w:rPr>
        <w:t>II. Aquella cuya revelación pueda ser utilizada para actualizar o potenciar una amenaza a la seguridad pública o a las instituciones del Estado de México ;</w:t>
      </w:r>
      <w:r w:rsidRPr="00322990">
        <w:rPr>
          <w:rFonts w:ascii="Palatino Linotype" w:eastAsia="Palatino Linotype" w:hAnsi="Palatino Linotype" w:cs="Palatino Linotype"/>
          <w:b/>
          <w:i/>
        </w:rPr>
        <w:t xml:space="preserve">” </w:t>
      </w:r>
    </w:p>
    <w:p w:rsidR="00F25763" w:rsidRPr="00322990" w:rsidRDefault="00F25763">
      <w:pPr>
        <w:pBdr>
          <w:top w:val="nil"/>
          <w:left w:val="nil"/>
          <w:bottom w:val="nil"/>
          <w:right w:val="nil"/>
          <w:between w:val="nil"/>
        </w:pBdr>
        <w:spacing w:after="0" w:line="360" w:lineRule="auto"/>
        <w:ind w:left="567" w:right="990"/>
        <w:jc w:val="both"/>
        <w:rPr>
          <w:rFonts w:ascii="Palatino Linotype" w:eastAsia="Palatino Linotype" w:hAnsi="Palatino Linotype" w:cs="Palatino Linotype"/>
          <w:b/>
          <w:i/>
          <w:u w:val="single"/>
        </w:rPr>
      </w:pPr>
    </w:p>
    <w:p w:rsidR="00F25763" w:rsidRPr="00322990" w:rsidRDefault="002F4B90">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En armonía con esta disposición normativa, la Ley General de Transparencia y Acceso a la Información Pública, en su artículo 113, fracción I señala que deberá reservarse la información que con su publicación se comprometa a la seguridad pública y cuente co</w:t>
      </w:r>
      <w:r w:rsidRPr="00322990">
        <w:rPr>
          <w:rFonts w:ascii="Palatino Linotype" w:eastAsia="Palatino Linotype" w:hAnsi="Palatino Linotype" w:cs="Palatino Linotype"/>
          <w:sz w:val="24"/>
          <w:szCs w:val="24"/>
        </w:rPr>
        <w:t xml:space="preserve">n un efecto demostrable, posteriormente el artículo 140 fracción I de la Ley de Transparencia Local replica esta circunstancia de reserva, que señalan: </w:t>
      </w:r>
    </w:p>
    <w:p w:rsidR="00F25763" w:rsidRPr="00322990" w:rsidRDefault="00F25763">
      <w:pPr>
        <w:pBdr>
          <w:top w:val="nil"/>
          <w:left w:val="nil"/>
          <w:bottom w:val="nil"/>
          <w:right w:val="nil"/>
          <w:between w:val="nil"/>
        </w:pBdr>
        <w:tabs>
          <w:tab w:val="left" w:pos="284"/>
        </w:tabs>
        <w:spacing w:after="0" w:line="240" w:lineRule="auto"/>
        <w:ind w:left="567" w:right="709"/>
        <w:jc w:val="both"/>
        <w:rPr>
          <w:rFonts w:ascii="Palatino Linotype" w:eastAsia="Palatino Linotype" w:hAnsi="Palatino Linotype" w:cs="Palatino Linotype"/>
          <w:i/>
        </w:rPr>
      </w:pPr>
    </w:p>
    <w:p w:rsidR="00F25763" w:rsidRPr="00322990" w:rsidRDefault="002F4B90">
      <w:pPr>
        <w:pBdr>
          <w:top w:val="nil"/>
          <w:left w:val="nil"/>
          <w:bottom w:val="nil"/>
          <w:right w:val="nil"/>
          <w:between w:val="nil"/>
        </w:pBdr>
        <w:spacing w:after="120" w:line="360" w:lineRule="auto"/>
        <w:ind w:left="851" w:right="900"/>
        <w:jc w:val="both"/>
        <w:rPr>
          <w:rFonts w:ascii="Palatino Linotype" w:eastAsia="Palatino Linotype" w:hAnsi="Palatino Linotype" w:cs="Palatino Linotype"/>
          <w:b/>
        </w:rPr>
      </w:pPr>
      <w:r w:rsidRPr="00322990">
        <w:rPr>
          <w:rFonts w:ascii="Palatino Linotype" w:eastAsia="Palatino Linotype" w:hAnsi="Palatino Linotype" w:cs="Palatino Linotype"/>
          <w:b/>
        </w:rPr>
        <w:t>“Ley General de Transparencia y Acceso a la Información Pública:</w:t>
      </w:r>
    </w:p>
    <w:p w:rsidR="00F25763" w:rsidRPr="00322990" w:rsidRDefault="002F4B90">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rPr>
      </w:pPr>
      <w:r w:rsidRPr="00322990">
        <w:rPr>
          <w:rFonts w:ascii="Palatino Linotype" w:eastAsia="Palatino Linotype" w:hAnsi="Palatino Linotype" w:cs="Palatino Linotype"/>
          <w:b/>
          <w:i/>
        </w:rPr>
        <w:t>Artículo 113</w:t>
      </w:r>
      <w:r w:rsidRPr="00322990">
        <w:rPr>
          <w:rFonts w:ascii="Palatino Linotype" w:eastAsia="Palatino Linotype" w:hAnsi="Palatino Linotype" w:cs="Palatino Linotype"/>
          <w:i/>
        </w:rPr>
        <w:t>. Como información reservada podrá clasificarse aquella cuya publicación:</w:t>
      </w:r>
    </w:p>
    <w:p w:rsidR="00F25763" w:rsidRPr="00322990" w:rsidRDefault="002F4B90">
      <w:pPr>
        <w:pBdr>
          <w:top w:val="nil"/>
          <w:left w:val="nil"/>
          <w:bottom w:val="nil"/>
          <w:right w:val="nil"/>
          <w:between w:val="nil"/>
        </w:pBdr>
        <w:spacing w:after="120" w:line="276" w:lineRule="auto"/>
        <w:ind w:left="1134" w:right="900"/>
        <w:jc w:val="both"/>
        <w:rPr>
          <w:rFonts w:ascii="Palatino Linotype" w:eastAsia="Palatino Linotype" w:hAnsi="Palatino Linotype" w:cs="Palatino Linotype"/>
          <w:i/>
        </w:rPr>
      </w:pPr>
      <w:r w:rsidRPr="00322990">
        <w:rPr>
          <w:rFonts w:ascii="Palatino Linotype" w:eastAsia="Palatino Linotype" w:hAnsi="Palatino Linotype" w:cs="Palatino Linotype"/>
          <w:b/>
          <w:i/>
        </w:rPr>
        <w:t>I. Comprometa la seguridad nacional, la seguridad pública o la defensa nacional y cuente con un propósito genuino y un efecto demostrable</w:t>
      </w:r>
      <w:r w:rsidRPr="00322990">
        <w:rPr>
          <w:rFonts w:ascii="Palatino Linotype" w:eastAsia="Palatino Linotype" w:hAnsi="Palatino Linotype" w:cs="Palatino Linotype"/>
          <w:i/>
        </w:rPr>
        <w:t>;”</w:t>
      </w:r>
    </w:p>
    <w:p w:rsidR="00F25763" w:rsidRPr="00322990" w:rsidRDefault="002F4B90">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b/>
        </w:rPr>
      </w:pPr>
      <w:r w:rsidRPr="00322990">
        <w:rPr>
          <w:rFonts w:ascii="Palatino Linotype" w:eastAsia="Palatino Linotype" w:hAnsi="Palatino Linotype" w:cs="Palatino Linotype"/>
          <w:b/>
        </w:rPr>
        <w:t>“Ley de Transparencia y Acceso a la Inform</w:t>
      </w:r>
      <w:r w:rsidRPr="00322990">
        <w:rPr>
          <w:rFonts w:ascii="Palatino Linotype" w:eastAsia="Palatino Linotype" w:hAnsi="Palatino Linotype" w:cs="Palatino Linotype"/>
          <w:b/>
        </w:rPr>
        <w:t xml:space="preserve">ación Pública del Estado de México y Municipios: </w:t>
      </w:r>
    </w:p>
    <w:p w:rsidR="00F25763" w:rsidRPr="00322990" w:rsidRDefault="002F4B90">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rPr>
      </w:pPr>
      <w:r w:rsidRPr="00322990">
        <w:rPr>
          <w:rFonts w:ascii="Palatino Linotype" w:eastAsia="Palatino Linotype" w:hAnsi="Palatino Linotype" w:cs="Palatino Linotype"/>
          <w:b/>
          <w:i/>
        </w:rPr>
        <w:lastRenderedPageBreak/>
        <w:t>Artículo 140</w:t>
      </w:r>
      <w:r w:rsidRPr="00322990">
        <w:rPr>
          <w:rFonts w:ascii="Palatino Linotype" w:eastAsia="Palatino Linotype" w:hAnsi="Palatino Linotype" w:cs="Palatino Linotype"/>
          <w:i/>
        </w:rPr>
        <w:t>. El acceso a la información pública será restringido excepcionalmente, cuando por razones de interés público, ésta sea clasificada como reservada, conforme a los criterios siguientes:</w:t>
      </w:r>
    </w:p>
    <w:p w:rsidR="00F25763" w:rsidRPr="00322990" w:rsidRDefault="002F4B90">
      <w:pPr>
        <w:pBdr>
          <w:top w:val="nil"/>
          <w:left w:val="nil"/>
          <w:bottom w:val="nil"/>
          <w:right w:val="nil"/>
          <w:between w:val="nil"/>
        </w:pBdr>
        <w:spacing w:after="120" w:line="276" w:lineRule="auto"/>
        <w:ind w:left="1134" w:right="900"/>
        <w:jc w:val="both"/>
        <w:rPr>
          <w:rFonts w:ascii="Palatino Linotype" w:eastAsia="Palatino Linotype" w:hAnsi="Palatino Linotype" w:cs="Palatino Linotype"/>
          <w:i/>
        </w:rPr>
      </w:pPr>
      <w:r w:rsidRPr="00322990">
        <w:rPr>
          <w:rFonts w:ascii="Palatino Linotype" w:eastAsia="Palatino Linotype" w:hAnsi="Palatino Linotype" w:cs="Palatino Linotype"/>
          <w:b/>
          <w:i/>
        </w:rPr>
        <w:t>I. Compro</w:t>
      </w:r>
      <w:r w:rsidRPr="00322990">
        <w:rPr>
          <w:rFonts w:ascii="Palatino Linotype" w:eastAsia="Palatino Linotype" w:hAnsi="Palatino Linotype" w:cs="Palatino Linotype"/>
          <w:b/>
          <w:i/>
        </w:rPr>
        <w:t>meta la seguridad pública y cuente con un propósito genuino y un efecto demostrable</w:t>
      </w:r>
      <w:r w:rsidRPr="00322990">
        <w:rPr>
          <w:rFonts w:ascii="Palatino Linotype" w:eastAsia="Palatino Linotype" w:hAnsi="Palatino Linotype" w:cs="Palatino Linotype"/>
          <w:i/>
        </w:rPr>
        <w:t>;”</w:t>
      </w:r>
    </w:p>
    <w:p w:rsidR="00F25763" w:rsidRPr="00322990" w:rsidRDefault="002F4B90">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 xml:space="preserve">Correlativo a lo anterior, Lineamientos Generales en Materia de Clasificación y Desclasificación de la Información, así como para la Elaboración de Versiones Públicas, publicados el 16 de abril de 2016 y reformados el 18 de noviembre de 2022 señalan en su </w:t>
      </w:r>
      <w:r w:rsidRPr="00322990">
        <w:rPr>
          <w:rFonts w:ascii="Palatino Linotype" w:eastAsia="Palatino Linotype" w:hAnsi="Palatino Linotype" w:cs="Palatino Linotype"/>
          <w:sz w:val="24"/>
          <w:szCs w:val="24"/>
        </w:rPr>
        <w:t>numeral décimo octavo que podrá considerarse como información reservada, aquella que comprometa la seguridad pública, al poner en peligro las funciones a cargo de la Federación, la Ciudad de México, los Estados y los Municipios, tendientes a preservar y re</w:t>
      </w:r>
      <w:r w:rsidRPr="00322990">
        <w:rPr>
          <w:rFonts w:ascii="Palatino Linotype" w:eastAsia="Palatino Linotype" w:hAnsi="Palatino Linotype" w:cs="Palatino Linotype"/>
          <w:sz w:val="24"/>
          <w:szCs w:val="24"/>
        </w:rPr>
        <w:t>sguardar la vida, la salud, la integridad y el ejercicio de los derechos de las personas, así como para el mantenimiento del orden público.</w:t>
      </w:r>
    </w:p>
    <w:p w:rsidR="00F25763" w:rsidRPr="00322990" w:rsidRDefault="002F4B90">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 xml:space="preserve">Es crucial señalar que estos Lineamientos señalan </w:t>
      </w:r>
      <w:r w:rsidRPr="00322990">
        <w:rPr>
          <w:rFonts w:ascii="Palatino Linotype" w:eastAsia="Palatino Linotype" w:hAnsi="Palatino Linotype" w:cs="Palatino Linotype"/>
          <w:b/>
          <w:sz w:val="24"/>
          <w:szCs w:val="24"/>
          <w:u w:val="single"/>
        </w:rPr>
        <w:t>que es susceptible de considerarse como reservada aquella que reve</w:t>
      </w:r>
      <w:r w:rsidRPr="00322990">
        <w:rPr>
          <w:rFonts w:ascii="Palatino Linotype" w:eastAsia="Palatino Linotype" w:hAnsi="Palatino Linotype" w:cs="Palatino Linotype"/>
          <w:b/>
          <w:sz w:val="24"/>
          <w:szCs w:val="24"/>
          <w:u w:val="single"/>
        </w:rPr>
        <w:t>le datos que pudieran ser aprovechados para conocer la capacidad de reacción de las instituciones encargadas de la seguridad pública</w:t>
      </w:r>
      <w:r w:rsidRPr="00322990">
        <w:rPr>
          <w:rFonts w:ascii="Palatino Linotype" w:eastAsia="Palatino Linotype" w:hAnsi="Palatino Linotype" w:cs="Palatino Linotype"/>
          <w:sz w:val="24"/>
          <w:szCs w:val="24"/>
        </w:rPr>
        <w:t>, sus planes, estrategias, tecnología, información, sistemas de comunicaciones.</w:t>
      </w:r>
    </w:p>
    <w:p w:rsidR="00F25763" w:rsidRPr="00322990" w:rsidRDefault="002F4B90">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Hasta este punto tenemos que los instrumento</w:t>
      </w:r>
      <w:r w:rsidRPr="00322990">
        <w:rPr>
          <w:rFonts w:ascii="Palatino Linotype" w:eastAsia="Palatino Linotype" w:hAnsi="Palatino Linotype" w:cs="Palatino Linotype"/>
          <w:sz w:val="24"/>
          <w:szCs w:val="24"/>
        </w:rPr>
        <w:t xml:space="preserve">s normativos que debemos observar en estricto sentido disponen puntualmente la reserva de información para los casos en los que se revele información que pueda ser empleada para conocer la capacidad </w:t>
      </w:r>
      <w:r w:rsidRPr="00322990">
        <w:rPr>
          <w:rFonts w:ascii="Palatino Linotype" w:eastAsia="Palatino Linotype" w:hAnsi="Palatino Linotype" w:cs="Palatino Linotype"/>
          <w:sz w:val="24"/>
          <w:szCs w:val="24"/>
        </w:rPr>
        <w:lastRenderedPageBreak/>
        <w:t>de reacción, es decir, todo lo relativo a servidores públ</w:t>
      </w:r>
      <w:r w:rsidRPr="00322990">
        <w:rPr>
          <w:rFonts w:ascii="Palatino Linotype" w:eastAsia="Palatino Linotype" w:hAnsi="Palatino Linotype" w:cs="Palatino Linotype"/>
          <w:sz w:val="24"/>
          <w:szCs w:val="24"/>
        </w:rPr>
        <w:t>icos operativos que integran las instituciones de seguridad pública, ya que su divulgación podría ser utilizada para actualizar o potenciar una amenaza para la seguridad pública de la sociedad; teniendo esto en cuenta y trasladando estas premisas al caso p</w:t>
      </w:r>
      <w:r w:rsidRPr="00322990">
        <w:rPr>
          <w:rFonts w:ascii="Palatino Linotype" w:eastAsia="Palatino Linotype" w:hAnsi="Palatino Linotype" w:cs="Palatino Linotype"/>
          <w:sz w:val="24"/>
          <w:szCs w:val="24"/>
        </w:rPr>
        <w:t>articular se estima que con la entrega de información de los servidores públicos con funciones operativas adscritos a instituciones de seguridad pública, revela información actualizada sobre el número de policías operativos en activo a la fecha de la solic</w:t>
      </w:r>
      <w:r w:rsidRPr="00322990">
        <w:rPr>
          <w:rFonts w:ascii="Palatino Linotype" w:eastAsia="Palatino Linotype" w:hAnsi="Palatino Linotype" w:cs="Palatino Linotype"/>
          <w:sz w:val="24"/>
          <w:szCs w:val="24"/>
        </w:rPr>
        <w:t>itud de información y en consecuencia su estado de fuerza vigente, lo cual no sólo contraviene lo dispuesto expresamente por las disposiciones previamente insertadas, sino que, además, pone en riesgo los valores jurídicos y los principios bajo los cuales d</w:t>
      </w:r>
      <w:r w:rsidRPr="00322990">
        <w:rPr>
          <w:rFonts w:ascii="Palatino Linotype" w:eastAsia="Palatino Linotype" w:hAnsi="Palatino Linotype" w:cs="Palatino Linotype"/>
          <w:sz w:val="24"/>
          <w:szCs w:val="24"/>
        </w:rPr>
        <w:t>e las instituciones de seguridad pública se debe regir como son la legalidad, objetividad, eficiencia, profesionalismo, honradez y respeto a los derechos humanos reconocidos en la Constitución General.</w:t>
      </w:r>
    </w:p>
    <w:p w:rsidR="00F25763" w:rsidRPr="00322990" w:rsidRDefault="002F4B90">
      <w:pPr>
        <w:spacing w:before="240" w:after="240" w:line="360" w:lineRule="auto"/>
        <w:ind w:right="-3"/>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En conclusión, la reserva del personal operativo procede por dos circunstancias:</w:t>
      </w:r>
    </w:p>
    <w:p w:rsidR="00F25763" w:rsidRPr="00322990" w:rsidRDefault="002F4B90">
      <w:pPr>
        <w:spacing w:before="240" w:after="240" w:line="360" w:lineRule="auto"/>
        <w:ind w:left="284" w:right="-3"/>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 xml:space="preserve">1. Se identifica en términos concretos cómo es que la información requerida podría comprometer el ejercicio de sus facultades constitucionales y, con ello, la seguridad </w:t>
      </w:r>
      <w:r w:rsidRPr="00322990">
        <w:rPr>
          <w:rFonts w:ascii="Palatino Linotype" w:eastAsia="Palatino Linotype" w:hAnsi="Palatino Linotype" w:cs="Palatino Linotype"/>
          <w:sz w:val="24"/>
          <w:szCs w:val="24"/>
        </w:rPr>
        <w:t>públic</w:t>
      </w:r>
      <w:r w:rsidRPr="00322990">
        <w:rPr>
          <w:rFonts w:ascii="Palatino Linotype" w:eastAsia="Palatino Linotype" w:hAnsi="Palatino Linotype" w:cs="Palatino Linotype"/>
          <w:sz w:val="24"/>
          <w:szCs w:val="24"/>
        </w:rPr>
        <w:t xml:space="preserve">a, </w:t>
      </w:r>
      <w:r w:rsidRPr="00322990">
        <w:rPr>
          <w:rFonts w:ascii="Palatino Linotype" w:eastAsia="Palatino Linotype" w:hAnsi="Palatino Linotype" w:cs="Palatino Linotype"/>
          <w:sz w:val="24"/>
          <w:szCs w:val="24"/>
        </w:rPr>
        <w:t xml:space="preserve">en virtud de que: </w:t>
      </w:r>
    </w:p>
    <w:p w:rsidR="00F25763" w:rsidRPr="00322990" w:rsidRDefault="002F4B90">
      <w:pPr>
        <w:spacing w:before="240" w:after="240" w:line="360" w:lineRule="auto"/>
        <w:ind w:left="567" w:right="-3"/>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 xml:space="preserve">a) La información podría ser aprovechada por los grupos criminales para conocer la capacidad de reacción </w:t>
      </w:r>
    </w:p>
    <w:p w:rsidR="00F25763" w:rsidRPr="00322990" w:rsidRDefault="002F4B90">
      <w:pPr>
        <w:spacing w:before="240" w:after="240" w:line="360" w:lineRule="auto"/>
        <w:ind w:left="567" w:right="-3"/>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lastRenderedPageBreak/>
        <w:t>b) Con dicha información se revelarían a detalle las características funcionales del personal y con ello, su organización para e</w:t>
      </w:r>
      <w:r w:rsidRPr="00322990">
        <w:rPr>
          <w:rFonts w:ascii="Palatino Linotype" w:eastAsia="Palatino Linotype" w:hAnsi="Palatino Linotype" w:cs="Palatino Linotype"/>
          <w:sz w:val="24"/>
          <w:szCs w:val="24"/>
        </w:rPr>
        <w:t xml:space="preserve">l cumplimiento de sus funciones; y </w:t>
      </w:r>
    </w:p>
    <w:p w:rsidR="00F25763" w:rsidRPr="00322990" w:rsidRDefault="002F4B90">
      <w:pPr>
        <w:spacing w:before="240" w:after="240" w:line="360" w:lineRule="auto"/>
        <w:ind w:left="284" w:right="-3"/>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2. Existe una relación causal general entre la entrega de la información y la afectación a la seguridad pública, pues los grupos criminales estarían en posibilidad de obstaculizar o bloquear actividades encaminadas a pre</w:t>
      </w:r>
      <w:r w:rsidRPr="00322990">
        <w:rPr>
          <w:rFonts w:ascii="Palatino Linotype" w:eastAsia="Palatino Linotype" w:hAnsi="Palatino Linotype" w:cs="Palatino Linotype"/>
          <w:sz w:val="24"/>
          <w:szCs w:val="24"/>
        </w:rPr>
        <w:t xml:space="preserve">servar el orden dentro de la dinámica social. </w:t>
      </w:r>
    </w:p>
    <w:p w:rsidR="00F25763" w:rsidRPr="00322990" w:rsidRDefault="002F4B90">
      <w:pPr>
        <w:spacing w:before="240" w:after="240" w:line="360" w:lineRule="auto"/>
        <w:ind w:right="-3"/>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 xml:space="preserve">Por lo tanto, entre mayor información se dé a conocer respecto del </w:t>
      </w:r>
      <w:r w:rsidRPr="00322990">
        <w:rPr>
          <w:rFonts w:ascii="Palatino Linotype" w:eastAsia="Palatino Linotype" w:hAnsi="Palatino Linotype" w:cs="Palatino Linotype"/>
          <w:b/>
          <w:i/>
          <w:sz w:val="24"/>
          <w:szCs w:val="24"/>
        </w:rPr>
        <w:t xml:space="preserve">estado de fuerza </w:t>
      </w:r>
      <w:r w:rsidRPr="00322990">
        <w:rPr>
          <w:rFonts w:ascii="Palatino Linotype" w:eastAsia="Palatino Linotype" w:hAnsi="Palatino Linotype" w:cs="Palatino Linotype"/>
          <w:sz w:val="24"/>
          <w:szCs w:val="24"/>
        </w:rPr>
        <w:t>con que cuentan el Estado y Municipios, mayor es la probabilidad de que la información pueda implementarse como medio para ac</w:t>
      </w:r>
      <w:r w:rsidRPr="00322990">
        <w:rPr>
          <w:rFonts w:ascii="Palatino Linotype" w:eastAsia="Palatino Linotype" w:hAnsi="Palatino Linotype" w:cs="Palatino Linotype"/>
          <w:sz w:val="24"/>
          <w:szCs w:val="24"/>
        </w:rPr>
        <w:t xml:space="preserve">tualizar o potenciar una amenaza en contra de la seguridad pública de los mismos. </w:t>
      </w:r>
    </w:p>
    <w:p w:rsidR="00F25763" w:rsidRPr="00322990" w:rsidRDefault="002F4B90">
      <w:pPr>
        <w:spacing w:before="240" w:after="240" w:line="360" w:lineRule="auto"/>
        <w:ind w:right="139"/>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No pasa inadvertido para la suscrita que en los casos en los que se publiciten diversas notas o documentos en los que se dé a conocer información estadística sobre el número</w:t>
      </w:r>
      <w:r w:rsidRPr="00322990">
        <w:rPr>
          <w:rFonts w:ascii="Palatino Linotype" w:eastAsia="Palatino Linotype" w:hAnsi="Palatino Linotype" w:cs="Palatino Linotype"/>
          <w:sz w:val="24"/>
          <w:szCs w:val="24"/>
        </w:rPr>
        <w:t xml:space="preserve"> de elementos de policía con los que cuentan los ayuntamientos, esta información no se encuentra actualizada, aunado a que no se hace una distinción entre el número de personal operativo y administrativo.</w:t>
      </w:r>
    </w:p>
    <w:p w:rsidR="00F25763" w:rsidRPr="00322990" w:rsidRDefault="002F4B90">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322990">
        <w:rPr>
          <w:rFonts w:ascii="Palatino Linotype" w:eastAsia="Palatino Linotype" w:hAnsi="Palatino Linotype" w:cs="Palatino Linotype"/>
          <w:sz w:val="24"/>
          <w:szCs w:val="24"/>
        </w:rPr>
        <w:t>En consecuencia, la información de los elementos op</w:t>
      </w:r>
      <w:r w:rsidRPr="00322990">
        <w:rPr>
          <w:rFonts w:ascii="Palatino Linotype" w:eastAsia="Palatino Linotype" w:hAnsi="Palatino Linotype" w:cs="Palatino Linotype"/>
          <w:sz w:val="24"/>
          <w:szCs w:val="24"/>
        </w:rPr>
        <w:t>erativos adscrito a instituciones de seguridad pública,  deben recibir un tratamiento de carácter excepcional, y esto es en razón de que,  son los re</w:t>
      </w:r>
      <w:bookmarkStart w:id="2" w:name="_GoBack"/>
      <w:bookmarkEnd w:id="2"/>
      <w:r w:rsidRPr="00322990">
        <w:rPr>
          <w:rFonts w:ascii="Palatino Linotype" w:eastAsia="Palatino Linotype" w:hAnsi="Palatino Linotype" w:cs="Palatino Linotype"/>
          <w:sz w:val="24"/>
          <w:szCs w:val="24"/>
        </w:rPr>
        <w:t>sponsables de procurar el orden, la estabilidad y la defensa de la sociedad a la que pertenecen, por lo que</w:t>
      </w:r>
      <w:r w:rsidRPr="00322990">
        <w:rPr>
          <w:rFonts w:ascii="Palatino Linotype" w:eastAsia="Palatino Linotype" w:hAnsi="Palatino Linotype" w:cs="Palatino Linotype"/>
          <w:sz w:val="24"/>
          <w:szCs w:val="24"/>
        </w:rPr>
        <w:t xml:space="preserve">, se estima que al proporcionar documentales en las que se aprecie dicha información dicha información se revela </w:t>
      </w:r>
      <w:r w:rsidRPr="00322990">
        <w:rPr>
          <w:rFonts w:ascii="Palatino Linotype" w:eastAsia="Palatino Linotype" w:hAnsi="Palatino Linotype" w:cs="Palatino Linotype"/>
          <w:sz w:val="24"/>
          <w:szCs w:val="24"/>
        </w:rPr>
        <w:lastRenderedPageBreak/>
        <w:t>el número de servidores públicos operativos con funciones de seguridad pública activos en el Sujeto obligado; información con la que se da a co</w:t>
      </w:r>
      <w:r w:rsidRPr="00322990">
        <w:rPr>
          <w:rFonts w:ascii="Palatino Linotype" w:eastAsia="Palatino Linotype" w:hAnsi="Palatino Linotype" w:cs="Palatino Linotype"/>
          <w:sz w:val="24"/>
          <w:szCs w:val="24"/>
        </w:rPr>
        <w:t>nocer el estado de fuerza y la capacidad de reacción del órgano público.</w:t>
      </w:r>
    </w:p>
    <w:p w:rsidR="00F25763" w:rsidRPr="00322990" w:rsidRDefault="002F4B90">
      <w:pPr>
        <w:spacing w:before="240" w:after="240" w:line="360" w:lineRule="auto"/>
        <w:ind w:right="139"/>
        <w:jc w:val="both"/>
        <w:rPr>
          <w:rFonts w:ascii="Palatino Linotype" w:eastAsia="Palatino Linotype" w:hAnsi="Palatino Linotype" w:cs="Palatino Linotype"/>
          <w:sz w:val="24"/>
          <w:szCs w:val="24"/>
        </w:rPr>
      </w:pPr>
      <w:bookmarkStart w:id="3" w:name="_heading=h.30j0zll" w:colFirst="0" w:colLast="0"/>
      <w:bookmarkEnd w:id="3"/>
      <w:r w:rsidRPr="00322990">
        <w:rPr>
          <w:rFonts w:ascii="Palatino Linotype" w:eastAsia="Palatino Linotype" w:hAnsi="Palatino Linotype" w:cs="Palatino Linotype"/>
          <w:sz w:val="24"/>
          <w:szCs w:val="24"/>
        </w:rPr>
        <w:t>Es por todo lo anteriormente expuesto que considero que en las líneas argumentativas que anteceden, se acreditó de manera fehaciente que esta información debe ser reservada pues su entrega revela datos que pudieran ser aprovechados para conocer la capacida</w:t>
      </w:r>
      <w:r w:rsidRPr="00322990">
        <w:rPr>
          <w:rFonts w:ascii="Palatino Linotype" w:eastAsia="Palatino Linotype" w:hAnsi="Palatino Linotype" w:cs="Palatino Linotype"/>
          <w:sz w:val="24"/>
          <w:szCs w:val="24"/>
        </w:rPr>
        <w:t xml:space="preserve">d de reacción de las instituciones encargadas de la seguridad pública y </w:t>
      </w:r>
      <w:r w:rsidRPr="00322990">
        <w:rPr>
          <w:rFonts w:ascii="Palatino Linotype" w:eastAsia="Palatino Linotype" w:hAnsi="Palatino Linotype" w:cs="Palatino Linotype"/>
          <w:b/>
          <w:sz w:val="24"/>
          <w:szCs w:val="24"/>
          <w:u w:val="single"/>
        </w:rPr>
        <w:t>facilitaría a las cédulas delictivas el neutralizar las acciones implementadas o por implementar para la preservación de la paz pública, afectando así su estado de fuerza, o bien les p</w:t>
      </w:r>
      <w:r w:rsidRPr="00322990">
        <w:rPr>
          <w:rFonts w:ascii="Palatino Linotype" w:eastAsia="Palatino Linotype" w:hAnsi="Palatino Linotype" w:cs="Palatino Linotype"/>
          <w:b/>
          <w:sz w:val="24"/>
          <w:szCs w:val="24"/>
          <w:u w:val="single"/>
        </w:rPr>
        <w:t xml:space="preserve">ermita </w:t>
      </w:r>
      <w:r w:rsidRPr="00322990">
        <w:rPr>
          <w:rFonts w:ascii="Palatino Linotype" w:eastAsia="Palatino Linotype" w:hAnsi="Palatino Linotype" w:cs="Palatino Linotype"/>
          <w:sz w:val="24"/>
          <w:szCs w:val="24"/>
        </w:rPr>
        <w:t>realizar actos para amenazar, inhibir, extorsionar o corromper las funciones del personal operativo, lo que causaría una vulneración a la Seguridad Municipal, por lo tanto la suscrita no comparte las consideraciones vertidas en la resolución respecto del t</w:t>
      </w:r>
      <w:r w:rsidRPr="00322990">
        <w:rPr>
          <w:rFonts w:ascii="Palatino Linotype" w:eastAsia="Palatino Linotype" w:hAnsi="Palatino Linotype" w:cs="Palatino Linotype"/>
          <w:sz w:val="24"/>
          <w:szCs w:val="24"/>
        </w:rPr>
        <w:t>ratamiento que se le da a la información relativa a elementos operativos de instituciones de seguridad pública, y  por ende formula el presente voto particular.</w:t>
      </w:r>
      <w:r w:rsidRPr="00322990">
        <w:rPr>
          <w:rFonts w:ascii="Palatino Linotype" w:eastAsia="Palatino Linotype" w:hAnsi="Palatino Linotype" w:cs="Palatino Linotype"/>
          <w:sz w:val="24"/>
          <w:szCs w:val="24"/>
        </w:rPr>
        <w:t xml:space="preserve"> </w:t>
      </w:r>
    </w:p>
    <w:p w:rsidR="00F25763" w:rsidRPr="00322990" w:rsidRDefault="00F25763">
      <w:pPr>
        <w:spacing w:before="240" w:after="240" w:line="360" w:lineRule="auto"/>
        <w:ind w:right="139"/>
        <w:jc w:val="both"/>
        <w:rPr>
          <w:rFonts w:ascii="Palatino Linotype" w:eastAsia="Palatino Linotype" w:hAnsi="Palatino Linotype" w:cs="Palatino Linotype"/>
          <w:sz w:val="24"/>
          <w:szCs w:val="24"/>
        </w:rPr>
      </w:pPr>
    </w:p>
    <w:p w:rsidR="00F25763" w:rsidRPr="00322990" w:rsidRDefault="00F25763">
      <w:pPr>
        <w:spacing w:before="240" w:after="240" w:line="360" w:lineRule="auto"/>
        <w:ind w:right="139"/>
        <w:jc w:val="both"/>
        <w:rPr>
          <w:rFonts w:ascii="Palatino Linotype" w:eastAsia="Palatino Linotype" w:hAnsi="Palatino Linotype" w:cs="Palatino Linotype"/>
          <w:sz w:val="24"/>
          <w:szCs w:val="24"/>
        </w:rPr>
        <w:sectPr w:rsidR="00F25763" w:rsidRPr="00322990">
          <w:headerReference w:type="even" r:id="rId8"/>
          <w:headerReference w:type="default" r:id="rId9"/>
          <w:footerReference w:type="default" r:id="rId10"/>
          <w:pgSz w:w="12240" w:h="15840"/>
          <w:pgMar w:top="1985" w:right="1701" w:bottom="2268" w:left="1701" w:header="709" w:footer="584" w:gutter="0"/>
          <w:pgNumType w:start="1"/>
          <w:cols w:space="720"/>
        </w:sectPr>
      </w:pPr>
    </w:p>
    <w:p w:rsidR="00F25763" w:rsidRPr="00322990" w:rsidRDefault="00F25763">
      <w:pPr>
        <w:spacing w:after="0" w:line="360" w:lineRule="auto"/>
        <w:ind w:right="423"/>
        <w:jc w:val="both"/>
        <w:rPr>
          <w:rFonts w:ascii="Palatino Linotype" w:eastAsia="Palatino Linotype" w:hAnsi="Palatino Linotype" w:cs="Palatino Linotype"/>
        </w:rPr>
      </w:pPr>
    </w:p>
    <w:sectPr w:rsidR="00F25763" w:rsidRPr="00322990">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B90" w:rsidRDefault="002F4B90">
      <w:pPr>
        <w:spacing w:after="0" w:line="240" w:lineRule="auto"/>
      </w:pPr>
      <w:r>
        <w:separator/>
      </w:r>
    </w:p>
  </w:endnote>
  <w:endnote w:type="continuationSeparator" w:id="0">
    <w:p w:rsidR="002F4B90" w:rsidRDefault="002F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63" w:rsidRDefault="002F4B9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322990">
      <w:rPr>
        <w:rFonts w:ascii="Arial" w:eastAsia="Arial" w:hAnsi="Arial" w:cs="Arial"/>
        <w:b/>
        <w:color w:val="000000"/>
        <w:sz w:val="20"/>
        <w:szCs w:val="20"/>
      </w:rPr>
      <w:fldChar w:fldCharType="separate"/>
    </w:r>
    <w:r w:rsidR="00322990">
      <w:rPr>
        <w:rFonts w:ascii="Arial" w:eastAsia="Arial" w:hAnsi="Arial" w:cs="Arial"/>
        <w:b/>
        <w:noProof/>
        <w:color w:val="000000"/>
        <w:sz w:val="20"/>
        <w:szCs w:val="20"/>
      </w:rPr>
      <w:t>12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322990">
      <w:rPr>
        <w:rFonts w:ascii="Arial" w:eastAsia="Arial" w:hAnsi="Arial" w:cs="Arial"/>
        <w:b/>
        <w:color w:val="000000"/>
        <w:sz w:val="20"/>
        <w:szCs w:val="20"/>
      </w:rPr>
      <w:fldChar w:fldCharType="separate"/>
    </w:r>
    <w:r w:rsidR="00322990">
      <w:rPr>
        <w:rFonts w:ascii="Arial" w:eastAsia="Arial" w:hAnsi="Arial" w:cs="Arial"/>
        <w:b/>
        <w:noProof/>
        <w:color w:val="000000"/>
        <w:sz w:val="20"/>
        <w:szCs w:val="20"/>
      </w:rPr>
      <w:t>12</w:t>
    </w:r>
    <w:r>
      <w:rPr>
        <w:rFonts w:ascii="Arial" w:eastAsia="Arial" w:hAnsi="Arial" w:cs="Arial"/>
        <w:b/>
        <w:color w:val="000000"/>
        <w:sz w:val="20"/>
        <w:szCs w:val="20"/>
      </w:rPr>
      <w:fldChar w:fldCharType="end"/>
    </w:r>
  </w:p>
  <w:p w:rsidR="00F25763" w:rsidRDefault="00F2576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B90" w:rsidRDefault="002F4B90">
      <w:pPr>
        <w:spacing w:after="0" w:line="240" w:lineRule="auto"/>
      </w:pPr>
      <w:r>
        <w:separator/>
      </w:r>
    </w:p>
  </w:footnote>
  <w:footnote w:type="continuationSeparator" w:id="0">
    <w:p w:rsidR="002F4B90" w:rsidRDefault="002F4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63" w:rsidRDefault="002F4B90">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21305332" cy="21305332"/>
              <wp:effectExtent l="0" t="0" r="0" b="0"/>
              <wp:wrapNone/>
              <wp:docPr id="237313400" name="Rectángulo 237313400"/>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F25763" w:rsidRDefault="002F4B90">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21305332" cy="21305332"/>
              <wp:effectExtent b="0" l="0" r="0" t="0"/>
              <wp:wrapNone/>
              <wp:docPr id="23731340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1305332" cy="21305332"/>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63" w:rsidRDefault="002F4B9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-666747</wp:posOffset>
          </wp:positionH>
          <wp:positionV relativeFrom="paragraph">
            <wp:posOffset>-366392</wp:posOffset>
          </wp:positionV>
          <wp:extent cx="7510628" cy="9883775"/>
          <wp:effectExtent l="0" t="0" r="0" b="0"/>
          <wp:wrapNone/>
          <wp:docPr id="2373134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F25763" w:rsidRDefault="00F2576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25763" w:rsidRDefault="00F2576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25763" w:rsidRDefault="002F4B9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F25763" w:rsidRDefault="002F4B90">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   RECURSOS DE REVISIÓN 00244/INFOEM/IP/RR/2023</w:t>
    </w:r>
  </w:p>
  <w:p w:rsidR="00F25763" w:rsidRDefault="002F4B90">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Y ACUMULADOS </w:t>
    </w:r>
  </w:p>
  <w:p w:rsidR="00F25763" w:rsidRDefault="00F2576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63" w:rsidRDefault="00F2576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25763" w:rsidRDefault="00F2576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25763" w:rsidRDefault="00F2576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F25763" w:rsidRDefault="00F2576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F5886"/>
    <w:multiLevelType w:val="multilevel"/>
    <w:tmpl w:val="8AFC64E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63"/>
    <w:rsid w:val="002F4B90"/>
    <w:rsid w:val="00322990"/>
    <w:rsid w:val="00F25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BEF6D-61DF-4BD9-8DD9-D097F01D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rsid w:val="00CF5F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3B565F"/>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qFormat/>
    <w:locked/>
    <w:rsid w:val="003B565F"/>
    <w:rPr>
      <w:rFonts w:ascii="Times New Roman" w:eastAsia="Times New Roman" w:hAnsi="Times New Roman" w:cs="Times New Roman"/>
      <w:sz w:val="24"/>
      <w:szCs w:val="24"/>
      <w:lang w:val="es-MX" w:eastAsia="es-ES"/>
    </w:rPr>
  </w:style>
  <w:style w:type="table" w:customStyle="1" w:styleId="Tablaconcuadrcula1">
    <w:name w:val="Tabla con cuadrícula1"/>
    <w:basedOn w:val="Tablanormal"/>
    <w:next w:val="Tablaconcuadrcula"/>
    <w:uiPriority w:val="39"/>
    <w:rsid w:val="001A1BD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jgjVdD+5MvNfsEDBUO6o8BzMA==">CgMxLjAyCGguZ2pkZ3hzMg5oLjNoZXN0YWNzZzRweDIJaC4zMGowemxsOAByITFoMDJVTXlMRjc3Q3ZUaGUtSlNMN0NVMEFCX3JwUDFCVQ==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2358</Words>
  <Characters>12971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2023-10-06T17:39:00Z</cp:lastPrinted>
  <dcterms:created xsi:type="dcterms:W3CDTF">2023-10-06T00:43:00Z</dcterms:created>
  <dcterms:modified xsi:type="dcterms:W3CDTF">2023-10-06T17:39:00Z</dcterms:modified>
</cp:coreProperties>
</file>