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14483" w14:textId="77777777" w:rsidR="002F65AF" w:rsidRDefault="002F65AF" w:rsidP="00AD3FC3">
      <w:pPr>
        <w:spacing w:after="0" w:line="360" w:lineRule="auto"/>
        <w:ind w:right="-93"/>
        <w:contextualSpacing/>
        <w:jc w:val="both"/>
        <w:rPr>
          <w:rFonts w:ascii="Palatino Linotype" w:hAnsi="Palatino Linotype" w:cs="Tahoma"/>
          <w:b/>
        </w:rPr>
      </w:pPr>
    </w:p>
    <w:p w14:paraId="7BEC7247" w14:textId="33301779" w:rsidR="00AD3FC3" w:rsidRDefault="006B0AF9" w:rsidP="00AD3FC3">
      <w:pPr>
        <w:spacing w:after="0" w:line="360" w:lineRule="auto"/>
        <w:ind w:right="-93"/>
        <w:contextualSpacing/>
        <w:jc w:val="both"/>
        <w:rPr>
          <w:rFonts w:ascii="Palatino Linotype" w:hAnsi="Palatino Linotype"/>
          <w:b/>
          <w:bCs/>
        </w:rPr>
      </w:pPr>
      <w:r w:rsidRPr="006A7606">
        <w:rPr>
          <w:rFonts w:ascii="Palatino Linotype" w:hAnsi="Palatino Linotype" w:cs="Tahoma"/>
          <w:b/>
        </w:rPr>
        <w:t>VOTO PARTICULAR QUE FORMULA EL COMISIO</w:t>
      </w:r>
      <w:r>
        <w:rPr>
          <w:rFonts w:ascii="Palatino Linotype" w:hAnsi="Palatino Linotype" w:cs="Tahoma"/>
          <w:b/>
        </w:rPr>
        <w:t xml:space="preserve">NADO LUIS GUSTAVO PARRA NORIEGA Y LA COMISIONADA </w:t>
      </w:r>
      <w:r w:rsidRPr="00D10504">
        <w:rPr>
          <w:rFonts w:ascii="Palatino Linotype" w:hAnsi="Palatino Linotype" w:cs="Tahoma"/>
          <w:b/>
        </w:rPr>
        <w:t>GUADALUPE RAMÍREZ PEÑA</w:t>
      </w:r>
      <w:r>
        <w:rPr>
          <w:rFonts w:ascii="Palatino Linotype" w:hAnsi="Palatino Linotype" w:cs="Tahoma"/>
          <w:b/>
        </w:rPr>
        <w:t xml:space="preserve"> </w:t>
      </w:r>
      <w:r w:rsidRPr="00C569A8">
        <w:rPr>
          <w:rFonts w:ascii="Palatino Linotype" w:hAnsi="Palatino Linotype" w:cs="Tahoma"/>
          <w:b/>
        </w:rPr>
        <w:t xml:space="preserve">CON RELACIÓN A LA RESOLUCIÓN EMITIDA POR EL PLENO DEL INSTITUTO DE TRANSPARENCIA, ACCESO A LA INFORMACIÓN PÚBLICA Y PROTECCIÓN DE DATOS PERSONALES DEL ESTADO DE MÉXICO Y MUNICIPIOS AL RECURSO DE REVISIÓN </w:t>
      </w:r>
      <w:r>
        <w:rPr>
          <w:rFonts w:ascii="Palatino Linotype" w:hAnsi="Palatino Linotype" w:cs="Arial"/>
          <w:b/>
        </w:rPr>
        <w:t>14727/INFOEM/IP/RR/2022 Y ACUMULADOS</w:t>
      </w:r>
      <w:r w:rsidRPr="00C569A8">
        <w:rPr>
          <w:rFonts w:ascii="Palatino Linotype" w:hAnsi="Palatino Linotype" w:cs="Tahoma"/>
          <w:b/>
        </w:rPr>
        <w:t>, PROMOVIDO EN CONTRA DE</w:t>
      </w:r>
      <w:r>
        <w:rPr>
          <w:rFonts w:ascii="Palatino Linotype" w:hAnsi="Palatino Linotype" w:cs="Tahoma"/>
          <w:b/>
        </w:rPr>
        <w:t>L AYUNTAMIENTO DE AMECAMECA</w:t>
      </w:r>
      <w:r>
        <w:rPr>
          <w:rFonts w:ascii="Palatino Linotype" w:hAnsi="Palatino Linotype"/>
          <w:b/>
          <w:bCs/>
        </w:rPr>
        <w:t>.</w:t>
      </w:r>
    </w:p>
    <w:p w14:paraId="38E8FDBD" w14:textId="77777777" w:rsidR="00AD3FC3" w:rsidRPr="006A7606" w:rsidRDefault="00AD3FC3" w:rsidP="00AD3FC3">
      <w:pPr>
        <w:pStyle w:val="Encabezado"/>
        <w:spacing w:line="360" w:lineRule="auto"/>
        <w:ind w:right="49"/>
        <w:jc w:val="both"/>
        <w:rPr>
          <w:rFonts w:ascii="Palatino Linotype" w:hAnsi="Palatino Linotype" w:cs="Tahoma"/>
        </w:rPr>
      </w:pPr>
    </w:p>
    <w:p w14:paraId="5D5AFD85" w14:textId="4610C5FA" w:rsidR="00AD3FC3" w:rsidRPr="00C569A8" w:rsidRDefault="00AD3FC3" w:rsidP="00AD3FC3">
      <w:pPr>
        <w:spacing w:after="0" w:line="360" w:lineRule="auto"/>
        <w:ind w:right="-93"/>
        <w:contextualSpacing/>
        <w:jc w:val="both"/>
        <w:rPr>
          <w:rFonts w:ascii="Palatino Linotype" w:hAnsi="Palatino Linotype"/>
        </w:rPr>
      </w:pPr>
      <w:r w:rsidRPr="00C569A8">
        <w:rPr>
          <w:rFonts w:ascii="Palatino Linotype" w:hAnsi="Palatino Linotype"/>
        </w:rPr>
        <w:t xml:space="preserve">El Pleno del Instituto de Transparencia, Acceso a la Información Pública y Protección de Datos Personales del Estado de México resolvió por unanimidad de votos, la Resolución relativa al Recurso de Revisión </w:t>
      </w:r>
      <w:r w:rsidR="006B0AF9" w:rsidRPr="006B0AF9">
        <w:rPr>
          <w:rFonts w:ascii="Palatino Linotype" w:hAnsi="Palatino Linotype" w:cs="Arial"/>
          <w:bCs/>
        </w:rPr>
        <w:t>14727/INFOEM/IP/RR/2022 y acumulados</w:t>
      </w:r>
      <w:r w:rsidRPr="00C569A8">
        <w:rPr>
          <w:rFonts w:ascii="Palatino Linotype" w:hAnsi="Palatino Linotype"/>
          <w:b/>
          <w:bCs/>
        </w:rPr>
        <w:t xml:space="preserve">, </w:t>
      </w:r>
      <w:r w:rsidRPr="00C569A8">
        <w:rPr>
          <w:rFonts w:ascii="Palatino Linotype" w:hAnsi="Palatino Linotype"/>
        </w:rPr>
        <w:t xml:space="preserve">presentada por la Comisionada </w:t>
      </w:r>
      <w:r w:rsidR="006B0AF9" w:rsidRPr="006B0AF9">
        <w:rPr>
          <w:rFonts w:ascii="Palatino Linotype" w:hAnsi="Palatino Linotype"/>
        </w:rPr>
        <w:t>Sharon Cristina Morales Martínez</w:t>
      </w:r>
      <w:r w:rsidR="006B0AF9">
        <w:rPr>
          <w:rFonts w:ascii="Palatino Linotype" w:hAnsi="Palatino Linotype"/>
        </w:rPr>
        <w:t xml:space="preserve">, </w:t>
      </w:r>
      <w:r w:rsidRPr="00C569A8">
        <w:rPr>
          <w:rFonts w:ascii="Palatino Linotype" w:hAnsi="Palatino Linotype"/>
          <w:b/>
        </w:rPr>
        <w:t>conforme al criterio mayoritario del Pleno</w:t>
      </w:r>
      <w:r w:rsidRPr="00C569A8">
        <w:rPr>
          <w:rFonts w:ascii="Palatino Linotype" w:hAnsi="Palatino Linotype"/>
        </w:rPr>
        <w:t xml:space="preserve">, respecto de la cual, quienes suscriben, emiten </w:t>
      </w:r>
      <w:r w:rsidRPr="00C569A8">
        <w:rPr>
          <w:rFonts w:ascii="Palatino Linotype" w:hAnsi="Palatino Linotype"/>
          <w:b/>
        </w:rPr>
        <w:t>VOTO PARTICULAR CONCURRENTE</w:t>
      </w:r>
      <w:r w:rsidRPr="00C569A8">
        <w:rPr>
          <w:rFonts w:ascii="Palatino Linotype" w:hAnsi="Palatino Linotype"/>
        </w:rPr>
        <w:t>, con fundamento en los artículos 14, fracción XI, del Reglamento del Instituto de Transparencia, Acceso a la Información Pública y Protección de Personales Datos del Estado de México, así como 45 y 48, fracción I, de los Lineamientos para el funcionamiento del Pleno y las Comisiones del Instituto de Transparencia, Acceso a la Información Pública y Protección de Datos Personales del Estado de México y Municipios.</w:t>
      </w:r>
    </w:p>
    <w:p w14:paraId="06BCCA8F" w14:textId="77777777" w:rsidR="00AD3FC3" w:rsidRPr="00885189" w:rsidRDefault="00AD3FC3" w:rsidP="00AD3FC3">
      <w:pPr>
        <w:spacing w:after="0" w:line="360" w:lineRule="auto"/>
        <w:jc w:val="both"/>
        <w:rPr>
          <w:rFonts w:ascii="Palatino Linotype" w:hAnsi="Palatino Linotype" w:cs="Tahoma"/>
        </w:rPr>
      </w:pPr>
    </w:p>
    <w:p w14:paraId="6AAE136B" w14:textId="0221D00A" w:rsidR="008F4B01" w:rsidRDefault="00AD3FC3" w:rsidP="00AD3FC3">
      <w:pPr>
        <w:spacing w:after="0" w:line="360" w:lineRule="auto"/>
        <w:jc w:val="both"/>
        <w:rPr>
          <w:rFonts w:ascii="Palatino Linotype" w:hAnsi="Palatino Linotype"/>
          <w:lang w:val="es-MX"/>
        </w:rPr>
      </w:pPr>
      <w:r w:rsidRPr="00D10504">
        <w:rPr>
          <w:rFonts w:ascii="Palatino Linotype" w:hAnsi="Palatino Linotype"/>
        </w:rPr>
        <w:t xml:space="preserve">A través de la solicitud de acceso a la información que nos ocupa, el Particular, requirió </w:t>
      </w:r>
      <w:r w:rsidR="008F4B01">
        <w:rPr>
          <w:rFonts w:ascii="Palatino Linotype" w:hAnsi="Palatino Linotype"/>
        </w:rPr>
        <w:t xml:space="preserve">i) los certificados de clave </w:t>
      </w:r>
      <w:r w:rsidR="008F4B01" w:rsidRPr="008F4B01">
        <w:rPr>
          <w:rFonts w:ascii="Palatino Linotype" w:hAnsi="Palatino Linotype"/>
          <w:lang w:val="es-MX"/>
        </w:rPr>
        <w:t>catastral generados</w:t>
      </w:r>
      <w:r w:rsidR="008F4B01">
        <w:rPr>
          <w:rFonts w:ascii="Palatino Linotype" w:hAnsi="Palatino Linotype"/>
          <w:lang w:val="es-MX"/>
        </w:rPr>
        <w:t xml:space="preserve"> de enero a junio de dos mil veintidós, ii) los recibos generados por ese trámite, iii) el diario de ingresos de enero a junio de dos mil veintidós, y iv) la cédula </w:t>
      </w:r>
      <w:r w:rsidR="008F4B01" w:rsidRPr="008F4B01">
        <w:rPr>
          <w:rFonts w:ascii="Palatino Linotype" w:hAnsi="Palatino Linotype"/>
          <w:lang w:val="es-MX"/>
        </w:rPr>
        <w:t xml:space="preserve">de información </w:t>
      </w:r>
      <w:r w:rsidR="008F4B01" w:rsidRPr="008F4B01">
        <w:rPr>
          <w:rFonts w:ascii="Palatino Linotype" w:hAnsi="Palatino Linotype"/>
        </w:rPr>
        <w:t>Registros de Trámites y Servicios</w:t>
      </w:r>
      <w:r w:rsidR="008F4B01">
        <w:rPr>
          <w:rFonts w:ascii="Palatino Linotype" w:hAnsi="Palatino Linotype"/>
        </w:rPr>
        <w:t xml:space="preserve"> (</w:t>
      </w:r>
      <w:r w:rsidR="008F4B01" w:rsidRPr="008F4B01">
        <w:rPr>
          <w:rFonts w:ascii="Palatino Linotype" w:hAnsi="Palatino Linotype"/>
          <w:lang w:val="es-MX"/>
        </w:rPr>
        <w:t>REMTYS</w:t>
      </w:r>
      <w:r w:rsidR="008F4B01">
        <w:rPr>
          <w:rFonts w:ascii="Palatino Linotype" w:hAnsi="Palatino Linotype"/>
          <w:lang w:val="es-MX"/>
        </w:rPr>
        <w:t>)</w:t>
      </w:r>
      <w:r w:rsidR="00B23FED">
        <w:rPr>
          <w:rFonts w:ascii="Palatino Linotype" w:hAnsi="Palatino Linotype"/>
          <w:lang w:val="es-MX"/>
        </w:rPr>
        <w:t xml:space="preserve"> </w:t>
      </w:r>
      <w:r w:rsidR="008F4B01">
        <w:rPr>
          <w:rFonts w:ascii="Palatino Linotype" w:hAnsi="Palatino Linotype"/>
          <w:lang w:val="es-MX"/>
        </w:rPr>
        <w:t>y</w:t>
      </w:r>
      <w:r w:rsidR="00835B17">
        <w:rPr>
          <w:rFonts w:ascii="Palatino Linotype" w:hAnsi="Palatino Linotype"/>
          <w:lang w:val="es-MX"/>
        </w:rPr>
        <w:t>;</w:t>
      </w:r>
      <w:r w:rsidR="008F4B01">
        <w:rPr>
          <w:rFonts w:ascii="Palatino Linotype" w:hAnsi="Palatino Linotype"/>
          <w:lang w:val="es-MX"/>
        </w:rPr>
        <w:t xml:space="preserve"> v) </w:t>
      </w:r>
      <w:r w:rsidR="00BF2541">
        <w:rPr>
          <w:rFonts w:ascii="Palatino Linotype" w:hAnsi="Palatino Linotype"/>
          <w:lang w:val="es-MX"/>
        </w:rPr>
        <w:t>la cédula profesional del servidor público encargado del trámite anterior.</w:t>
      </w:r>
    </w:p>
    <w:p w14:paraId="4136AB47" w14:textId="77777777" w:rsidR="00835B17" w:rsidRDefault="00835B17" w:rsidP="00AD3FC3">
      <w:pPr>
        <w:spacing w:after="0" w:line="360" w:lineRule="auto"/>
        <w:jc w:val="both"/>
        <w:rPr>
          <w:rFonts w:ascii="Palatino Linotype" w:hAnsi="Palatino Linotype" w:cs="Tahoma"/>
        </w:rPr>
      </w:pPr>
    </w:p>
    <w:p w14:paraId="07520A23" w14:textId="62E1461B" w:rsidR="00835B17" w:rsidRPr="00835B17" w:rsidRDefault="00B23FED" w:rsidP="00835B17">
      <w:pPr>
        <w:spacing w:after="0" w:line="360" w:lineRule="auto"/>
        <w:jc w:val="both"/>
        <w:rPr>
          <w:rFonts w:ascii="Palatino Linotype" w:hAnsi="Palatino Linotype"/>
        </w:rPr>
      </w:pPr>
      <w:r>
        <w:rPr>
          <w:rFonts w:ascii="Palatino Linotype" w:hAnsi="Palatino Linotype" w:cs="Tahoma"/>
        </w:rPr>
        <w:t xml:space="preserve">En respuesta, el Sujeto Obligado </w:t>
      </w:r>
      <w:r w:rsidR="00835B17">
        <w:rPr>
          <w:rFonts w:ascii="Palatino Linotype" w:hAnsi="Palatino Linotype" w:cs="Tahoma"/>
        </w:rPr>
        <w:t xml:space="preserve">realizó la entrega de la información de interés del particular, sin embargo, únicamente se agravio por cuanto hace a la información identificada en el numeral iii) </w:t>
      </w:r>
      <w:r w:rsidR="00835B17">
        <w:rPr>
          <w:rFonts w:ascii="Palatino Linotype" w:hAnsi="Palatino Linotype" w:cs="Tahoma"/>
        </w:rPr>
        <w:lastRenderedPageBreak/>
        <w:t xml:space="preserve">correspondiente al </w:t>
      </w:r>
      <w:r w:rsidR="00835B17">
        <w:rPr>
          <w:rFonts w:ascii="Palatino Linotype" w:hAnsi="Palatino Linotype"/>
          <w:lang w:val="es-MX"/>
        </w:rPr>
        <w:t>diario de ingresos de enero a junio de dos mil veintidós</w:t>
      </w:r>
      <w:r w:rsidR="00835B17">
        <w:rPr>
          <w:rFonts w:ascii="Palatino Linotype" w:hAnsi="Palatino Linotype"/>
          <w:lang w:val="es-MX"/>
        </w:rPr>
        <w:t xml:space="preserve">, ya que la información entregada no es visible y no así de la demás información. En ese sentido, </w:t>
      </w:r>
      <w:r w:rsidR="00835B17" w:rsidRPr="00835B17">
        <w:rPr>
          <w:rFonts w:ascii="Palatino Linotype" w:hAnsi="Palatino Linotype"/>
        </w:rPr>
        <w:t>la Ponencia Resolutora determinó tener por actos consentidos los documentos entregados en respuesta, por lo que no se entró al fondo del asunto y se determinó solo ordenar los faltantes. No obstante, dentro del proyecto se determinó dar vista a la Dirección General de Datos, sin embargo, como ya se señaló el Particular, no se inconformó respecto de la información entregada, sino solo por la entrega incompleta.</w:t>
      </w:r>
    </w:p>
    <w:p w14:paraId="753DCE1D" w14:textId="77777777" w:rsidR="00835B17" w:rsidRDefault="00835B17" w:rsidP="00835B17">
      <w:pPr>
        <w:spacing w:after="0" w:line="360" w:lineRule="auto"/>
        <w:jc w:val="both"/>
        <w:rPr>
          <w:rFonts w:ascii="Palatino Linotype" w:hAnsi="Palatino Linotype" w:cs="Tahoma"/>
        </w:rPr>
      </w:pPr>
    </w:p>
    <w:p w14:paraId="5F193541" w14:textId="77777777" w:rsidR="00835B17" w:rsidRPr="0092661F" w:rsidRDefault="00835B17" w:rsidP="00835B17">
      <w:pPr>
        <w:spacing w:after="0" w:line="360" w:lineRule="auto"/>
        <w:jc w:val="both"/>
        <w:rPr>
          <w:rFonts w:ascii="Palatino Linotype" w:hAnsi="Palatino Linotype" w:cs="Tahoma"/>
        </w:rPr>
      </w:pPr>
      <w:r>
        <w:rPr>
          <w:rFonts w:ascii="Palatino Linotype" w:hAnsi="Palatino Linotype" w:cs="Tahoma"/>
        </w:rPr>
        <w:t xml:space="preserve">Aunado a lo anterior, respecto los actos consentidos </w:t>
      </w:r>
      <w:r w:rsidRPr="0092661F">
        <w:rPr>
          <w:rFonts w:ascii="Palatino Linotype" w:hAnsi="Palatino Linotype" w:cs="Tahoma"/>
        </w:rPr>
        <w:t xml:space="preserve">de conformidad con lo dispuesto en el artículo 195 de la Ley de Transparencia y Acceso a la Información Pública del Estado de México y Municipios, con relación con el diverso 195, fracción IV, de Código de Procedimientos Administrativos del Estado de México, establece que </w:t>
      </w:r>
      <w:r w:rsidRPr="0092661F">
        <w:rPr>
          <w:rFonts w:ascii="Palatino Linotype" w:hAnsi="Palatino Linotype" w:cs="Tahoma"/>
          <w:u w:val="single"/>
        </w:rPr>
        <w:t>será improcedente el recurso</w:t>
      </w:r>
      <w:r w:rsidRPr="0092661F">
        <w:rPr>
          <w:rFonts w:ascii="Palatino Linotype" w:hAnsi="Palatino Linotype" w:cs="Tahoma"/>
        </w:rPr>
        <w:t xml:space="preserve"> contra los actos que se hayan consentido tácitamente, entendiéndose por éstos cuando el recurso no se haya promovido en el plazo señalado para el efecto.</w:t>
      </w:r>
    </w:p>
    <w:p w14:paraId="651CEF3B" w14:textId="77777777" w:rsidR="00835B17" w:rsidRPr="0092661F" w:rsidRDefault="00835B17" w:rsidP="00835B17">
      <w:pPr>
        <w:spacing w:after="0" w:line="360" w:lineRule="auto"/>
        <w:jc w:val="both"/>
        <w:rPr>
          <w:rFonts w:ascii="Palatino Linotype" w:hAnsi="Palatino Linotype" w:cs="Tahoma"/>
        </w:rPr>
      </w:pPr>
    </w:p>
    <w:p w14:paraId="22128480" w14:textId="77777777" w:rsidR="00835B17" w:rsidRPr="0092661F" w:rsidRDefault="00835B17" w:rsidP="00835B17">
      <w:pPr>
        <w:spacing w:after="0" w:line="360" w:lineRule="auto"/>
        <w:jc w:val="both"/>
        <w:rPr>
          <w:rFonts w:ascii="Palatino Linotype" w:hAnsi="Palatino Linotype" w:cs="Tahoma"/>
        </w:rPr>
      </w:pPr>
      <w:r w:rsidRPr="0092661F">
        <w:rPr>
          <w:rFonts w:ascii="Palatino Linotype" w:hAnsi="Palatino Linotype" w:cs="Tahoma"/>
        </w:rPr>
        <w:t xml:space="preserve">De la misma manera resulta aplicable el criterio sostenido por el Poder Judicial de la Federación de rubro </w:t>
      </w:r>
      <w:r w:rsidRPr="0092661F">
        <w:rPr>
          <w:rFonts w:ascii="Palatino Linotype" w:hAnsi="Palatino Linotype" w:cs="Tahoma"/>
          <w:b/>
          <w:bCs/>
        </w:rPr>
        <w:t>ACTOS CONSENTIDOS TÁCITAMENTE</w:t>
      </w:r>
      <w:r w:rsidRPr="0092661F">
        <w:rPr>
          <w:rFonts w:ascii="Palatino Linotype" w:hAnsi="Palatino Linotype" w:cs="Tahoma"/>
        </w:rPr>
        <w:t>, Tesis VI.2o. J/21,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14:paraId="3B71E2B7" w14:textId="77777777" w:rsidR="00835B17" w:rsidRPr="0092661F" w:rsidRDefault="00835B17" w:rsidP="00835B17">
      <w:pPr>
        <w:spacing w:after="0" w:line="360" w:lineRule="auto"/>
        <w:jc w:val="both"/>
        <w:rPr>
          <w:rFonts w:ascii="Palatino Linotype" w:hAnsi="Palatino Linotype" w:cs="Tahoma"/>
        </w:rPr>
      </w:pPr>
    </w:p>
    <w:p w14:paraId="1B135382" w14:textId="77777777" w:rsidR="00835B17" w:rsidRDefault="00835B17" w:rsidP="00835B17">
      <w:pPr>
        <w:spacing w:after="0" w:line="360" w:lineRule="auto"/>
        <w:jc w:val="both"/>
        <w:rPr>
          <w:rFonts w:ascii="Palatino Linotype" w:hAnsi="Palatino Linotype" w:cs="Tahoma"/>
        </w:rPr>
      </w:pPr>
      <w:r w:rsidRPr="0092661F">
        <w:rPr>
          <w:rFonts w:ascii="Palatino Linotype" w:hAnsi="Palatino Linotype" w:cs="Tahoma"/>
        </w:rPr>
        <w:t>En ese sentido, 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w:t>
      </w:r>
      <w:r>
        <w:rPr>
          <w:rFonts w:ascii="Palatino Linotype" w:hAnsi="Palatino Linotype" w:cs="Tahoma"/>
        </w:rPr>
        <w:t xml:space="preserve">, tal como fue realizado, sin embargo, al no haber inconformidad ni estudio </w:t>
      </w:r>
      <w:r>
        <w:rPr>
          <w:rFonts w:ascii="Palatino Linotype" w:hAnsi="Palatino Linotype" w:cs="Tahoma"/>
        </w:rPr>
        <w:lastRenderedPageBreak/>
        <w:t>sobre las documentales remitidas en respuesta, resulta innecesario la vista citada, de acuerdo a las siguientes consideraciones.</w:t>
      </w:r>
    </w:p>
    <w:p w14:paraId="4F777193" w14:textId="77777777" w:rsidR="00835B17" w:rsidRDefault="00835B17" w:rsidP="00835B17">
      <w:pPr>
        <w:spacing w:after="0" w:line="360" w:lineRule="auto"/>
        <w:jc w:val="both"/>
        <w:rPr>
          <w:rFonts w:ascii="Palatino Linotype" w:hAnsi="Palatino Linotype" w:cs="Tahoma"/>
        </w:rPr>
      </w:pPr>
    </w:p>
    <w:p w14:paraId="344CFBF4" w14:textId="77777777" w:rsidR="00835B17" w:rsidRPr="004124F9" w:rsidRDefault="00835B17" w:rsidP="00835B17">
      <w:pPr>
        <w:spacing w:after="0" w:line="360" w:lineRule="auto"/>
        <w:jc w:val="both"/>
        <w:rPr>
          <w:rFonts w:ascii="Palatino Linotype" w:eastAsia="Calibri" w:hAnsi="Palatino Linotype" w:cs="Times New Roman"/>
        </w:rPr>
      </w:pPr>
      <w:r>
        <w:rPr>
          <w:rFonts w:ascii="Palatino Linotype" w:eastAsia="Calibri" w:hAnsi="Palatino Linotype" w:cs="Times New Roman"/>
        </w:rPr>
        <w:t>C</w:t>
      </w:r>
      <w:r w:rsidRPr="004124F9">
        <w:rPr>
          <w:rFonts w:ascii="Palatino Linotype" w:eastAsia="Calibri" w:hAnsi="Palatino Linotype" w:cs="Times New Roman"/>
        </w:rPr>
        <w:t>onforme a los artículos 1°, 7°, 29, 36 fracciones II, XVI, XXI,XXII, XXVII y XXXVIII; 176, 185, 186, 188, 195, 198, 199, 200, 214, 216 y 220, fracción XIX de la Ley de Transparencia vigente en la Entidad, esta tiene por objeto establecer los principios, bases generales y procedimientos para tutelar y garantizar la transparencia y el derecho humano de acceso a la información pública en posesión de los sujetos obligados, del mismo modo precisa que este Instituto es un órgano público estatal constitucionalmente autónomo, especializado, independiente, imparcial y colegiado dotado de personalidad jurídica y patrimonio propio, con plena autonomía técnica, de gestión, capacidad para decidir sobre el ejercicio de su presupuesto y determinar su organización interna</w:t>
      </w:r>
      <w:r w:rsidRPr="00D51704">
        <w:rPr>
          <w:rFonts w:ascii="Palatino Linotype" w:eastAsia="Calibri" w:hAnsi="Palatino Linotype" w:cs="Times New Roman"/>
        </w:rPr>
        <w:t xml:space="preserve">, responsable de garantizar el ejercicio de los derechos de acceso a la información pública </w:t>
      </w:r>
      <w:r w:rsidRPr="004124F9">
        <w:rPr>
          <w:rFonts w:ascii="Palatino Linotype" w:eastAsia="Calibri" w:hAnsi="Palatino Linotype" w:cs="Times New Roman"/>
        </w:rPr>
        <w:t>conforme a los principios y bases establecidas en la Constitución Federal, Constitución Local, Ley General, así como lo previsto en esta Ley y demás disposiciones jurídicas aplicables.</w:t>
      </w:r>
    </w:p>
    <w:p w14:paraId="086A9A88" w14:textId="77777777" w:rsidR="00835B17" w:rsidRPr="004124F9" w:rsidRDefault="00835B17" w:rsidP="00835B17">
      <w:pPr>
        <w:tabs>
          <w:tab w:val="left" w:pos="0"/>
        </w:tabs>
        <w:spacing w:after="0" w:line="360" w:lineRule="auto"/>
        <w:ind w:right="49"/>
        <w:contextualSpacing/>
        <w:jc w:val="both"/>
        <w:rPr>
          <w:rFonts w:ascii="Palatino Linotype" w:eastAsia="Calibri" w:hAnsi="Palatino Linotype" w:cs="Times New Roman"/>
        </w:rPr>
      </w:pPr>
    </w:p>
    <w:p w14:paraId="7CB7138B" w14:textId="77777777" w:rsidR="00835B17" w:rsidRDefault="00835B17" w:rsidP="00835B17">
      <w:pPr>
        <w:shd w:val="clear" w:color="auto" w:fill="FFFFFF"/>
        <w:spacing w:after="0" w:line="360" w:lineRule="auto"/>
        <w:ind w:right="49"/>
        <w:jc w:val="both"/>
        <w:textAlignment w:val="baseline"/>
        <w:rPr>
          <w:rFonts w:ascii="Palatino Linotype" w:eastAsia="Calibri" w:hAnsi="Palatino Linotype" w:cs="Times New Roman"/>
        </w:rPr>
      </w:pPr>
      <w:r w:rsidRPr="004124F9">
        <w:rPr>
          <w:rFonts w:ascii="Palatino Linotype" w:eastAsia="Calibri" w:hAnsi="Palatino Linotype" w:cs="Times New Roman"/>
        </w:rPr>
        <w:t>En ese sentido, es de resaltar que el recurso de revisión es la garantía secundaria mediante la cual se pretende reparar cualquier posible afectación al derecho de acceso a la información pública, en donde las resoluciones de este Órgano Garante pueden:</w:t>
      </w:r>
    </w:p>
    <w:p w14:paraId="1675A7EC" w14:textId="77777777" w:rsidR="00835B17" w:rsidRPr="004124F9" w:rsidRDefault="00835B17" w:rsidP="00835B17">
      <w:pPr>
        <w:shd w:val="clear" w:color="auto" w:fill="FFFFFF"/>
        <w:spacing w:after="0" w:line="360" w:lineRule="auto"/>
        <w:ind w:right="49"/>
        <w:jc w:val="both"/>
        <w:textAlignment w:val="baseline"/>
        <w:rPr>
          <w:rFonts w:ascii="Palatino Linotype" w:eastAsia="Calibri" w:hAnsi="Palatino Linotype" w:cs="Times New Roman"/>
        </w:rPr>
      </w:pPr>
    </w:p>
    <w:p w14:paraId="3AB7B5EB" w14:textId="77777777" w:rsidR="00835B17" w:rsidRPr="002872F1" w:rsidRDefault="00835B17" w:rsidP="00835B17">
      <w:pPr>
        <w:numPr>
          <w:ilvl w:val="0"/>
          <w:numId w:val="2"/>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Desechar o sobreseer el recurso</w:t>
      </w:r>
    </w:p>
    <w:p w14:paraId="34CAC027" w14:textId="77777777" w:rsidR="00835B17" w:rsidRPr="002872F1" w:rsidRDefault="00835B17" w:rsidP="00835B17">
      <w:pPr>
        <w:numPr>
          <w:ilvl w:val="0"/>
          <w:numId w:val="2"/>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Confirma la respuesta del sujeto obligado</w:t>
      </w:r>
    </w:p>
    <w:p w14:paraId="613A7274" w14:textId="77777777" w:rsidR="00835B17" w:rsidRPr="002872F1" w:rsidRDefault="00835B17" w:rsidP="00835B17">
      <w:pPr>
        <w:numPr>
          <w:ilvl w:val="0"/>
          <w:numId w:val="2"/>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 xml:space="preserve">Revocar o modificar la respuesta del sujeto obligado; y </w:t>
      </w:r>
    </w:p>
    <w:p w14:paraId="1A45C7A0" w14:textId="77777777" w:rsidR="00835B17" w:rsidRPr="002872F1" w:rsidRDefault="00835B17" w:rsidP="00835B17">
      <w:pPr>
        <w:numPr>
          <w:ilvl w:val="0"/>
          <w:numId w:val="2"/>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Ordenar la entrega de la información</w:t>
      </w:r>
    </w:p>
    <w:p w14:paraId="020805CB" w14:textId="77777777" w:rsidR="00835B17" w:rsidRPr="004124F9" w:rsidRDefault="00835B17" w:rsidP="00835B17">
      <w:pPr>
        <w:spacing w:after="0" w:line="360" w:lineRule="auto"/>
        <w:ind w:left="720"/>
        <w:contextualSpacing/>
        <w:jc w:val="both"/>
        <w:rPr>
          <w:rFonts w:ascii="Palatino Linotype" w:eastAsia="Calibri" w:hAnsi="Palatino Linotype" w:cs="Times New Roman"/>
          <w:lang w:eastAsia="es-ES"/>
        </w:rPr>
      </w:pPr>
    </w:p>
    <w:p w14:paraId="08D2E6DC" w14:textId="77777777" w:rsidR="00835B17" w:rsidRDefault="00835B17" w:rsidP="00835B17">
      <w:pPr>
        <w:spacing w:after="0" w:line="360" w:lineRule="auto"/>
        <w:jc w:val="both"/>
        <w:rPr>
          <w:rFonts w:ascii="Palatino Linotype" w:eastAsia="Calibri" w:hAnsi="Palatino Linotype" w:cs="Times New Roman"/>
        </w:rPr>
      </w:pPr>
      <w:r w:rsidRPr="004124F9">
        <w:rPr>
          <w:rFonts w:ascii="Palatino Linotype" w:eastAsia="Calibri" w:hAnsi="Palatino Linotype" w:cs="Times New Roman"/>
        </w:rPr>
        <w:t>Cabe agregar que las resoluciones que pronuncie este Instituto deben contener cuatro aspectos importantes:</w:t>
      </w:r>
    </w:p>
    <w:p w14:paraId="1DEF3C8D" w14:textId="77777777" w:rsidR="00835B17" w:rsidRPr="004124F9" w:rsidRDefault="00835B17" w:rsidP="00835B17">
      <w:pPr>
        <w:spacing w:after="0" w:line="360" w:lineRule="auto"/>
        <w:jc w:val="both"/>
        <w:rPr>
          <w:rFonts w:ascii="Palatino Linotype" w:eastAsia="Calibri" w:hAnsi="Palatino Linotype" w:cs="Times New Roman"/>
        </w:rPr>
      </w:pPr>
    </w:p>
    <w:p w14:paraId="7DF2A149" w14:textId="77777777" w:rsidR="00835B17" w:rsidRDefault="00835B17" w:rsidP="00835B17">
      <w:pPr>
        <w:numPr>
          <w:ilvl w:val="0"/>
          <w:numId w:val="3"/>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lastRenderedPageBreak/>
        <w:t>Lugar, fecha, el nombre del recurrente y del tercero interesado en su caso, sujeto obligado y un extracto de los hechos cuestionados;</w:t>
      </w:r>
    </w:p>
    <w:p w14:paraId="602267B0" w14:textId="77777777" w:rsidR="00835B17" w:rsidRPr="004124F9" w:rsidRDefault="00835B17" w:rsidP="00835B17">
      <w:pPr>
        <w:spacing w:after="0" w:line="360" w:lineRule="auto"/>
        <w:ind w:left="720"/>
        <w:contextualSpacing/>
        <w:jc w:val="both"/>
        <w:rPr>
          <w:rFonts w:ascii="Palatino Linotype" w:eastAsia="Calibri" w:hAnsi="Palatino Linotype" w:cs="Times New Roman"/>
          <w:sz w:val="10"/>
          <w:szCs w:val="10"/>
          <w:lang w:eastAsia="es-ES"/>
        </w:rPr>
      </w:pPr>
    </w:p>
    <w:p w14:paraId="22F0BE67" w14:textId="77777777" w:rsidR="00835B17" w:rsidRPr="002872F1" w:rsidRDefault="00835B17" w:rsidP="00835B17">
      <w:pPr>
        <w:numPr>
          <w:ilvl w:val="0"/>
          <w:numId w:val="3"/>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Los preceptos en que se fundamenten y las consideraciones que las sustenten;</w:t>
      </w:r>
    </w:p>
    <w:p w14:paraId="08C54BBD" w14:textId="77777777" w:rsidR="00835B17" w:rsidRPr="004124F9" w:rsidRDefault="00835B17" w:rsidP="00835B17">
      <w:pPr>
        <w:spacing w:after="0" w:line="360" w:lineRule="auto"/>
        <w:ind w:left="720"/>
        <w:contextualSpacing/>
        <w:jc w:val="both"/>
        <w:rPr>
          <w:rFonts w:ascii="Palatino Linotype" w:eastAsia="Calibri" w:hAnsi="Palatino Linotype" w:cs="Times New Roman"/>
          <w:sz w:val="10"/>
          <w:szCs w:val="10"/>
          <w:lang w:eastAsia="es-ES"/>
        </w:rPr>
      </w:pPr>
    </w:p>
    <w:p w14:paraId="13F74EBB" w14:textId="77777777" w:rsidR="00835B17" w:rsidRPr="00D51704" w:rsidRDefault="00835B17" w:rsidP="00835B17">
      <w:pPr>
        <w:numPr>
          <w:ilvl w:val="0"/>
          <w:numId w:val="3"/>
        </w:numPr>
        <w:spacing w:after="0" w:line="360" w:lineRule="auto"/>
        <w:contextualSpacing/>
        <w:jc w:val="both"/>
        <w:rPr>
          <w:rFonts w:ascii="Palatino Linotype" w:eastAsia="Calibri" w:hAnsi="Palatino Linotype" w:cs="Times New Roman"/>
          <w:bCs/>
          <w:lang w:eastAsia="es-ES"/>
        </w:rPr>
      </w:pPr>
      <w:r w:rsidRPr="00D51704">
        <w:rPr>
          <w:rFonts w:ascii="Palatino Linotype" w:eastAsia="Calibri" w:hAnsi="Palatino Linotype" w:cs="Times New Roman"/>
          <w:bCs/>
          <w:lang w:eastAsia="es-ES"/>
        </w:rPr>
        <w:t>Los alcances y efectos de la resolución, fijando con precisión, en su caso, los sujetos y órganos obligados a cumplirla; y</w:t>
      </w:r>
    </w:p>
    <w:p w14:paraId="119410D6" w14:textId="77777777" w:rsidR="00835B17" w:rsidRPr="00A66F4D" w:rsidRDefault="00835B17" w:rsidP="00835B17">
      <w:pPr>
        <w:pStyle w:val="Prrafodelista"/>
        <w:rPr>
          <w:rFonts w:ascii="Palatino Linotype" w:hAnsi="Palatino Linotype"/>
          <w:sz w:val="8"/>
          <w:szCs w:val="8"/>
        </w:rPr>
      </w:pPr>
    </w:p>
    <w:p w14:paraId="78569E5B" w14:textId="77777777" w:rsidR="00835B17" w:rsidRPr="002872F1" w:rsidRDefault="00835B17" w:rsidP="00835B17">
      <w:pPr>
        <w:numPr>
          <w:ilvl w:val="0"/>
          <w:numId w:val="3"/>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Los puntos resolutivos.</w:t>
      </w:r>
    </w:p>
    <w:p w14:paraId="2E06073D" w14:textId="77777777" w:rsidR="00835B17" w:rsidRPr="004124F9" w:rsidRDefault="00835B17" w:rsidP="00835B17">
      <w:pPr>
        <w:spacing w:after="0" w:line="360" w:lineRule="auto"/>
        <w:jc w:val="both"/>
        <w:rPr>
          <w:rFonts w:ascii="Palatino Linotype" w:eastAsia="Calibri" w:hAnsi="Palatino Linotype" w:cs="Times New Roman"/>
        </w:rPr>
      </w:pPr>
    </w:p>
    <w:p w14:paraId="38508481" w14:textId="77777777" w:rsidR="00835B17" w:rsidRDefault="00835B17" w:rsidP="00835B17">
      <w:pPr>
        <w:spacing w:after="0" w:line="360" w:lineRule="auto"/>
        <w:jc w:val="both"/>
        <w:rPr>
          <w:rFonts w:ascii="Palatino Linotype" w:eastAsia="Calibri" w:hAnsi="Palatino Linotype" w:cs="Times New Roman"/>
        </w:rPr>
      </w:pPr>
      <w:r w:rsidRPr="004124F9">
        <w:rPr>
          <w:rFonts w:ascii="Palatino Linotype" w:eastAsia="Calibri" w:hAnsi="Palatino Linotype" w:cs="Times New Roman"/>
        </w:rPr>
        <w:t>Sobre este punto, se considera de suma importancia mencionar que de la normatividad citada, se advierte que este Instituto está facultado entre otras cosas para:</w:t>
      </w:r>
    </w:p>
    <w:p w14:paraId="03F81E6F" w14:textId="77777777" w:rsidR="00835B17" w:rsidRPr="004124F9" w:rsidRDefault="00835B17" w:rsidP="00835B17">
      <w:pPr>
        <w:spacing w:after="0" w:line="360" w:lineRule="auto"/>
        <w:jc w:val="both"/>
        <w:rPr>
          <w:rFonts w:ascii="Palatino Linotype" w:eastAsia="Calibri" w:hAnsi="Palatino Linotype" w:cs="Times New Roman"/>
        </w:rPr>
      </w:pPr>
    </w:p>
    <w:p w14:paraId="60B44C6F" w14:textId="77777777" w:rsidR="00835B17" w:rsidRDefault="00835B17" w:rsidP="00835B17">
      <w:pPr>
        <w:numPr>
          <w:ilvl w:val="0"/>
          <w:numId w:val="4"/>
        </w:numPr>
        <w:spacing w:after="0" w:line="360" w:lineRule="auto"/>
        <w:contextualSpacing/>
        <w:jc w:val="both"/>
        <w:rPr>
          <w:rFonts w:ascii="Palatino Linotype" w:eastAsia="Calibri" w:hAnsi="Palatino Linotype" w:cs="Times New Roman"/>
          <w:i/>
          <w:lang w:eastAsia="es-ES"/>
        </w:rPr>
      </w:pPr>
      <w:r w:rsidRPr="002872F1">
        <w:rPr>
          <w:rFonts w:ascii="Palatino Linotype" w:eastAsia="Calibri" w:hAnsi="Palatino Linotype" w:cs="Times New Roman"/>
          <w:i/>
          <w:lang w:eastAsia="es-ES"/>
        </w:rPr>
        <w:t>Conocer y resolver los recursos de revisión interpuestos por los particulares en contra de las resoluciones de los sujetos obligados en el ámbito estatal;</w:t>
      </w:r>
    </w:p>
    <w:p w14:paraId="7FE51C6E" w14:textId="77777777" w:rsidR="00835B17" w:rsidRPr="004124F9" w:rsidRDefault="00835B17" w:rsidP="00835B17">
      <w:pPr>
        <w:spacing w:after="0" w:line="360" w:lineRule="auto"/>
        <w:ind w:left="720"/>
        <w:contextualSpacing/>
        <w:jc w:val="both"/>
        <w:rPr>
          <w:rFonts w:ascii="Palatino Linotype" w:eastAsia="Calibri" w:hAnsi="Palatino Linotype" w:cs="Times New Roman"/>
          <w:i/>
          <w:sz w:val="10"/>
          <w:szCs w:val="10"/>
          <w:lang w:eastAsia="es-ES"/>
        </w:rPr>
      </w:pPr>
    </w:p>
    <w:p w14:paraId="1380AD90" w14:textId="77777777" w:rsidR="00835B17" w:rsidRPr="00D51704" w:rsidRDefault="00835B17" w:rsidP="00835B17">
      <w:pPr>
        <w:numPr>
          <w:ilvl w:val="0"/>
          <w:numId w:val="4"/>
        </w:numPr>
        <w:spacing w:after="0" w:line="360" w:lineRule="auto"/>
        <w:contextualSpacing/>
        <w:jc w:val="both"/>
        <w:rPr>
          <w:rFonts w:ascii="Palatino Linotype" w:eastAsia="Calibri" w:hAnsi="Palatino Linotype" w:cs="Times New Roman"/>
          <w:bCs/>
          <w:i/>
          <w:lang w:eastAsia="es-ES"/>
        </w:rPr>
      </w:pPr>
      <w:r w:rsidRPr="00D51704">
        <w:rPr>
          <w:rFonts w:ascii="Palatino Linotype" w:eastAsia="Calibri" w:hAnsi="Palatino Linotype" w:cs="Times New Roman"/>
          <w:bCs/>
          <w:i/>
          <w:lang w:eastAsia="es-ES"/>
        </w:rPr>
        <w:t>Realizar de oficio y a petición de parte, análisis y recomendaciones o en su caso, lineamientos en relación con presuntos incumplimientos a las disposiciones de la Ley, cuando existan elementos suficientes a juicio del Pleno del Instituto;</w:t>
      </w:r>
    </w:p>
    <w:p w14:paraId="4A8F1BB1" w14:textId="77777777" w:rsidR="00835B17" w:rsidRPr="004124F9" w:rsidRDefault="00835B17" w:rsidP="00835B17">
      <w:pPr>
        <w:spacing w:after="0" w:line="360" w:lineRule="auto"/>
        <w:ind w:left="720"/>
        <w:contextualSpacing/>
        <w:jc w:val="both"/>
        <w:rPr>
          <w:rFonts w:ascii="Palatino Linotype" w:eastAsia="Calibri" w:hAnsi="Palatino Linotype" w:cs="Times New Roman"/>
          <w:i/>
          <w:sz w:val="10"/>
          <w:szCs w:val="10"/>
          <w:lang w:eastAsia="es-ES"/>
        </w:rPr>
      </w:pPr>
    </w:p>
    <w:p w14:paraId="6F263FD9" w14:textId="77777777" w:rsidR="00835B17" w:rsidRPr="002872F1" w:rsidRDefault="00835B17" w:rsidP="00835B17">
      <w:pPr>
        <w:numPr>
          <w:ilvl w:val="0"/>
          <w:numId w:val="4"/>
        </w:numPr>
        <w:spacing w:after="0" w:line="360" w:lineRule="auto"/>
        <w:contextualSpacing/>
        <w:jc w:val="both"/>
        <w:rPr>
          <w:rFonts w:ascii="Palatino Linotype" w:eastAsia="Calibri" w:hAnsi="Palatino Linotype" w:cs="Times New Roman"/>
          <w:i/>
          <w:lang w:eastAsia="es-ES"/>
        </w:rPr>
      </w:pPr>
      <w:r w:rsidRPr="00D51704">
        <w:rPr>
          <w:rFonts w:ascii="Palatino Linotype" w:eastAsia="Calibri" w:hAnsi="Palatino Linotype" w:cs="Times New Roman"/>
          <w:bCs/>
          <w:i/>
          <w:lang w:eastAsia="es-ES"/>
        </w:rPr>
        <w:t>Emitir comunicados públicos sobre el incumplimiento de sus resoluciones o por infracciones reiteradas a la Ley, en el</w:t>
      </w:r>
      <w:r w:rsidRPr="002872F1">
        <w:rPr>
          <w:rFonts w:ascii="Palatino Linotype" w:eastAsia="Calibri" w:hAnsi="Palatino Linotype" w:cs="Times New Roman"/>
          <w:i/>
          <w:lang w:eastAsia="es-ES"/>
        </w:rPr>
        <w:t xml:space="preserve"> ámbito de su competencia;</w:t>
      </w:r>
    </w:p>
    <w:p w14:paraId="296C4CE9" w14:textId="77777777" w:rsidR="00835B17" w:rsidRPr="004124F9" w:rsidRDefault="00835B17" w:rsidP="00835B17">
      <w:pPr>
        <w:spacing w:after="0" w:line="360" w:lineRule="auto"/>
        <w:ind w:left="720"/>
        <w:contextualSpacing/>
        <w:jc w:val="both"/>
        <w:rPr>
          <w:rFonts w:ascii="Palatino Linotype" w:eastAsia="Calibri" w:hAnsi="Palatino Linotype" w:cs="Times New Roman"/>
          <w:i/>
          <w:sz w:val="10"/>
          <w:szCs w:val="10"/>
          <w:lang w:eastAsia="es-ES"/>
        </w:rPr>
      </w:pPr>
    </w:p>
    <w:p w14:paraId="3ACF61D5" w14:textId="77777777" w:rsidR="00835B17" w:rsidRPr="002872F1" w:rsidRDefault="00835B17" w:rsidP="00835B17">
      <w:pPr>
        <w:numPr>
          <w:ilvl w:val="0"/>
          <w:numId w:val="4"/>
        </w:numPr>
        <w:spacing w:after="0" w:line="360" w:lineRule="auto"/>
        <w:contextualSpacing/>
        <w:jc w:val="both"/>
        <w:rPr>
          <w:rFonts w:ascii="Palatino Linotype" w:eastAsia="Calibri" w:hAnsi="Palatino Linotype" w:cs="Times New Roman"/>
          <w:i/>
          <w:lang w:eastAsia="es-ES"/>
        </w:rPr>
      </w:pPr>
      <w:r w:rsidRPr="002872F1">
        <w:rPr>
          <w:rFonts w:ascii="Palatino Linotype" w:eastAsia="Calibri" w:hAnsi="Palatino Linotype" w:cs="Times New Roman"/>
          <w:i/>
          <w:lang w:eastAsia="es-ES"/>
        </w:rPr>
        <w:t>Ordenar a los sujetos obligados la ejecutoría en la entrega de información en términos de la presente Ley;</w:t>
      </w:r>
    </w:p>
    <w:p w14:paraId="40E90464" w14:textId="77777777" w:rsidR="00835B17" w:rsidRPr="004124F9" w:rsidRDefault="00835B17" w:rsidP="00835B17">
      <w:pPr>
        <w:spacing w:after="0" w:line="360" w:lineRule="auto"/>
        <w:ind w:left="720"/>
        <w:contextualSpacing/>
        <w:jc w:val="both"/>
        <w:rPr>
          <w:rFonts w:ascii="Palatino Linotype" w:eastAsia="Calibri" w:hAnsi="Palatino Linotype" w:cs="Times New Roman"/>
          <w:i/>
          <w:sz w:val="10"/>
          <w:szCs w:val="10"/>
          <w:lang w:eastAsia="es-ES"/>
        </w:rPr>
      </w:pPr>
    </w:p>
    <w:p w14:paraId="465A4C44" w14:textId="77777777" w:rsidR="00835B17" w:rsidRPr="002872F1" w:rsidRDefault="00835B17" w:rsidP="00835B17">
      <w:pPr>
        <w:numPr>
          <w:ilvl w:val="0"/>
          <w:numId w:val="4"/>
        </w:numPr>
        <w:spacing w:after="0" w:line="360" w:lineRule="auto"/>
        <w:contextualSpacing/>
        <w:jc w:val="both"/>
        <w:rPr>
          <w:rFonts w:ascii="Palatino Linotype" w:eastAsia="Calibri" w:hAnsi="Palatino Linotype" w:cs="Times New Roman"/>
          <w:i/>
          <w:lang w:eastAsia="es-ES"/>
        </w:rPr>
      </w:pPr>
      <w:r w:rsidRPr="002872F1">
        <w:rPr>
          <w:rFonts w:ascii="Palatino Linotype" w:eastAsia="Calibri" w:hAnsi="Palatino Linotype" w:cs="Times New Roman"/>
          <w:i/>
          <w:lang w:eastAsia="es-ES"/>
        </w:rPr>
        <w:t>Imponer las medidas de apremio para asegurar el cumplimiento de sus determinaciones;</w:t>
      </w:r>
    </w:p>
    <w:p w14:paraId="112CA1AD" w14:textId="77777777" w:rsidR="00835B17" w:rsidRPr="004124F9" w:rsidRDefault="00835B17" w:rsidP="00835B17">
      <w:pPr>
        <w:spacing w:after="0" w:line="360" w:lineRule="auto"/>
        <w:ind w:left="720"/>
        <w:contextualSpacing/>
        <w:jc w:val="both"/>
        <w:rPr>
          <w:rFonts w:ascii="Palatino Linotype" w:eastAsia="Calibri" w:hAnsi="Palatino Linotype" w:cs="Times New Roman"/>
          <w:i/>
          <w:sz w:val="10"/>
          <w:szCs w:val="10"/>
          <w:lang w:eastAsia="es-ES"/>
        </w:rPr>
      </w:pPr>
    </w:p>
    <w:p w14:paraId="78431C92" w14:textId="77777777" w:rsidR="00835B17" w:rsidRPr="00B54C93" w:rsidRDefault="00835B17" w:rsidP="00835B17">
      <w:pPr>
        <w:numPr>
          <w:ilvl w:val="0"/>
          <w:numId w:val="4"/>
        </w:numPr>
        <w:spacing w:after="0" w:line="360" w:lineRule="auto"/>
        <w:contextualSpacing/>
        <w:jc w:val="both"/>
        <w:rPr>
          <w:rFonts w:ascii="Palatino Linotype" w:eastAsia="Calibri" w:hAnsi="Palatino Linotype" w:cs="Times New Roman"/>
          <w:i/>
          <w:lang w:eastAsia="es-ES"/>
        </w:rPr>
      </w:pPr>
      <w:r w:rsidRPr="00B54C93">
        <w:rPr>
          <w:rFonts w:ascii="Palatino Linotype" w:eastAsia="Calibri" w:hAnsi="Palatino Linotype" w:cs="Times New Roman"/>
          <w:i/>
          <w:lang w:eastAsia="es-ES"/>
        </w:rPr>
        <w:t xml:space="preserve">Hacer del conocimiento de la instancia competente la probable responsabilidad por el incumplimiento de las obligaciones previstas en la Ley y en las demás disposiciones aplicable.  </w:t>
      </w:r>
    </w:p>
    <w:p w14:paraId="41AC0C1E" w14:textId="77777777" w:rsidR="00835B17" w:rsidRPr="004124F9" w:rsidRDefault="00835B17" w:rsidP="00835B17">
      <w:pPr>
        <w:spacing w:after="0" w:line="360" w:lineRule="auto"/>
        <w:jc w:val="both"/>
        <w:rPr>
          <w:rFonts w:ascii="Palatino Linotype" w:eastAsia="Calibri" w:hAnsi="Palatino Linotype" w:cs="Times New Roman"/>
        </w:rPr>
      </w:pPr>
    </w:p>
    <w:p w14:paraId="0059B724" w14:textId="77777777" w:rsidR="00835B17" w:rsidRDefault="00835B17" w:rsidP="00835B17">
      <w:pPr>
        <w:spacing w:after="0" w:line="360" w:lineRule="auto"/>
        <w:jc w:val="both"/>
        <w:rPr>
          <w:rFonts w:ascii="Palatino Linotype" w:eastAsia="Calibri" w:hAnsi="Palatino Linotype" w:cs="Times New Roman"/>
        </w:rPr>
      </w:pPr>
      <w:r>
        <w:rPr>
          <w:rFonts w:ascii="Palatino Linotype" w:eastAsia="Calibri" w:hAnsi="Palatino Linotype" w:cs="Times New Roman"/>
        </w:rPr>
        <w:lastRenderedPageBreak/>
        <w:t xml:space="preserve">Establecido lo anterior, debe tomarse en cuenta </w:t>
      </w:r>
      <w:r w:rsidRPr="004124F9">
        <w:rPr>
          <w:rFonts w:ascii="Palatino Linotype" w:eastAsia="Calibri" w:hAnsi="Palatino Linotype" w:cs="Times New Roman"/>
        </w:rPr>
        <w:t xml:space="preserve">que la vista a la Dirección </w:t>
      </w:r>
      <w:r>
        <w:rPr>
          <w:rFonts w:ascii="Palatino Linotype" w:eastAsia="Calibri" w:hAnsi="Palatino Linotype" w:cs="Times New Roman"/>
        </w:rPr>
        <w:t xml:space="preserve">General de Datos </w:t>
      </w:r>
      <w:r w:rsidRPr="004124F9">
        <w:rPr>
          <w:rFonts w:ascii="Palatino Linotype" w:eastAsia="Calibri" w:hAnsi="Palatino Linotype" w:cs="Times New Roman"/>
        </w:rPr>
        <w:t xml:space="preserve">de este Instituto, no debió incluirse en los resolutivos de la resolución referida, toda vez que, </w:t>
      </w:r>
      <w:r>
        <w:rPr>
          <w:rFonts w:ascii="Palatino Linotype" w:eastAsia="Calibri" w:hAnsi="Palatino Linotype" w:cs="Times New Roman"/>
        </w:rPr>
        <w:t>el Particular no se inconformó sobre de la información proporcionada en respuesta</w:t>
      </w:r>
      <w:r w:rsidRPr="004124F9">
        <w:rPr>
          <w:rFonts w:ascii="Palatino Linotype" w:eastAsia="Calibri" w:hAnsi="Palatino Linotype" w:cs="Times New Roman"/>
        </w:rPr>
        <w:t xml:space="preserve">, es decir, no forma parte de la </w:t>
      </w:r>
      <w:r>
        <w:rPr>
          <w:rFonts w:ascii="Palatino Linotype" w:eastAsia="Calibri" w:hAnsi="Palatino Linotype" w:cs="Times New Roman"/>
        </w:rPr>
        <w:t>l</w:t>
      </w:r>
      <w:r w:rsidRPr="004124F9">
        <w:rPr>
          <w:rFonts w:ascii="Palatino Linotype" w:eastAsia="Calibri" w:hAnsi="Palatino Linotype" w:cs="Times New Roman"/>
        </w:rPr>
        <w:t>itis</w:t>
      </w:r>
      <w:r>
        <w:rPr>
          <w:rFonts w:ascii="Palatino Linotype" w:eastAsia="Calibri" w:hAnsi="Palatino Linotype" w:cs="Times New Roman"/>
        </w:rPr>
        <w:t xml:space="preserve"> (por </w:t>
      </w:r>
      <w:r w:rsidRPr="00C7372C">
        <w:rPr>
          <w:rFonts w:ascii="Palatino Linotype" w:eastAsia="Calibri" w:hAnsi="Palatino Linotype" w:cs="Times New Roman"/>
        </w:rPr>
        <w:t>Litis es un vocablo latino que en idioma español se traduce como litigio, significando disputa o controversia judicial; diferencia de intereses entre dos partes, llamadas litigantes, sometidas a decisión de un Juez.</w:t>
      </w:r>
      <w:r>
        <w:rPr>
          <w:rFonts w:ascii="Palatino Linotype" w:eastAsia="Calibri" w:hAnsi="Palatino Linotype" w:cs="Times New Roman"/>
        </w:rPr>
        <w:t xml:space="preserve">) y por lo tanto no se analizó la documentación entregada al invocar actos consentidos. </w:t>
      </w:r>
    </w:p>
    <w:p w14:paraId="0CD38432" w14:textId="77777777" w:rsidR="00835B17" w:rsidRPr="00DB4E6B" w:rsidRDefault="00835B17" w:rsidP="00835B17">
      <w:pPr>
        <w:spacing w:after="0" w:line="360" w:lineRule="auto"/>
        <w:jc w:val="both"/>
        <w:rPr>
          <w:rFonts w:ascii="Palatino Linotype" w:hAnsi="Palatino Linotype" w:cs="Tahoma"/>
        </w:rPr>
      </w:pPr>
    </w:p>
    <w:p w14:paraId="29833AC6" w14:textId="3CFC2587" w:rsidR="00835B17" w:rsidRDefault="00835B17" w:rsidP="00835B17">
      <w:pPr>
        <w:spacing w:after="0" w:line="360" w:lineRule="auto"/>
        <w:jc w:val="both"/>
        <w:rPr>
          <w:rFonts w:ascii="Palatino Linotype" w:hAnsi="Palatino Linotype" w:cs="Tahoma"/>
          <w:lang w:val="es-MX"/>
        </w:rPr>
      </w:pPr>
      <w:r w:rsidRPr="00C569A8">
        <w:rPr>
          <w:rFonts w:ascii="Palatino Linotype" w:hAnsi="Palatino Linotype" w:cs="Tahoma"/>
        </w:rPr>
        <w:t xml:space="preserve">Lo anterior expone razones suficientes para la emisión y presentación del presente </w:t>
      </w:r>
      <w:r w:rsidRPr="00C569A8">
        <w:rPr>
          <w:rFonts w:ascii="Palatino Linotype" w:hAnsi="Palatino Linotype" w:cs="Tahoma"/>
          <w:b/>
        </w:rPr>
        <w:t>Voto Particular</w:t>
      </w:r>
      <w:r w:rsidRPr="00C569A8">
        <w:rPr>
          <w:rFonts w:ascii="Palatino Linotype" w:hAnsi="Palatino Linotype" w:cs="Tahoma"/>
        </w:rPr>
        <w:t>, relacionado con la resolución del Recurso de Revisión referido.</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r w:rsidRPr="001514DB">
        <w:rPr>
          <w:rFonts w:ascii="Palatino Linotype" w:hAnsi="Palatino Linotype" w:cs="Tahoma"/>
          <w:lang w:val="es-MX"/>
        </w:rPr>
        <w:t>----------</w:t>
      </w:r>
      <w:r>
        <w:rPr>
          <w:rFonts w:ascii="Palatino Linotype" w:hAnsi="Palatino Linotype" w:cs="Tahoma"/>
          <w:lang w:val="es-MX"/>
        </w:rPr>
        <w:t>-----------------------------</w:t>
      </w:r>
      <w:r>
        <w:rPr>
          <w:rFonts w:ascii="Palatino Linotype" w:hAnsi="Palatino Linotype" w:cs="Tahoma"/>
          <w:lang w:val="es-MX"/>
        </w:rPr>
        <w:t>----------------</w:t>
      </w:r>
    </w:p>
    <w:p w14:paraId="30387D0B" w14:textId="77777777" w:rsidR="00835B17" w:rsidRDefault="00835B17">
      <w:pPr>
        <w:rPr>
          <w:rFonts w:ascii="Palatino Linotype" w:hAnsi="Palatino Linotype" w:cs="Tahoma"/>
          <w:lang w:val="es-MX"/>
        </w:rPr>
      </w:pPr>
      <w:r>
        <w:rPr>
          <w:rFonts w:ascii="Palatino Linotype" w:hAnsi="Palatino Linotype" w:cs="Tahoma"/>
          <w:lang w:val="es-MX"/>
        </w:rPr>
        <w:br w:type="page"/>
      </w:r>
    </w:p>
    <w:p w14:paraId="6790E709" w14:textId="77777777" w:rsidR="00835B17" w:rsidRPr="00DF675F" w:rsidRDefault="00835B17" w:rsidP="00835B17">
      <w:pPr>
        <w:spacing w:after="0" w:line="360" w:lineRule="auto"/>
        <w:jc w:val="both"/>
        <w:rPr>
          <w:rFonts w:ascii="Palatino Linotype" w:hAnsi="Palatino Linotype" w:cs="Tahoma"/>
        </w:rPr>
      </w:pPr>
    </w:p>
    <w:p w14:paraId="58A17DF6" w14:textId="77777777" w:rsidR="00835B17" w:rsidRDefault="00835B17">
      <w:pPr>
        <w:rPr>
          <w:rFonts w:ascii="Palatino Linotype" w:hAnsi="Palatino Linotype" w:cs="Tahoma"/>
        </w:rPr>
      </w:pPr>
    </w:p>
    <w:p w14:paraId="701D6607" w14:textId="77777777" w:rsidR="00835B17" w:rsidRDefault="00835B17">
      <w:pPr>
        <w:rPr>
          <w:rFonts w:ascii="Palatino Linotype" w:hAnsi="Palatino Linotype" w:cs="Tahoma"/>
        </w:rPr>
      </w:pPr>
    </w:p>
    <w:p w14:paraId="57F0BFD8" w14:textId="77777777" w:rsidR="00835B17" w:rsidRDefault="00835B17">
      <w:pPr>
        <w:rPr>
          <w:rFonts w:ascii="Palatino Linotype" w:hAnsi="Palatino Linotype" w:cs="Tahoma"/>
        </w:rPr>
      </w:pPr>
    </w:p>
    <w:p w14:paraId="7AF8D634" w14:textId="77777777" w:rsidR="00835B17" w:rsidRDefault="00835B17"/>
    <w:sectPr w:rsidR="00835B17" w:rsidSect="007B2260">
      <w:headerReference w:type="default" r:id="rId7"/>
      <w:footerReference w:type="default" r:id="rId8"/>
      <w:pgSz w:w="12240" w:h="15840"/>
      <w:pgMar w:top="170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8A8BE" w14:textId="77777777" w:rsidR="006B0AF9" w:rsidRDefault="006B0AF9" w:rsidP="006B0AF9">
      <w:pPr>
        <w:spacing w:after="0" w:line="240" w:lineRule="auto"/>
      </w:pPr>
      <w:r>
        <w:separator/>
      </w:r>
    </w:p>
  </w:endnote>
  <w:endnote w:type="continuationSeparator" w:id="0">
    <w:p w14:paraId="3CF6817A" w14:textId="77777777" w:rsidR="006B0AF9" w:rsidRDefault="006B0AF9" w:rsidP="006B0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9321105"/>
      <w:docPartObj>
        <w:docPartGallery w:val="Page Numbers (Bottom of Page)"/>
        <w:docPartUnique/>
      </w:docPartObj>
    </w:sdtPr>
    <w:sdtEndPr/>
    <w:sdtContent>
      <w:sdt>
        <w:sdtPr>
          <w:id w:val="-1769616900"/>
          <w:docPartObj>
            <w:docPartGallery w:val="Page Numbers (Top of Page)"/>
            <w:docPartUnique/>
          </w:docPartObj>
        </w:sdtPr>
        <w:sdtEndPr/>
        <w:sdtContent>
          <w:p w14:paraId="4DBB1ED2" w14:textId="77777777" w:rsidR="006032B4" w:rsidRDefault="006032B4">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Pr>
                <w:b/>
                <w:bCs/>
                <w:noProof/>
              </w:rPr>
              <w:t>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5</w:t>
            </w:r>
            <w:r>
              <w:rPr>
                <w:b/>
                <w:bCs/>
                <w:sz w:val="24"/>
                <w:szCs w:val="24"/>
              </w:rPr>
              <w:fldChar w:fldCharType="end"/>
            </w:r>
          </w:p>
        </w:sdtContent>
      </w:sdt>
    </w:sdtContent>
  </w:sdt>
  <w:p w14:paraId="1E9A4B50" w14:textId="77777777" w:rsidR="006032B4" w:rsidRDefault="006032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0EBB1" w14:textId="77777777" w:rsidR="006B0AF9" w:rsidRDefault="006B0AF9" w:rsidP="006B0AF9">
      <w:pPr>
        <w:spacing w:after="0" w:line="240" w:lineRule="auto"/>
      </w:pPr>
      <w:r>
        <w:separator/>
      </w:r>
    </w:p>
  </w:footnote>
  <w:footnote w:type="continuationSeparator" w:id="0">
    <w:p w14:paraId="24CBAEBC" w14:textId="77777777" w:rsidR="006B0AF9" w:rsidRDefault="006B0AF9" w:rsidP="006B0A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5"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544"/>
    </w:tblGrid>
    <w:tr w:rsidR="007B2260" w:rsidRPr="007B2260" w14:paraId="455A76FC" w14:textId="77777777" w:rsidTr="007B2260">
      <w:trPr>
        <w:trHeight w:val="132"/>
      </w:trPr>
      <w:tc>
        <w:tcPr>
          <w:tcW w:w="2551" w:type="dxa"/>
        </w:tcPr>
        <w:p w14:paraId="53674163" w14:textId="02E0FCE8" w:rsidR="006032B4" w:rsidRPr="007B2260" w:rsidRDefault="006032B4" w:rsidP="007B2260">
          <w:pPr>
            <w:tabs>
              <w:tab w:val="right" w:pos="8838"/>
            </w:tabs>
            <w:ind w:right="-105"/>
            <w:rPr>
              <w:rFonts w:ascii="Palatino Linotype" w:eastAsia="Calibri" w:hAnsi="Palatino Linotype" w:cs="Tahoma"/>
              <w:b/>
              <w:lang w:val="es-MX"/>
            </w:rPr>
          </w:pPr>
          <w:r w:rsidRPr="007B2260">
            <w:rPr>
              <w:rFonts w:ascii="Palatino Linotype" w:eastAsia="Calibri" w:hAnsi="Palatino Linotype" w:cs="Tahoma"/>
              <w:b/>
              <w:lang w:val="es-MX"/>
            </w:rPr>
            <w:t xml:space="preserve">Voto </w:t>
          </w:r>
          <w:r w:rsidR="006B0AF9">
            <w:rPr>
              <w:rFonts w:ascii="Palatino Linotype" w:eastAsia="Calibri" w:hAnsi="Palatino Linotype" w:cs="Tahoma"/>
              <w:b/>
              <w:lang w:val="es-MX"/>
            </w:rPr>
            <w:t>Particular</w:t>
          </w:r>
        </w:p>
      </w:tc>
      <w:tc>
        <w:tcPr>
          <w:tcW w:w="3544" w:type="dxa"/>
        </w:tcPr>
        <w:p w14:paraId="3B4446BC" w14:textId="77777777" w:rsidR="006032B4" w:rsidRPr="007B2260" w:rsidRDefault="006032B4" w:rsidP="007B2260">
          <w:pPr>
            <w:tabs>
              <w:tab w:val="right" w:pos="8838"/>
            </w:tabs>
            <w:ind w:left="-111" w:right="-32"/>
            <w:rPr>
              <w:rFonts w:ascii="Palatino Linotype" w:eastAsia="Calibri" w:hAnsi="Palatino Linotype" w:cs="Tahoma"/>
              <w:lang w:val="es-MX"/>
            </w:rPr>
          </w:pPr>
        </w:p>
      </w:tc>
    </w:tr>
    <w:tr w:rsidR="007B2260" w:rsidRPr="007B2260" w14:paraId="35D9BFFD" w14:textId="77777777" w:rsidTr="007B2260">
      <w:trPr>
        <w:trHeight w:val="132"/>
      </w:trPr>
      <w:tc>
        <w:tcPr>
          <w:tcW w:w="2551" w:type="dxa"/>
        </w:tcPr>
        <w:p w14:paraId="3A936F79" w14:textId="77777777" w:rsidR="006032B4" w:rsidRPr="007B2260" w:rsidRDefault="006032B4" w:rsidP="007B2260">
          <w:pPr>
            <w:tabs>
              <w:tab w:val="right" w:pos="8838"/>
            </w:tabs>
            <w:ind w:right="-105"/>
            <w:rPr>
              <w:rFonts w:ascii="Palatino Linotype" w:eastAsia="Calibri" w:hAnsi="Palatino Linotype" w:cs="Tahoma"/>
              <w:b/>
              <w:lang w:val="es-MX"/>
            </w:rPr>
          </w:pPr>
          <w:r w:rsidRPr="007B2260">
            <w:rPr>
              <w:rFonts w:ascii="Palatino Linotype" w:eastAsia="Calibri" w:hAnsi="Palatino Linotype" w:cs="Tahoma"/>
              <w:b/>
              <w:lang w:val="es-MX"/>
            </w:rPr>
            <w:t>Recurso de Revisión:</w:t>
          </w:r>
        </w:p>
      </w:tc>
      <w:tc>
        <w:tcPr>
          <w:tcW w:w="3544" w:type="dxa"/>
        </w:tcPr>
        <w:p w14:paraId="406BBB1B" w14:textId="77777777" w:rsidR="006B0AF9" w:rsidRPr="006B0AF9" w:rsidRDefault="006B0AF9" w:rsidP="006B0AF9">
          <w:pPr>
            <w:tabs>
              <w:tab w:val="right" w:pos="8838"/>
            </w:tabs>
            <w:spacing w:after="0" w:line="240" w:lineRule="auto"/>
            <w:ind w:left="-111" w:right="-32"/>
            <w:rPr>
              <w:rFonts w:ascii="Palatino Linotype" w:eastAsia="Calibri" w:hAnsi="Palatino Linotype" w:cs="Tahoma"/>
              <w:lang w:val="es-MX"/>
            </w:rPr>
          </w:pPr>
          <w:r w:rsidRPr="006B0AF9">
            <w:rPr>
              <w:rFonts w:ascii="Palatino Linotype" w:eastAsia="Calibri" w:hAnsi="Palatino Linotype" w:cs="Tahoma"/>
              <w:lang w:val="es-MX"/>
            </w:rPr>
            <w:t>14727/INFOEM/IP/RR/2022 y</w:t>
          </w:r>
        </w:p>
        <w:p w14:paraId="45284B33" w14:textId="7FF5DC83" w:rsidR="006032B4" w:rsidRPr="007B2260" w:rsidRDefault="006B0AF9" w:rsidP="006B0AF9">
          <w:pPr>
            <w:tabs>
              <w:tab w:val="right" w:pos="8838"/>
            </w:tabs>
            <w:ind w:left="-111" w:right="-32"/>
            <w:rPr>
              <w:rFonts w:ascii="Palatino Linotype" w:eastAsia="Calibri" w:hAnsi="Palatino Linotype" w:cs="Tahoma"/>
            </w:rPr>
          </w:pPr>
          <w:r w:rsidRPr="006B0AF9">
            <w:rPr>
              <w:rFonts w:ascii="Palatino Linotype" w:eastAsia="Calibri" w:hAnsi="Palatino Linotype" w:cs="Tahoma"/>
              <w:lang w:val="es-MX"/>
            </w:rPr>
            <w:t>acumulados</w:t>
          </w:r>
        </w:p>
      </w:tc>
    </w:tr>
    <w:tr w:rsidR="007B2260" w:rsidRPr="007B2260" w14:paraId="6F485588" w14:textId="77777777" w:rsidTr="007B2260">
      <w:trPr>
        <w:trHeight w:val="261"/>
      </w:trPr>
      <w:tc>
        <w:tcPr>
          <w:tcW w:w="2551" w:type="dxa"/>
        </w:tcPr>
        <w:p w14:paraId="7DA72C4A" w14:textId="77777777" w:rsidR="006032B4" w:rsidRPr="007B2260" w:rsidRDefault="006032B4" w:rsidP="007B2260">
          <w:pPr>
            <w:tabs>
              <w:tab w:val="right" w:pos="8838"/>
            </w:tabs>
            <w:ind w:right="-105"/>
            <w:rPr>
              <w:rFonts w:ascii="Palatino Linotype" w:eastAsia="Calibri" w:hAnsi="Palatino Linotype" w:cs="Tahoma"/>
              <w:b/>
              <w:lang w:val="es-MX"/>
            </w:rPr>
          </w:pPr>
          <w:r w:rsidRPr="007B2260">
            <w:rPr>
              <w:rFonts w:ascii="Palatino Linotype" w:eastAsia="Calibri" w:hAnsi="Palatino Linotype" w:cs="Tahoma"/>
              <w:b/>
              <w:lang w:val="es-MX"/>
            </w:rPr>
            <w:t>Sujeto Obligado:</w:t>
          </w:r>
        </w:p>
      </w:tc>
      <w:tc>
        <w:tcPr>
          <w:tcW w:w="3544" w:type="dxa"/>
        </w:tcPr>
        <w:p w14:paraId="115B1BDB" w14:textId="2FC841FB" w:rsidR="006032B4" w:rsidRPr="007B2260" w:rsidRDefault="006B0AF9" w:rsidP="007B2260">
          <w:pPr>
            <w:tabs>
              <w:tab w:val="right" w:pos="8838"/>
            </w:tabs>
            <w:ind w:left="-111" w:right="-32"/>
            <w:rPr>
              <w:rFonts w:ascii="Palatino Linotype" w:eastAsia="Calibri" w:hAnsi="Palatino Linotype" w:cs="Tahoma"/>
              <w:lang w:val="es-MX"/>
            </w:rPr>
          </w:pPr>
          <w:r w:rsidRPr="006B0AF9">
            <w:rPr>
              <w:rFonts w:ascii="Palatino Linotype" w:eastAsia="Calibri" w:hAnsi="Palatino Linotype" w:cs="Tahoma"/>
              <w:lang w:val="es-MX"/>
            </w:rPr>
            <w:t>Ayuntamiento de Amecameca</w:t>
          </w:r>
        </w:p>
      </w:tc>
    </w:tr>
    <w:tr w:rsidR="007B2260" w:rsidRPr="007B2260" w14:paraId="75A4EB92" w14:textId="77777777" w:rsidTr="007B2260">
      <w:trPr>
        <w:trHeight w:val="261"/>
      </w:trPr>
      <w:tc>
        <w:tcPr>
          <w:tcW w:w="2551" w:type="dxa"/>
        </w:tcPr>
        <w:p w14:paraId="45062C5B" w14:textId="77777777" w:rsidR="006032B4" w:rsidRPr="007B2260" w:rsidRDefault="006032B4" w:rsidP="007B2260">
          <w:pPr>
            <w:tabs>
              <w:tab w:val="right" w:pos="8838"/>
            </w:tabs>
            <w:ind w:right="-105"/>
            <w:rPr>
              <w:rFonts w:ascii="Palatino Linotype" w:eastAsia="Calibri" w:hAnsi="Palatino Linotype" w:cs="Tahoma"/>
              <w:b/>
              <w:lang w:val="es-MX"/>
            </w:rPr>
          </w:pPr>
          <w:r w:rsidRPr="007B2260">
            <w:rPr>
              <w:rFonts w:ascii="Palatino Linotype" w:eastAsia="Calibri" w:hAnsi="Palatino Linotype" w:cs="Tahoma"/>
              <w:b/>
              <w:lang w:val="es-MX"/>
            </w:rPr>
            <w:t>Comisionado Ponente:</w:t>
          </w:r>
        </w:p>
      </w:tc>
      <w:tc>
        <w:tcPr>
          <w:tcW w:w="3544" w:type="dxa"/>
        </w:tcPr>
        <w:p w14:paraId="18E072E8" w14:textId="79C5412F" w:rsidR="006032B4" w:rsidRPr="007B2260" w:rsidRDefault="006B0AF9" w:rsidP="007B2260">
          <w:pPr>
            <w:tabs>
              <w:tab w:val="right" w:pos="8838"/>
            </w:tabs>
            <w:ind w:left="-111" w:right="-32"/>
            <w:rPr>
              <w:rFonts w:ascii="Palatino Linotype" w:eastAsia="Calibri" w:hAnsi="Palatino Linotype" w:cs="Tahoma"/>
              <w:bCs/>
              <w:lang w:val="es-MX"/>
            </w:rPr>
          </w:pPr>
          <w:r w:rsidRPr="006B0AF9">
            <w:rPr>
              <w:rFonts w:ascii="Palatino Linotype" w:eastAsia="Calibri" w:hAnsi="Palatino Linotype" w:cs="Tahoma"/>
              <w:bCs/>
              <w:lang w:val="es-ES_tradnl"/>
            </w:rPr>
            <w:t>Sharon Cristina Morales Martínez</w:t>
          </w:r>
        </w:p>
      </w:tc>
    </w:tr>
  </w:tbl>
  <w:p w14:paraId="52EE3035" w14:textId="77777777" w:rsidR="006032B4" w:rsidRDefault="006032B4">
    <w:pPr>
      <w:pStyle w:val="Encabezado"/>
    </w:pPr>
    <w:r>
      <w:rPr>
        <w:noProof/>
        <w:sz w:val="10"/>
        <w:szCs w:val="10"/>
        <w:lang w:val="es-MX" w:eastAsia="es-MX"/>
      </w:rPr>
      <w:drawing>
        <wp:anchor distT="0" distB="0" distL="114300" distR="114300" simplePos="0" relativeHeight="251668480" behindDoc="0" locked="0" layoutInCell="1" allowOverlap="1" wp14:anchorId="0463DFCC" wp14:editId="315256EA">
          <wp:simplePos x="0" y="0"/>
          <wp:positionH relativeFrom="column">
            <wp:posOffset>20955</wp:posOffset>
          </wp:positionH>
          <wp:positionV relativeFrom="paragraph">
            <wp:posOffset>-1152525</wp:posOffset>
          </wp:positionV>
          <wp:extent cx="1873250" cy="112649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09EF"/>
    <w:multiLevelType w:val="hybridMultilevel"/>
    <w:tmpl w:val="962A6F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BB8781B"/>
    <w:multiLevelType w:val="hybridMultilevel"/>
    <w:tmpl w:val="EA30DF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7CC13F3E"/>
    <w:multiLevelType w:val="hybridMultilevel"/>
    <w:tmpl w:val="C3F2A4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399369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570791">
    <w:abstractNumId w:val="2"/>
  </w:num>
  <w:num w:numId="3" w16cid:durableId="308438951">
    <w:abstractNumId w:val="0"/>
  </w:num>
  <w:num w:numId="4" w16cid:durableId="988442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FC3"/>
    <w:rsid w:val="00024AAF"/>
    <w:rsid w:val="002F65AF"/>
    <w:rsid w:val="00353BD1"/>
    <w:rsid w:val="003B429B"/>
    <w:rsid w:val="006B0AF9"/>
    <w:rsid w:val="00835B17"/>
    <w:rsid w:val="008F4B01"/>
    <w:rsid w:val="00AD3FC3"/>
    <w:rsid w:val="00B23FED"/>
    <w:rsid w:val="00BF25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19FFD"/>
  <w15:chartTrackingRefBased/>
  <w15:docId w15:val="{8679B3D1-51EC-49C6-892E-F5A30B971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FC3"/>
    <w:rPr>
      <w:kern w:val="0"/>
      <w:lang w:val="es-ES"/>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3F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3FC3"/>
    <w:rPr>
      <w:kern w:val="0"/>
      <w:lang w:val="es-ES"/>
      <w14:ligatures w14:val="none"/>
    </w:rPr>
  </w:style>
  <w:style w:type="paragraph" w:styleId="Piedepgina">
    <w:name w:val="footer"/>
    <w:basedOn w:val="Normal"/>
    <w:link w:val="PiedepginaCar"/>
    <w:uiPriority w:val="99"/>
    <w:unhideWhenUsed/>
    <w:rsid w:val="00AD3F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3FC3"/>
    <w:rPr>
      <w:kern w:val="0"/>
      <w:lang w:val="es-ES"/>
      <w14:ligatures w14:val="none"/>
    </w:rPr>
  </w:style>
  <w:style w:type="table" w:styleId="Tablaconcuadrcula">
    <w:name w:val="Table Grid"/>
    <w:basedOn w:val="Tablanormal"/>
    <w:uiPriority w:val="59"/>
    <w:qFormat/>
    <w:rsid w:val="00AD3FC3"/>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835B17"/>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35B17"/>
    <w:rPr>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1246</Words>
  <Characters>6855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Hernández</dc:creator>
  <cp:keywords/>
  <dc:description/>
  <cp:lastModifiedBy>Oswaldo Hernández</cp:lastModifiedBy>
  <cp:revision>2</cp:revision>
  <dcterms:created xsi:type="dcterms:W3CDTF">2023-08-03T23:32:00Z</dcterms:created>
  <dcterms:modified xsi:type="dcterms:W3CDTF">2023-08-03T23:32:00Z</dcterms:modified>
</cp:coreProperties>
</file>