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F8B" w:rsidRPr="00715F8B" w:rsidRDefault="00715F8B" w:rsidP="00715F8B">
      <w:pPr>
        <w:spacing w:after="0" w:line="360" w:lineRule="auto"/>
        <w:jc w:val="both"/>
        <w:rPr>
          <w:rFonts w:ascii="Palatino Linotype" w:hAnsi="Palatino Linotype" w:cs="Tahoma"/>
          <w:b/>
        </w:rPr>
      </w:pPr>
      <w:r w:rsidRPr="00715F8B">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PROTECCIÓN DE DATOS </w:t>
      </w:r>
      <w:r w:rsidR="00314CC5" w:rsidRPr="00715F8B">
        <w:rPr>
          <w:rFonts w:ascii="Palatino Linotype" w:hAnsi="Palatino Linotype" w:cs="Tahoma"/>
          <w:b/>
        </w:rPr>
        <w:t xml:space="preserve">PERSONALES DEL ESTADO DE MÉXICO Y MUNICIPIOS AL RECURSO DE REVISIÓN </w:t>
      </w:r>
      <w:r w:rsidR="00314CC5" w:rsidRPr="00314CC5">
        <w:rPr>
          <w:rFonts w:ascii="Palatino Linotype" w:hAnsi="Palatino Linotype" w:cs="Tahoma"/>
          <w:b/>
        </w:rPr>
        <w:t>11381/INFOEM/IP/RR/2022</w:t>
      </w:r>
      <w:r w:rsidR="00314CC5" w:rsidRPr="00715F8B">
        <w:rPr>
          <w:rFonts w:ascii="Palatino Linotype" w:hAnsi="Palatino Linotype" w:cs="Tahoma"/>
          <w:b/>
        </w:rPr>
        <w:t xml:space="preserve">, PROMOVIDO EN CONTRA DEL </w:t>
      </w:r>
      <w:r w:rsidR="00314CC5">
        <w:rPr>
          <w:rFonts w:ascii="Palatino Linotype" w:hAnsi="Palatino Linotype" w:cs="Tahoma"/>
          <w:b/>
        </w:rPr>
        <w:t>AYUNTAMIENTO DE LUVIANOS</w:t>
      </w:r>
      <w:r w:rsidR="00B34E3F">
        <w:rPr>
          <w:rFonts w:ascii="Palatino Linotype" w:hAnsi="Palatino Linotype" w:cs="Tahoma"/>
          <w:b/>
        </w:rPr>
        <w:t>.</w:t>
      </w:r>
    </w:p>
    <w:p w:rsidR="00715F8B" w:rsidRPr="00715F8B" w:rsidRDefault="00715F8B" w:rsidP="00715F8B">
      <w:pPr>
        <w:spacing w:after="0" w:line="360" w:lineRule="auto"/>
        <w:jc w:val="both"/>
        <w:rPr>
          <w:rFonts w:ascii="Palatino Linotype" w:hAnsi="Palatino Linotype" w:cs="Tahoma"/>
          <w:b/>
        </w:rPr>
      </w:pPr>
    </w:p>
    <w:p w:rsidR="00715F8B" w:rsidRPr="00715F8B" w:rsidRDefault="00715F8B" w:rsidP="00715F8B">
      <w:pPr>
        <w:spacing w:after="0" w:line="360" w:lineRule="auto"/>
        <w:jc w:val="both"/>
        <w:rPr>
          <w:rFonts w:ascii="Palatino Linotype" w:hAnsi="Palatino Linotype" w:cs="Tahoma"/>
          <w:b/>
        </w:rPr>
      </w:pPr>
      <w:r w:rsidRPr="00715F8B">
        <w:rPr>
          <w:rFonts w:ascii="Palatino Linotype" w:hAnsi="Palatino Linotype" w:cs="Tahoma"/>
          <w:b/>
        </w:rPr>
        <w:t>A.</w:t>
      </w:r>
      <w:r w:rsidRPr="00715F8B">
        <w:rPr>
          <w:rFonts w:ascii="Palatino Linotype" w:hAnsi="Palatino Linotype" w:cs="Tahoma"/>
          <w:b/>
        </w:rPr>
        <w:tab/>
        <w:t>Consideraciones Generales.</w:t>
      </w:r>
    </w:p>
    <w:p w:rsidR="00715F8B" w:rsidRPr="00715F8B" w:rsidRDefault="00715F8B" w:rsidP="00715F8B">
      <w:pPr>
        <w:spacing w:after="0" w:line="360" w:lineRule="auto"/>
        <w:jc w:val="both"/>
        <w:rPr>
          <w:rFonts w:ascii="Palatino Linotype" w:hAnsi="Palatino Linotype" w:cs="Tahoma"/>
          <w:b/>
        </w:rPr>
      </w:pPr>
    </w:p>
    <w:p w:rsidR="00715F8B" w:rsidRDefault="00715F8B" w:rsidP="00715F8B">
      <w:pPr>
        <w:spacing w:after="0" w:line="360" w:lineRule="auto"/>
        <w:jc w:val="both"/>
        <w:rPr>
          <w:rFonts w:eastAsia="Calibri" w:cs="Tahoma"/>
          <w:color w:val="000000"/>
        </w:rPr>
      </w:pPr>
      <w:r w:rsidRPr="0041486C">
        <w:rPr>
          <w:sz w:val="24"/>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 que sustentan la Resolución del Recurso de Revisión </w:t>
      </w:r>
      <w:r w:rsidR="00314CC5">
        <w:rPr>
          <w:rFonts w:eastAsia="Calibri" w:cs="Tahoma"/>
          <w:b/>
          <w:color w:val="0D0D0D"/>
        </w:rPr>
        <w:t>11381/INFOEM/IP/RR/2022</w:t>
      </w:r>
      <w:r w:rsidRPr="0041486C">
        <w:rPr>
          <w:sz w:val="24"/>
        </w:rPr>
        <w:t xml:space="preserve">, promovido en contra del </w:t>
      </w:r>
      <w:r w:rsidR="00314CC5">
        <w:rPr>
          <w:rFonts w:eastAsia="Calibri" w:cs="Tahoma"/>
          <w:color w:val="0D0D0D"/>
        </w:rPr>
        <w:t>Ayuntamiento de Luvianos</w:t>
      </w:r>
      <w:r w:rsidR="00314CC5">
        <w:rPr>
          <w:rFonts w:eastAsia="Calibri" w:cs="Tahoma"/>
          <w:color w:val="000000"/>
        </w:rPr>
        <w:t>.</w:t>
      </w:r>
    </w:p>
    <w:p w:rsidR="00314CC5" w:rsidRPr="0041486C" w:rsidRDefault="00314CC5" w:rsidP="00314CC5">
      <w:pPr>
        <w:spacing w:after="0" w:line="360" w:lineRule="auto"/>
        <w:jc w:val="both"/>
        <w:rPr>
          <w:sz w:val="24"/>
        </w:rPr>
      </w:pPr>
    </w:p>
    <w:p w:rsidR="00314CC5" w:rsidRPr="00314CC5" w:rsidRDefault="00715F8B" w:rsidP="00314CC5">
      <w:pPr>
        <w:autoSpaceDE w:val="0"/>
        <w:autoSpaceDN w:val="0"/>
        <w:adjustRightInd w:val="0"/>
        <w:spacing w:after="0" w:line="360" w:lineRule="auto"/>
        <w:contextualSpacing/>
        <w:jc w:val="both"/>
        <w:rPr>
          <w:sz w:val="24"/>
        </w:rPr>
      </w:pPr>
      <w:r w:rsidRPr="0041486C">
        <w:rPr>
          <w:sz w:val="24"/>
        </w:rPr>
        <w:t>En la Resolución se determinó</w:t>
      </w:r>
      <w:r w:rsidR="00314CC5" w:rsidRPr="00314CC5">
        <w:rPr>
          <w:sz w:val="24"/>
        </w:rPr>
        <w:t xml:space="preserve"> </w:t>
      </w:r>
      <w:r w:rsidR="00314CC5" w:rsidRPr="00314CC5">
        <w:rPr>
          <w:b/>
          <w:sz w:val="24"/>
        </w:rPr>
        <w:t>ORDENAR</w:t>
      </w:r>
      <w:r w:rsidR="00314CC5" w:rsidRPr="00314CC5">
        <w:rPr>
          <w:sz w:val="24"/>
        </w:rPr>
        <w:t xml:space="preserve"> al Ayuntamiento de Luvianos, a efecto ponga a disposición del Recurrente en copias certificadas, previo pago de los derechos correspondientes el documento entregado en respuesta.</w:t>
      </w:r>
    </w:p>
    <w:p w:rsidR="00314CC5" w:rsidRDefault="00314CC5" w:rsidP="00314CC5">
      <w:pPr>
        <w:spacing w:after="0" w:line="360" w:lineRule="auto"/>
        <w:rPr>
          <w:rFonts w:cs="Tahoma"/>
        </w:rPr>
      </w:pPr>
    </w:p>
    <w:p w:rsidR="00B775D8" w:rsidRPr="0041486C" w:rsidRDefault="00B775D8" w:rsidP="00B775D8">
      <w:pPr>
        <w:spacing w:line="360" w:lineRule="auto"/>
        <w:jc w:val="both"/>
        <w:rPr>
          <w:sz w:val="24"/>
        </w:rPr>
      </w:pPr>
      <w:r w:rsidRPr="0041486C">
        <w:rPr>
          <w:sz w:val="24"/>
        </w:rPr>
        <w:t xml:space="preserve">Al respecto, se indica que el artículo 6° de la Constitución Política de los Estados Unidos Mexicanos protege el derecho de acceso a la información bajo ciertos principios, entre los que se encuentra el que refiere que toda persona, sin necesidad de acreditar interés alguno o </w:t>
      </w:r>
      <w:r w:rsidRPr="0041486C">
        <w:rPr>
          <w:sz w:val="24"/>
        </w:rPr>
        <w:lastRenderedPageBreak/>
        <w:t>justificar su utilización, tendrá acceso gratuito a la información pública, a sus datos  personales o a la rectificación de éstos.</w:t>
      </w:r>
    </w:p>
    <w:p w:rsidR="00B775D8" w:rsidRDefault="00B775D8" w:rsidP="00B775D8">
      <w:pPr>
        <w:pStyle w:val="Textoindependiente"/>
        <w:spacing w:before="13"/>
        <w:rPr>
          <w:sz w:val="35"/>
        </w:rPr>
      </w:pPr>
    </w:p>
    <w:p w:rsidR="00B775D8" w:rsidRDefault="00B775D8" w:rsidP="0041486C">
      <w:pPr>
        <w:spacing w:line="360" w:lineRule="auto"/>
        <w:ind w:right="49"/>
        <w:jc w:val="both"/>
        <w:rPr>
          <w:sz w:val="24"/>
        </w:rPr>
      </w:pPr>
      <w:r>
        <w:rPr>
          <w:sz w:val="24"/>
        </w:rPr>
        <w:t>Asimismo,</w:t>
      </w:r>
      <w:r>
        <w:rPr>
          <w:spacing w:val="1"/>
          <w:sz w:val="24"/>
        </w:rPr>
        <w:t xml:space="preserve"> </w:t>
      </w:r>
      <w:r>
        <w:rPr>
          <w:sz w:val="24"/>
        </w:rPr>
        <w:t>el</w:t>
      </w:r>
      <w:r>
        <w:rPr>
          <w:spacing w:val="1"/>
          <w:sz w:val="24"/>
        </w:rPr>
        <w:t xml:space="preserve"> </w:t>
      </w:r>
      <w:r>
        <w:rPr>
          <w:sz w:val="24"/>
        </w:rPr>
        <w:t>artículo</w:t>
      </w:r>
      <w:r>
        <w:rPr>
          <w:spacing w:val="1"/>
          <w:sz w:val="24"/>
        </w:rPr>
        <w:t xml:space="preserve"> </w:t>
      </w:r>
      <w:r>
        <w:rPr>
          <w:sz w:val="24"/>
        </w:rPr>
        <w:t>17</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Ley</w:t>
      </w:r>
      <w:r>
        <w:rPr>
          <w:spacing w:val="1"/>
          <w:sz w:val="24"/>
        </w:rPr>
        <w:t xml:space="preserve"> </w:t>
      </w:r>
      <w:r>
        <w:rPr>
          <w:sz w:val="24"/>
        </w:rPr>
        <w:t>General</w:t>
      </w:r>
      <w:r>
        <w:rPr>
          <w:spacing w:val="1"/>
          <w:sz w:val="24"/>
        </w:rPr>
        <w:t xml:space="preserve"> </w:t>
      </w:r>
      <w:r>
        <w:rPr>
          <w:sz w:val="24"/>
        </w:rPr>
        <w:t>de</w:t>
      </w:r>
      <w:r>
        <w:rPr>
          <w:spacing w:val="1"/>
          <w:sz w:val="24"/>
        </w:rPr>
        <w:t xml:space="preserve"> </w:t>
      </w:r>
      <w:r>
        <w:rPr>
          <w:sz w:val="24"/>
        </w:rPr>
        <w:t>Transparencia</w:t>
      </w:r>
      <w:r>
        <w:rPr>
          <w:spacing w:val="1"/>
          <w:sz w:val="24"/>
        </w:rPr>
        <w:t xml:space="preserve"> </w:t>
      </w:r>
      <w:r>
        <w:rPr>
          <w:sz w:val="24"/>
        </w:rPr>
        <w:t>y</w:t>
      </w:r>
      <w:r>
        <w:rPr>
          <w:spacing w:val="1"/>
          <w:sz w:val="24"/>
        </w:rPr>
        <w:t xml:space="preserve"> </w:t>
      </w:r>
      <w:r>
        <w:rPr>
          <w:sz w:val="24"/>
        </w:rPr>
        <w:t>Acceso</w:t>
      </w:r>
      <w:r>
        <w:rPr>
          <w:spacing w:val="1"/>
          <w:sz w:val="24"/>
        </w:rPr>
        <w:t xml:space="preserve"> </w:t>
      </w:r>
      <w:r>
        <w:rPr>
          <w:sz w:val="24"/>
        </w:rPr>
        <w:t>a</w:t>
      </w:r>
      <w:r>
        <w:rPr>
          <w:spacing w:val="1"/>
          <w:sz w:val="24"/>
        </w:rPr>
        <w:t xml:space="preserve"> </w:t>
      </w:r>
      <w:r>
        <w:rPr>
          <w:sz w:val="24"/>
        </w:rPr>
        <w:t>la</w:t>
      </w:r>
      <w:r>
        <w:rPr>
          <w:spacing w:val="1"/>
          <w:sz w:val="24"/>
        </w:rPr>
        <w:t xml:space="preserve"> </w:t>
      </w:r>
      <w:r>
        <w:rPr>
          <w:sz w:val="24"/>
        </w:rPr>
        <w:t>Información</w:t>
      </w:r>
      <w:r>
        <w:rPr>
          <w:spacing w:val="1"/>
          <w:sz w:val="24"/>
        </w:rPr>
        <w:t xml:space="preserve"> </w:t>
      </w:r>
      <w:r>
        <w:rPr>
          <w:sz w:val="24"/>
        </w:rPr>
        <w:t>Pública,</w:t>
      </w:r>
      <w:r>
        <w:rPr>
          <w:spacing w:val="1"/>
          <w:sz w:val="24"/>
        </w:rPr>
        <w:t xml:space="preserve"> </w:t>
      </w:r>
      <w:r>
        <w:rPr>
          <w:sz w:val="24"/>
        </w:rPr>
        <w:t>precisa</w:t>
      </w:r>
      <w:r>
        <w:rPr>
          <w:spacing w:val="1"/>
          <w:sz w:val="24"/>
        </w:rPr>
        <w:t xml:space="preserve"> </w:t>
      </w:r>
      <w:r>
        <w:rPr>
          <w:b/>
          <w:sz w:val="24"/>
        </w:rPr>
        <w:t>que</w:t>
      </w:r>
      <w:r>
        <w:rPr>
          <w:b/>
          <w:spacing w:val="1"/>
          <w:sz w:val="24"/>
        </w:rPr>
        <w:t xml:space="preserve"> </w:t>
      </w:r>
      <w:r>
        <w:rPr>
          <w:b/>
          <w:sz w:val="24"/>
        </w:rPr>
        <w:t>el</w:t>
      </w:r>
      <w:r>
        <w:rPr>
          <w:b/>
          <w:spacing w:val="1"/>
          <w:sz w:val="24"/>
        </w:rPr>
        <w:t xml:space="preserve"> </w:t>
      </w:r>
      <w:r>
        <w:rPr>
          <w:b/>
          <w:sz w:val="24"/>
        </w:rPr>
        <w:t>ejercicio</w:t>
      </w:r>
      <w:r>
        <w:rPr>
          <w:b/>
          <w:spacing w:val="1"/>
          <w:sz w:val="24"/>
        </w:rPr>
        <w:t xml:space="preserve"> </w:t>
      </w:r>
      <w:r>
        <w:rPr>
          <w:b/>
          <w:sz w:val="24"/>
        </w:rPr>
        <w:t>de</w:t>
      </w:r>
      <w:r>
        <w:rPr>
          <w:b/>
          <w:spacing w:val="1"/>
          <w:sz w:val="24"/>
        </w:rPr>
        <w:t xml:space="preserve"> </w:t>
      </w:r>
      <w:r>
        <w:rPr>
          <w:b/>
          <w:sz w:val="24"/>
        </w:rPr>
        <w:t>acceso</w:t>
      </w:r>
      <w:r>
        <w:rPr>
          <w:b/>
          <w:spacing w:val="1"/>
          <w:sz w:val="24"/>
        </w:rPr>
        <w:t xml:space="preserve"> </w:t>
      </w:r>
      <w:r>
        <w:rPr>
          <w:b/>
          <w:sz w:val="24"/>
        </w:rPr>
        <w:t>a</w:t>
      </w:r>
      <w:r>
        <w:rPr>
          <w:b/>
          <w:spacing w:val="1"/>
          <w:sz w:val="24"/>
        </w:rPr>
        <w:t xml:space="preserve"> </w:t>
      </w:r>
      <w:r>
        <w:rPr>
          <w:b/>
          <w:sz w:val="24"/>
        </w:rPr>
        <w:t>la</w:t>
      </w:r>
      <w:r>
        <w:rPr>
          <w:b/>
          <w:spacing w:val="1"/>
          <w:sz w:val="24"/>
        </w:rPr>
        <w:t xml:space="preserve"> </w:t>
      </w:r>
      <w:r>
        <w:rPr>
          <w:b/>
          <w:sz w:val="24"/>
        </w:rPr>
        <w:t>información</w:t>
      </w:r>
      <w:r>
        <w:rPr>
          <w:b/>
          <w:spacing w:val="1"/>
          <w:sz w:val="24"/>
        </w:rPr>
        <w:t xml:space="preserve"> </w:t>
      </w:r>
      <w:r>
        <w:rPr>
          <w:b/>
          <w:sz w:val="24"/>
        </w:rPr>
        <w:t>será</w:t>
      </w:r>
      <w:r w:rsidR="00F16D7B">
        <w:rPr>
          <w:b/>
          <w:sz w:val="24"/>
        </w:rPr>
        <w:t xml:space="preserve"> </w:t>
      </w:r>
      <w:r>
        <w:rPr>
          <w:b/>
          <w:spacing w:val="-57"/>
          <w:sz w:val="24"/>
        </w:rPr>
        <w:t xml:space="preserve"> </w:t>
      </w:r>
      <w:r>
        <w:rPr>
          <w:b/>
          <w:sz w:val="24"/>
        </w:rPr>
        <w:t>gratuito y solamente podrá requerirse un cobro, dependiendo la modalidad y</w:t>
      </w:r>
      <w:r>
        <w:rPr>
          <w:b/>
          <w:spacing w:val="1"/>
          <w:sz w:val="24"/>
        </w:rPr>
        <w:t xml:space="preserve"> </w:t>
      </w:r>
      <w:r>
        <w:rPr>
          <w:b/>
          <w:sz w:val="24"/>
        </w:rPr>
        <w:t xml:space="preserve">entrega de la misma. </w:t>
      </w:r>
      <w:r>
        <w:rPr>
          <w:sz w:val="24"/>
        </w:rPr>
        <w:t>De manera coincidente lo precisa el artículo 17 de la Ley de</w:t>
      </w:r>
      <w:r>
        <w:rPr>
          <w:spacing w:val="1"/>
          <w:sz w:val="24"/>
        </w:rPr>
        <w:t xml:space="preserve"> </w:t>
      </w:r>
      <w:r>
        <w:rPr>
          <w:sz w:val="24"/>
        </w:rPr>
        <w:t>Transparencia</w:t>
      </w:r>
      <w:r>
        <w:rPr>
          <w:spacing w:val="-10"/>
          <w:sz w:val="24"/>
        </w:rPr>
        <w:t xml:space="preserve"> </w:t>
      </w:r>
      <w:r>
        <w:rPr>
          <w:sz w:val="24"/>
        </w:rPr>
        <w:t>y</w:t>
      </w:r>
      <w:r>
        <w:rPr>
          <w:spacing w:val="-9"/>
          <w:sz w:val="24"/>
        </w:rPr>
        <w:t xml:space="preserve"> </w:t>
      </w:r>
      <w:r>
        <w:rPr>
          <w:sz w:val="24"/>
        </w:rPr>
        <w:t>Acceso</w:t>
      </w:r>
      <w:r>
        <w:rPr>
          <w:spacing w:val="-9"/>
          <w:sz w:val="24"/>
        </w:rPr>
        <w:t xml:space="preserve"> </w:t>
      </w:r>
      <w:r>
        <w:rPr>
          <w:sz w:val="24"/>
        </w:rPr>
        <w:t>a</w:t>
      </w:r>
      <w:r>
        <w:rPr>
          <w:spacing w:val="-10"/>
          <w:sz w:val="24"/>
        </w:rPr>
        <w:t xml:space="preserve"> </w:t>
      </w:r>
      <w:r>
        <w:rPr>
          <w:sz w:val="24"/>
        </w:rPr>
        <w:t>la</w:t>
      </w:r>
      <w:r>
        <w:rPr>
          <w:spacing w:val="-10"/>
          <w:sz w:val="24"/>
        </w:rPr>
        <w:t xml:space="preserve"> </w:t>
      </w:r>
      <w:r>
        <w:rPr>
          <w:sz w:val="24"/>
        </w:rPr>
        <w:t>Información</w:t>
      </w:r>
      <w:r>
        <w:rPr>
          <w:spacing w:val="-10"/>
          <w:sz w:val="24"/>
        </w:rPr>
        <w:t xml:space="preserve"> </w:t>
      </w:r>
      <w:r>
        <w:rPr>
          <w:sz w:val="24"/>
        </w:rPr>
        <w:t>Pública</w:t>
      </w:r>
      <w:r>
        <w:rPr>
          <w:spacing w:val="-8"/>
          <w:sz w:val="24"/>
        </w:rPr>
        <w:t xml:space="preserve"> </w:t>
      </w:r>
      <w:r>
        <w:rPr>
          <w:sz w:val="24"/>
        </w:rPr>
        <w:t>del</w:t>
      </w:r>
      <w:r>
        <w:rPr>
          <w:spacing w:val="-7"/>
          <w:sz w:val="24"/>
        </w:rPr>
        <w:t xml:space="preserve"> </w:t>
      </w:r>
      <w:r>
        <w:rPr>
          <w:sz w:val="24"/>
        </w:rPr>
        <w:t>Estado</w:t>
      </w:r>
      <w:r>
        <w:rPr>
          <w:spacing w:val="-10"/>
          <w:sz w:val="24"/>
        </w:rPr>
        <w:t xml:space="preserve"> </w:t>
      </w:r>
      <w:r>
        <w:rPr>
          <w:sz w:val="24"/>
        </w:rPr>
        <w:t>y</w:t>
      </w:r>
      <w:r>
        <w:rPr>
          <w:spacing w:val="-9"/>
          <w:sz w:val="24"/>
        </w:rPr>
        <w:t xml:space="preserve"> </w:t>
      </w:r>
      <w:r>
        <w:rPr>
          <w:sz w:val="24"/>
        </w:rPr>
        <w:t>Municipios,</w:t>
      </w:r>
      <w:r>
        <w:rPr>
          <w:spacing w:val="-9"/>
          <w:sz w:val="24"/>
        </w:rPr>
        <w:t xml:space="preserve"> </w:t>
      </w:r>
      <w:r>
        <w:rPr>
          <w:sz w:val="24"/>
        </w:rPr>
        <w:t>al</w:t>
      </w:r>
      <w:r>
        <w:rPr>
          <w:spacing w:val="-9"/>
          <w:sz w:val="24"/>
        </w:rPr>
        <w:t xml:space="preserve"> </w:t>
      </w:r>
      <w:r>
        <w:rPr>
          <w:sz w:val="24"/>
        </w:rPr>
        <w:t>señalar</w:t>
      </w:r>
      <w:r>
        <w:rPr>
          <w:spacing w:val="-57"/>
          <w:sz w:val="24"/>
        </w:rPr>
        <w:t xml:space="preserve"> </w:t>
      </w:r>
      <w:r>
        <w:rPr>
          <w:sz w:val="24"/>
        </w:rPr>
        <w:t>que</w:t>
      </w:r>
      <w:r>
        <w:rPr>
          <w:spacing w:val="-2"/>
          <w:sz w:val="24"/>
        </w:rPr>
        <w:t xml:space="preserve"> </w:t>
      </w:r>
      <w:r>
        <w:rPr>
          <w:sz w:val="24"/>
        </w:rPr>
        <w:t>únicamente se cubrirán</w:t>
      </w:r>
      <w:r>
        <w:rPr>
          <w:spacing w:val="-1"/>
          <w:sz w:val="24"/>
        </w:rPr>
        <w:t xml:space="preserve"> </w:t>
      </w:r>
      <w:r>
        <w:rPr>
          <w:sz w:val="24"/>
        </w:rPr>
        <w:t>los</w:t>
      </w:r>
      <w:r>
        <w:rPr>
          <w:spacing w:val="-1"/>
          <w:sz w:val="24"/>
        </w:rPr>
        <w:t xml:space="preserve"> </w:t>
      </w:r>
      <w:r>
        <w:rPr>
          <w:sz w:val="24"/>
        </w:rPr>
        <w:t>gastos</w:t>
      </w:r>
      <w:r>
        <w:rPr>
          <w:spacing w:val="-1"/>
          <w:sz w:val="24"/>
        </w:rPr>
        <w:t xml:space="preserve"> </w:t>
      </w:r>
      <w:r>
        <w:rPr>
          <w:sz w:val="24"/>
        </w:rPr>
        <w:t>de</w:t>
      </w:r>
      <w:r>
        <w:rPr>
          <w:spacing w:val="-1"/>
          <w:sz w:val="24"/>
        </w:rPr>
        <w:t xml:space="preserve"> </w:t>
      </w:r>
      <w:r>
        <w:rPr>
          <w:sz w:val="24"/>
        </w:rPr>
        <w:t>reproducción.</w:t>
      </w:r>
    </w:p>
    <w:p w:rsidR="0041486C" w:rsidRDefault="0041486C" w:rsidP="0041486C">
      <w:pPr>
        <w:spacing w:line="360" w:lineRule="auto"/>
        <w:ind w:right="49"/>
        <w:jc w:val="both"/>
        <w:rPr>
          <w:sz w:val="24"/>
        </w:rPr>
      </w:pPr>
    </w:p>
    <w:p w:rsidR="00636B80" w:rsidRDefault="00636B80" w:rsidP="0041486C">
      <w:pPr>
        <w:pStyle w:val="Textoindependiente"/>
        <w:spacing w:before="163" w:line="360" w:lineRule="auto"/>
        <w:ind w:right="49"/>
        <w:jc w:val="both"/>
        <w:rPr>
          <w:rFonts w:asciiTheme="minorHAnsi" w:eastAsiaTheme="minorHAnsi" w:hAnsiTheme="minorHAnsi" w:cstheme="minorBidi"/>
          <w:szCs w:val="22"/>
          <w:lang w:val="es-MX"/>
        </w:rPr>
      </w:pPr>
      <w:r>
        <w:rPr>
          <w:rFonts w:asciiTheme="minorHAnsi" w:eastAsiaTheme="minorHAnsi" w:hAnsiTheme="minorHAnsi" w:cstheme="minorBidi"/>
          <w:szCs w:val="22"/>
          <w:lang w:val="es-MX"/>
        </w:rPr>
        <w:t>Por otra parte</w:t>
      </w:r>
      <w:r w:rsidR="00B775D8" w:rsidRPr="0041486C">
        <w:rPr>
          <w:rFonts w:asciiTheme="minorHAnsi" w:eastAsiaTheme="minorHAnsi" w:hAnsiTheme="minorHAnsi" w:cstheme="minorBidi"/>
          <w:szCs w:val="22"/>
          <w:lang w:val="es-MX"/>
        </w:rPr>
        <w:t>, el artículo 9°, fracción III, de la Ley en cita, prevé que el Principio de Gratuidad consiste en que el acceso a la información pública no generará costo alguno para los solicitantes y sólo podrá requerirse el correspondiente a la modalidad de reproducción y entrega solicitada; lo anterior debe interpretarse que el sentido de la norma es eliminar cualquier barrera u obstáculo que imposibilite el</w:t>
      </w:r>
      <w:r w:rsidR="0041486C">
        <w:rPr>
          <w:rFonts w:asciiTheme="minorHAnsi" w:eastAsiaTheme="minorHAnsi" w:hAnsiTheme="minorHAnsi" w:cstheme="minorBidi"/>
          <w:szCs w:val="22"/>
          <w:lang w:val="es-MX"/>
        </w:rPr>
        <w:t xml:space="preserve"> </w:t>
      </w:r>
      <w:r w:rsidR="00B775D8" w:rsidRPr="0041486C">
        <w:rPr>
          <w:rFonts w:asciiTheme="minorHAnsi" w:eastAsiaTheme="minorHAnsi" w:hAnsiTheme="minorHAnsi" w:cstheme="minorBidi"/>
          <w:szCs w:val="22"/>
          <w:lang w:val="es-MX"/>
        </w:rPr>
        <w:t>derecho de acceso a la información o que este se garantice de manera discriminada; esto es, sólo para aquellos que tengan los medios económicos para cubrir el costo de la reproducción de información, lo que materializaría el impedimento de acceso a la información</w:t>
      </w:r>
      <w:r>
        <w:rPr>
          <w:rFonts w:asciiTheme="minorHAnsi" w:eastAsiaTheme="minorHAnsi" w:hAnsiTheme="minorHAnsi" w:cstheme="minorBidi"/>
          <w:szCs w:val="22"/>
          <w:lang w:val="es-MX"/>
        </w:rPr>
        <w:t>.</w:t>
      </w:r>
    </w:p>
    <w:p w:rsidR="00636B80" w:rsidRDefault="00636B80" w:rsidP="0041486C">
      <w:pPr>
        <w:pStyle w:val="Textoindependiente"/>
        <w:spacing w:before="163" w:line="360" w:lineRule="auto"/>
        <w:ind w:right="49"/>
        <w:jc w:val="both"/>
        <w:rPr>
          <w:rFonts w:asciiTheme="minorHAnsi" w:eastAsiaTheme="minorHAnsi" w:hAnsiTheme="minorHAnsi" w:cstheme="minorBidi"/>
          <w:szCs w:val="22"/>
          <w:lang w:val="es-MX"/>
        </w:rPr>
      </w:pPr>
    </w:p>
    <w:p w:rsidR="00B775D8" w:rsidRPr="0041486C" w:rsidRDefault="00B775D8" w:rsidP="0041486C">
      <w:pPr>
        <w:pStyle w:val="Textoindependiente"/>
        <w:spacing w:before="163"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 xml:space="preserve"> En ese orden de ideas, el artículo 174 de la Ley de la materia, establece que en los casos de existir costos para obtener la información, deberán cubrirse de manera previa y nunca deberán ser superiores a la suma de los costos de los materiales utilizados, envió y certificación, en su caso. Conforme a la normatividad señalada, se advierte que el derecho de </w:t>
      </w:r>
      <w:r w:rsidRPr="0041486C">
        <w:rPr>
          <w:rFonts w:asciiTheme="minorHAnsi" w:eastAsiaTheme="minorHAnsi" w:hAnsiTheme="minorHAnsi" w:cstheme="minorBidi"/>
          <w:szCs w:val="22"/>
          <w:lang w:val="es-MX"/>
        </w:rPr>
        <w:lastRenderedPageBreak/>
        <w:t>acceso a la 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B775D8" w:rsidP="0041486C">
      <w:pPr>
        <w:pStyle w:val="Textoindependiente"/>
        <w:spacing w:before="162"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Diversos tratadistas se han referido al principio de gratuidad en función de que el derecho de acceso a la información es un derecho fundamental.</w:t>
      </w:r>
    </w:p>
    <w:p w:rsidR="00B775D8" w:rsidRPr="0041486C" w:rsidRDefault="00B775D8" w:rsidP="0041486C">
      <w:pPr>
        <w:pStyle w:val="Textoindependiente"/>
        <w:spacing w:before="9"/>
        <w:ind w:right="49"/>
        <w:rPr>
          <w:rFonts w:asciiTheme="minorHAnsi" w:eastAsiaTheme="minorHAnsi" w:hAnsiTheme="minorHAnsi" w:cstheme="minorBidi"/>
          <w:szCs w:val="22"/>
          <w:lang w:val="es-MX"/>
        </w:rPr>
      </w:pPr>
    </w:p>
    <w:p w:rsidR="00B775D8" w:rsidRPr="0041486C" w:rsidRDefault="00B775D8" w:rsidP="0041486C">
      <w:pPr>
        <w:pStyle w:val="Textoindependiente"/>
        <w:spacing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Para Miguel Carbonell el cobro de alguna cantidad de dinero al solicitante se debe hacer solamente en el caso de que la reproducción de la información solicitada así lo amerite. Dicho costo de reproducción deberá ajustarse a lo que cueste precisamente dicha reproducción, sin que pueda exceder del costo de los materiales en los que</w:t>
      </w:r>
      <w:r w:rsid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asiente la información. En el caso de las copias certificadas, habría que entender que la certificación no podría generar costos adicionales, ya que entonces se podría inhibir indebidamente el ejercicio amplio y completo del derecho de acceso a la información.</w:t>
      </w:r>
      <w:r w:rsidR="0041486C">
        <w:rPr>
          <w:rStyle w:val="Refdenotaalpie"/>
          <w:rFonts w:asciiTheme="minorHAnsi" w:eastAsiaTheme="minorHAnsi" w:hAnsiTheme="minorHAnsi" w:cstheme="minorBidi"/>
          <w:szCs w:val="22"/>
          <w:lang w:val="es-MX"/>
        </w:rPr>
        <w:footnoteReference w:id="1"/>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B775D8" w:rsidP="0041486C">
      <w:pPr>
        <w:pStyle w:val="Textoindependiente"/>
        <w:spacing w:before="163"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De esa suerte, los costos que establezcan las leyes de ingresos por concepto de cualquier formato para acceder a la información pública deben ser asequibles y homogéneos, de manera que no se obstaculice ese derecho constitucional.</w:t>
      </w:r>
    </w:p>
    <w:p w:rsidR="00B775D8" w:rsidRPr="0041486C" w:rsidRDefault="00B775D8" w:rsidP="0041486C">
      <w:pPr>
        <w:pStyle w:val="Textoindependiente"/>
        <w:spacing w:before="12"/>
        <w:ind w:right="49"/>
        <w:rPr>
          <w:rFonts w:asciiTheme="minorHAnsi" w:eastAsiaTheme="minorHAnsi" w:hAnsiTheme="minorHAnsi" w:cstheme="minorBidi"/>
          <w:szCs w:val="22"/>
          <w:lang w:val="es-MX"/>
        </w:rPr>
      </w:pPr>
    </w:p>
    <w:p w:rsidR="00B775D8" w:rsidRPr="0041486C" w:rsidRDefault="00B775D8" w:rsidP="0041486C">
      <w:pPr>
        <w:pStyle w:val="Textoindependiente"/>
        <w:spacing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lastRenderedPageBreak/>
        <w:t>En tanto que si sólo es debido cobrar el costo de reproducción, se entiende que el fin de éste no debe ser recaudatorio, sino el de sólo recuperar la erogación extra que tuvo que realizar el Estado a efecto de otorgar la información solicitada.</w:t>
      </w:r>
    </w:p>
    <w:p w:rsidR="00B775D8" w:rsidRPr="0041486C" w:rsidRDefault="00B775D8" w:rsidP="0041486C">
      <w:pPr>
        <w:spacing w:after="0" w:line="360" w:lineRule="auto"/>
        <w:ind w:right="49"/>
        <w:jc w:val="both"/>
        <w:rPr>
          <w:sz w:val="24"/>
        </w:rPr>
      </w:pPr>
    </w:p>
    <w:p w:rsidR="00F90B70" w:rsidRDefault="00B775D8" w:rsidP="00F90B70">
      <w:pPr>
        <w:pStyle w:val="Textoindependiente"/>
        <w:spacing w:before="164" w:line="360" w:lineRule="auto"/>
        <w:ind w:right="49"/>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Los fines recaudatorios son una limitante de la garantía constitucional del derecho de acceso a la información y contravienen su naturaleza general.</w:t>
      </w:r>
    </w:p>
    <w:p w:rsidR="00314CC5" w:rsidRDefault="00F90B70" w:rsidP="00F90B70">
      <w:pPr>
        <w:pStyle w:val="Textoindependiente"/>
        <w:spacing w:before="164" w:line="360" w:lineRule="auto"/>
        <w:ind w:right="49"/>
        <w:jc w:val="both"/>
        <w:rPr>
          <w:rFonts w:asciiTheme="minorHAnsi" w:eastAsiaTheme="minorHAnsi" w:hAnsiTheme="minorHAnsi" w:cstheme="minorBidi"/>
        </w:rPr>
      </w:pPr>
      <w:r>
        <w:rPr>
          <w:rFonts w:asciiTheme="minorHAnsi" w:eastAsiaTheme="minorHAnsi" w:hAnsiTheme="minorHAnsi" w:cstheme="minorBidi"/>
          <w:szCs w:val="22"/>
          <w:lang w:val="es-MX"/>
        </w:rPr>
        <w:t xml:space="preserve">En el presente </w:t>
      </w:r>
      <w:r w:rsidR="002102E4">
        <w:rPr>
          <w:rFonts w:asciiTheme="minorHAnsi" w:eastAsiaTheme="minorHAnsi" w:hAnsiTheme="minorHAnsi" w:cstheme="minorBidi"/>
          <w:szCs w:val="22"/>
          <w:lang w:val="es-MX"/>
        </w:rPr>
        <w:t>asunto,</w:t>
      </w:r>
      <w:r>
        <w:rPr>
          <w:rFonts w:asciiTheme="minorHAnsi" w:eastAsiaTheme="minorHAnsi" w:hAnsiTheme="minorHAnsi" w:cstheme="minorBidi"/>
          <w:szCs w:val="22"/>
          <w:lang w:val="es-MX"/>
        </w:rPr>
        <w:t xml:space="preserve"> se </w:t>
      </w:r>
      <w:r w:rsidR="00314CC5" w:rsidRPr="00314CC5">
        <w:rPr>
          <w:rFonts w:eastAsiaTheme="minorHAnsi" w:cstheme="minorBidi"/>
        </w:rPr>
        <w:t>requirió de manera primigenia t</w:t>
      </w:r>
      <w:r w:rsidR="00314CC5" w:rsidRPr="00314CC5">
        <w:rPr>
          <w:rFonts w:asciiTheme="minorHAnsi" w:eastAsiaTheme="minorHAnsi" w:hAnsiTheme="minorHAnsi" w:cstheme="minorBidi"/>
        </w:rPr>
        <w:t>odos los oficios debidamente certificados que fueron turnados por la SECOGEM a Ayuntamiento de Luvianos donde se aprecien todos los servidores públicos de la actual administración municipal, que han sido extemporáneos y omisos en la presentación de sus diferentes manifestaciones patrimoniales, del periodo del treinta de mayo de dos mil diecisiete al dos de junio de dos mil veintidós, en donde se incluya área de adscripción y cargo.</w:t>
      </w:r>
    </w:p>
    <w:p w:rsidR="002102E4" w:rsidRPr="002102E4" w:rsidRDefault="002102E4" w:rsidP="00F90B70">
      <w:pPr>
        <w:pStyle w:val="Textoindependiente"/>
        <w:spacing w:before="164" w:line="360" w:lineRule="auto"/>
        <w:ind w:right="49"/>
        <w:jc w:val="both"/>
        <w:rPr>
          <w:rFonts w:asciiTheme="minorHAnsi" w:eastAsiaTheme="minorHAnsi" w:hAnsiTheme="minorHAnsi" w:cstheme="minorBidi"/>
          <w:szCs w:val="22"/>
          <w:lang w:val="es-MX"/>
        </w:rPr>
      </w:pPr>
    </w:p>
    <w:p w:rsidR="002102E4" w:rsidRPr="002102E4" w:rsidRDefault="002102E4" w:rsidP="002102E4">
      <w:pPr>
        <w:pStyle w:val="Prrafodelista"/>
        <w:spacing w:line="360" w:lineRule="auto"/>
        <w:ind w:left="0"/>
        <w:jc w:val="both"/>
        <w:rPr>
          <w:rFonts w:asciiTheme="minorHAnsi" w:eastAsiaTheme="minorHAnsi" w:hAnsiTheme="minorHAnsi" w:cstheme="minorBidi"/>
          <w:szCs w:val="22"/>
          <w:lang w:val="es-MX" w:eastAsia="en-US"/>
        </w:rPr>
      </w:pPr>
      <w:r w:rsidRPr="002102E4">
        <w:rPr>
          <w:rFonts w:asciiTheme="minorHAnsi" w:eastAsiaTheme="minorHAnsi" w:hAnsiTheme="minorHAnsi" w:cstheme="minorBidi"/>
          <w:szCs w:val="22"/>
          <w:lang w:val="es-MX" w:eastAsia="en-US"/>
        </w:rPr>
        <w:t>El Sujeto Obligado atendió a la solicitud con un documento signado por el Subdirector de Recursos Humanos y Materiales, que contiene un cuadro con información de los servidores públicos que han sido extemporáneos u omisos desde el treinta de mayo de 2017 hasta junio del 2022.</w:t>
      </w:r>
    </w:p>
    <w:p w:rsidR="002102E4" w:rsidRDefault="002102E4" w:rsidP="002102E4">
      <w:pPr>
        <w:pStyle w:val="Prrafodelista"/>
        <w:spacing w:line="360" w:lineRule="auto"/>
        <w:ind w:left="0"/>
        <w:jc w:val="both"/>
        <w:rPr>
          <w:rFonts w:ascii="Palatino Linotype" w:eastAsia="Palatino Linotype" w:hAnsi="Palatino Linotype" w:cs="Palatino Linotype"/>
          <w:bCs/>
          <w:szCs w:val="22"/>
        </w:rPr>
      </w:pPr>
    </w:p>
    <w:p w:rsidR="00314CC5" w:rsidRPr="00314CC5" w:rsidRDefault="00314CC5" w:rsidP="00314CC5">
      <w:pPr>
        <w:spacing w:after="0" w:line="360" w:lineRule="auto"/>
        <w:jc w:val="both"/>
        <w:rPr>
          <w:sz w:val="24"/>
        </w:rPr>
      </w:pPr>
      <w:r w:rsidRPr="00314CC5">
        <w:rPr>
          <w:sz w:val="24"/>
        </w:rPr>
        <w:t xml:space="preserve">El Particular se inconformó en el sentido de que se le negó la información y de que la misma no le fue entregada debidamente certificada, tal como fue planteado de manera inicial. Al respecto, hizo entrega de documentos que dan cuenta de servidores públicos que presentaron sus declaraciones de manera extemporánea, por lo que el documento atiende a la solicitud, al </w:t>
      </w:r>
      <w:r w:rsidRPr="00314CC5">
        <w:rPr>
          <w:sz w:val="24"/>
        </w:rPr>
        <w:lastRenderedPageBreak/>
        <w:t>contener la información requerida, sin embargo, la misma contiene el nombre de elementos operativos de seguridad pública, información considerada clasificada como reservada.</w:t>
      </w:r>
    </w:p>
    <w:p w:rsidR="00314CC5" w:rsidRPr="00314CC5" w:rsidRDefault="00314CC5" w:rsidP="00314CC5">
      <w:pPr>
        <w:spacing w:after="0" w:line="360" w:lineRule="auto"/>
        <w:jc w:val="both"/>
        <w:rPr>
          <w:sz w:val="24"/>
        </w:rPr>
      </w:pPr>
    </w:p>
    <w:p w:rsidR="00B775D8" w:rsidRPr="00F16D7B" w:rsidRDefault="002102E4" w:rsidP="00314CC5">
      <w:pPr>
        <w:spacing w:line="360" w:lineRule="auto"/>
        <w:jc w:val="both"/>
        <w:rPr>
          <w:sz w:val="24"/>
        </w:rPr>
      </w:pPr>
      <w:r>
        <w:rPr>
          <w:sz w:val="24"/>
        </w:rPr>
        <w:t xml:space="preserve">Por tanto, </w:t>
      </w:r>
      <w:r w:rsidR="00B775D8" w:rsidRPr="00F16D7B">
        <w:rPr>
          <w:sz w:val="24"/>
        </w:rPr>
        <w:t>en el presente caso es evidente que el pago que se pretendiera aplicar para la expedición de la información requerida por RECURRENTE, no resulta aplicable toda vez que el legislador ha tenido el tino de establecer en la ley una medida de que puede contribuir a la reparación integral de la persona afectada y consiste en una dimensión colectiva de responsabilidad, complementaria de la antes descrita, y</w:t>
      </w:r>
      <w:r w:rsidR="0041486C" w:rsidRPr="00F16D7B">
        <w:rPr>
          <w:sz w:val="24"/>
        </w:rPr>
        <w:t xml:space="preserve"> </w:t>
      </w:r>
      <w:r w:rsidR="00B775D8" w:rsidRPr="00F16D7B">
        <w:rPr>
          <w:sz w:val="24"/>
        </w:rPr>
        <w:t>que consiste en que el Sujeto Obligado entregue la información sin costo alguno para el solicitante cuando el Instituto determine que por negligencia no se hubiere atendido alguna solicitud en los términos de la ley.</w:t>
      </w:r>
    </w:p>
    <w:p w:rsidR="00314CC5" w:rsidRPr="00F90B70" w:rsidRDefault="00314CC5" w:rsidP="00314CC5">
      <w:pPr>
        <w:spacing w:after="0" w:line="360" w:lineRule="auto"/>
        <w:jc w:val="both"/>
        <w:rPr>
          <w:sz w:val="24"/>
        </w:rPr>
      </w:pPr>
      <w:r w:rsidRPr="00F90B70">
        <w:rPr>
          <w:sz w:val="24"/>
        </w:rPr>
        <w:t xml:space="preserve">Se advierte que el Particular requirió información certificada a través de SAIMEX, en ese sentido, resulta necesario traer a colación el artículo 155, fracción V, de la Ley de Transparencia y Acceso a la Información Pública del Estado de México y Municipios, que precisa que para presentar una solicitud, el particular podrá señalar la modalidad en la que prefiere se otorgue el acceso a la información, la cual podrá ser verbal, siempre y cuando sea para fines de orientación, a través de consulta directa, mediante la expedición de copias simples o certificadas o la reproducción en cualquier otro medio, incluidos los electrónicos. </w:t>
      </w:r>
    </w:p>
    <w:p w:rsidR="00314CC5" w:rsidRPr="00F90B70" w:rsidRDefault="00314CC5" w:rsidP="00314CC5">
      <w:pPr>
        <w:spacing w:after="0" w:line="360" w:lineRule="auto"/>
        <w:jc w:val="both"/>
        <w:rPr>
          <w:sz w:val="24"/>
        </w:rPr>
      </w:pPr>
    </w:p>
    <w:p w:rsidR="00314CC5" w:rsidRPr="00F90B70" w:rsidRDefault="00314CC5" w:rsidP="00314CC5">
      <w:pPr>
        <w:spacing w:after="0" w:line="360" w:lineRule="auto"/>
        <w:jc w:val="both"/>
        <w:rPr>
          <w:sz w:val="24"/>
        </w:rPr>
      </w:pPr>
      <w:r w:rsidRPr="00F90B70">
        <w:rPr>
          <w:sz w:val="24"/>
        </w:rPr>
        <w:t>Por su parte, el artículo 158 de la Ley en comento dispone que se facilitará su copia simple o certificada, así como su reproducción por cualquier medio disponible en las instalaciones del sujeto obligado.</w:t>
      </w:r>
    </w:p>
    <w:p w:rsidR="00314CC5" w:rsidRPr="00F90B70" w:rsidRDefault="00314CC5" w:rsidP="00314CC5">
      <w:pPr>
        <w:spacing w:after="0" w:line="360" w:lineRule="auto"/>
        <w:jc w:val="both"/>
        <w:rPr>
          <w:sz w:val="24"/>
        </w:rPr>
      </w:pPr>
    </w:p>
    <w:p w:rsidR="006C3542" w:rsidRPr="002102E4" w:rsidRDefault="00314CC5" w:rsidP="006C3542">
      <w:pPr>
        <w:pStyle w:val="Prrafodelista"/>
        <w:spacing w:line="360" w:lineRule="auto"/>
        <w:ind w:left="0"/>
        <w:jc w:val="both"/>
        <w:rPr>
          <w:rFonts w:asciiTheme="minorHAnsi" w:eastAsiaTheme="minorHAnsi" w:hAnsiTheme="minorHAnsi" w:cstheme="minorBidi"/>
          <w:szCs w:val="22"/>
          <w:lang w:val="es-MX" w:eastAsia="en-US"/>
        </w:rPr>
      </w:pPr>
      <w:r w:rsidRPr="002102E4">
        <w:rPr>
          <w:rFonts w:asciiTheme="minorHAnsi" w:eastAsiaTheme="minorHAnsi" w:hAnsiTheme="minorHAnsi" w:cstheme="minorBidi"/>
          <w:szCs w:val="22"/>
          <w:lang w:val="es-MX" w:eastAsia="en-US"/>
        </w:rPr>
        <w:t xml:space="preserve">Así la certificación, tiene la finalidad de comprobar la existencia de los documentos que se entregaron por medio del derecho de acceso a la información, en los archivos del Sujeto </w:t>
      </w:r>
      <w:r w:rsidRPr="002102E4">
        <w:rPr>
          <w:rFonts w:asciiTheme="minorHAnsi" w:eastAsiaTheme="minorHAnsi" w:hAnsiTheme="minorHAnsi" w:cstheme="minorBidi"/>
          <w:szCs w:val="22"/>
          <w:lang w:val="es-MX" w:eastAsia="en-US"/>
        </w:rPr>
        <w:lastRenderedPageBreak/>
        <w:t>Obligado y, por tanto, se deben aportar elementos que otorguen certeza de que estos documentos fueron expedidos por autoridad competente, por ello, los sellos o los elementos que contemple el Sujeto Obligado para la certificación, con la precisión de que la propia ley de transparencia en su artículo 158, párrafo segundo, contempla la entrega de las copia</w:t>
      </w:r>
      <w:r w:rsidR="006C3542" w:rsidRPr="002102E4">
        <w:rPr>
          <w:rFonts w:asciiTheme="minorHAnsi" w:eastAsiaTheme="minorHAnsi" w:hAnsiTheme="minorHAnsi" w:cstheme="minorBidi"/>
          <w:szCs w:val="22"/>
          <w:lang w:val="es-MX" w:eastAsia="en-US"/>
        </w:rPr>
        <w:t>s certificadas de manera física, sin embargo;</w:t>
      </w:r>
      <w:r w:rsidRPr="002102E4">
        <w:rPr>
          <w:rFonts w:asciiTheme="minorHAnsi" w:eastAsiaTheme="minorHAnsi" w:hAnsiTheme="minorHAnsi" w:cstheme="minorBidi"/>
          <w:szCs w:val="22"/>
          <w:lang w:val="es-MX" w:eastAsia="en-US"/>
        </w:rPr>
        <w:t xml:space="preserve"> </w:t>
      </w:r>
      <w:r w:rsidR="006C3542" w:rsidRPr="002102E4">
        <w:rPr>
          <w:rFonts w:asciiTheme="minorHAnsi" w:eastAsiaTheme="minorHAnsi" w:hAnsiTheme="minorHAnsi" w:cstheme="minorBidi"/>
          <w:szCs w:val="22"/>
          <w:lang w:val="es-MX" w:eastAsia="en-US"/>
        </w:rPr>
        <w:t xml:space="preserve">el Particular se inconformó en el sentido de que se le negó la información y de que la misma no le fue entregada debidamente certificada, tal como fue planteado de manera inicial. </w:t>
      </w:r>
    </w:p>
    <w:p w:rsidR="006C3542" w:rsidRDefault="006C3542" w:rsidP="006C3542">
      <w:pPr>
        <w:pStyle w:val="Prrafodelista"/>
        <w:spacing w:line="360" w:lineRule="auto"/>
        <w:ind w:left="0"/>
        <w:jc w:val="both"/>
        <w:rPr>
          <w:rFonts w:ascii="Palatino Linotype" w:eastAsia="Palatino Linotype" w:hAnsi="Palatino Linotype" w:cs="Palatino Linotype"/>
          <w:bCs/>
          <w:szCs w:val="22"/>
        </w:rPr>
      </w:pPr>
    </w:p>
    <w:p w:rsidR="00B775D8" w:rsidRPr="0041486C" w:rsidRDefault="00B775D8" w:rsidP="00F16D7B">
      <w:pPr>
        <w:pStyle w:val="Textoindependiente"/>
        <w:spacing w:before="163" w:line="360" w:lineRule="auto"/>
        <w:ind w:right="247"/>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Por lo que toda vez que se trata de una “máxima autoridad” de la que se espera el más alto estándar en la promoción y respeto de los derechos humanos y que el hoy recurrente, de manera clara, precisa, contundente e indubitable requirió información pública a la que pretende acceder en su modalidad de copia certificada ya que se aprecia que existe una actitud negligente</w:t>
      </w:r>
      <w:r w:rsidR="0041486C" w:rsidRPr="00636B80">
        <w:rPr>
          <w:sz w:val="16"/>
          <w:szCs w:val="16"/>
        </w:rPr>
        <w:footnoteReference w:id="2"/>
      </w:r>
      <w:r w:rsidRPr="00636B80">
        <w:rPr>
          <w:rFonts w:asciiTheme="minorHAnsi" w:eastAsiaTheme="minorHAnsi" w:hAnsiTheme="minorHAnsi" w:cstheme="minorBidi"/>
          <w:sz w:val="16"/>
          <w:szCs w:val="16"/>
          <w:lang w:val="es-MX"/>
        </w:rPr>
        <w:t xml:space="preserve"> </w:t>
      </w:r>
      <w:r w:rsidRPr="0041486C">
        <w:rPr>
          <w:rFonts w:asciiTheme="minorHAnsi" w:eastAsiaTheme="minorHAnsi" w:hAnsiTheme="minorHAnsi" w:cstheme="minorBidi"/>
          <w:szCs w:val="22"/>
          <w:lang w:val="es-MX"/>
        </w:rPr>
        <w:t xml:space="preserve">que provocó que la solicitud no fuera atendida en los términos de la ley, </w:t>
      </w:r>
      <w:r w:rsidR="00927D8F">
        <w:rPr>
          <w:rFonts w:asciiTheme="minorHAnsi" w:eastAsiaTheme="minorHAnsi" w:hAnsiTheme="minorHAnsi" w:cstheme="minorBidi"/>
          <w:szCs w:val="22"/>
          <w:lang w:val="es-MX"/>
        </w:rPr>
        <w:t xml:space="preserve">ya que </w:t>
      </w:r>
      <w:r w:rsidR="00927D8F" w:rsidRPr="00F16D7B">
        <w:rPr>
          <w:rFonts w:asciiTheme="minorHAnsi" w:eastAsiaTheme="minorHAnsi" w:hAnsiTheme="minorHAnsi" w:cstheme="minorBidi"/>
          <w:szCs w:val="22"/>
          <w:lang w:val="es-MX"/>
        </w:rPr>
        <w:t>no se realizó el turno a las áreas competentes que cuenten con la información o deban tenerla de acuerdo a sus facultades, competencias y funciones</w:t>
      </w:r>
      <w:r w:rsidR="00927D8F" w:rsidRP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por lo que procedería el acceso a las copias certificadas sin que medie el pago de los derechos correspondientes.</w:t>
      </w:r>
    </w:p>
    <w:p w:rsidR="00B775D8" w:rsidRPr="0041486C" w:rsidRDefault="00B775D8" w:rsidP="00F16D7B">
      <w:pPr>
        <w:pStyle w:val="Textoindependiente"/>
        <w:rPr>
          <w:rFonts w:asciiTheme="minorHAnsi" w:eastAsiaTheme="minorHAnsi" w:hAnsiTheme="minorHAnsi" w:cstheme="minorBidi"/>
          <w:szCs w:val="22"/>
          <w:lang w:val="es-MX"/>
        </w:rPr>
      </w:pPr>
    </w:p>
    <w:p w:rsidR="00B775D8" w:rsidRPr="0041486C" w:rsidRDefault="00B775D8" w:rsidP="00F16D7B">
      <w:pPr>
        <w:pStyle w:val="Textoindependiente"/>
        <w:spacing w:line="360" w:lineRule="auto"/>
        <w:ind w:right="246"/>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En ese mismo sentido, al perder el Sujeto Obligado la posibilidad momentánea de acceder a los derechos por la expedición de las copias certificadas, puede ser un incentivo adicional para que, en el futuro, las solicitudes de acceso a la información sean atendidas bajo el más alto estándar que promueva la plena protección del derecho en cuestión.</w:t>
      </w:r>
    </w:p>
    <w:p w:rsidR="00B775D8" w:rsidRPr="0041486C" w:rsidRDefault="00B775D8" w:rsidP="00F16D7B">
      <w:pPr>
        <w:pStyle w:val="Textoindependiente"/>
        <w:rPr>
          <w:rFonts w:asciiTheme="minorHAnsi" w:eastAsiaTheme="minorHAnsi" w:hAnsiTheme="minorHAnsi" w:cstheme="minorBidi"/>
          <w:szCs w:val="22"/>
          <w:lang w:val="es-MX"/>
        </w:rPr>
      </w:pPr>
    </w:p>
    <w:p w:rsidR="00927D8F" w:rsidRPr="00927D8F" w:rsidRDefault="00B775D8" w:rsidP="00F16D7B">
      <w:pPr>
        <w:pStyle w:val="Textoindependiente"/>
        <w:spacing w:before="24" w:line="360" w:lineRule="auto"/>
        <w:ind w:right="195"/>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lastRenderedPageBreak/>
        <w:t xml:space="preserve">Así la cosas, -se insiste- que la respuesta del sujeto Obligado, violó el derecho de acceso a la información pública del RECURRENTE, al no proporcionarle las copias </w:t>
      </w:r>
      <w:r w:rsidR="00927D8F" w:rsidRPr="00927D8F">
        <w:rPr>
          <w:rFonts w:asciiTheme="minorHAnsi" w:eastAsiaTheme="minorHAnsi" w:hAnsiTheme="minorHAnsi" w:cstheme="minorBidi"/>
          <w:szCs w:val="22"/>
          <w:lang w:val="es-MX"/>
        </w:rPr>
        <w:t>certificadas con costo de la información que requería, previo el pago de los derechos correspondientes, es procedente ordenarle la entrega de la información en la modalidad inicialmente requerida pero sin que medie el pago de los derechos toda vez que se acredita una actuación negligente de la autoridad por lo resulta aplicable el artículo 234 de la Ley de Transparencia y Acceso a la Información Pública del Estado de México y Municipios.</w:t>
      </w:r>
    </w:p>
    <w:p w:rsidR="00B775D8" w:rsidRPr="0041486C" w:rsidRDefault="00B775D8" w:rsidP="00927D8F">
      <w:pPr>
        <w:pStyle w:val="Textoindependiente"/>
        <w:spacing w:before="24" w:line="360" w:lineRule="auto"/>
        <w:ind w:left="102" w:right="254"/>
        <w:jc w:val="both"/>
        <w:rPr>
          <w:rFonts w:asciiTheme="minorHAnsi" w:eastAsiaTheme="minorHAnsi" w:hAnsiTheme="minorHAnsi" w:cstheme="minorBidi"/>
          <w:szCs w:val="22"/>
          <w:lang w:val="es-MX"/>
        </w:rPr>
      </w:pPr>
    </w:p>
    <w:p w:rsidR="00B775D8" w:rsidRPr="0041486C" w:rsidRDefault="00B775D8" w:rsidP="00B775D8">
      <w:pPr>
        <w:pStyle w:val="Textoindependiente"/>
        <w:spacing w:before="164" w:line="360" w:lineRule="auto"/>
        <w:ind w:left="102" w:right="197"/>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No se omite manifestar que el ordenar la entrega de la información sin costo por reproducción en el caso de las solicitudes en copias certificadas no irroga afectación alguna al erario público,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rsidR="00B775D8" w:rsidRPr="0041486C" w:rsidRDefault="00B775D8" w:rsidP="00B775D8">
      <w:pPr>
        <w:pStyle w:val="Textoindependiente"/>
        <w:spacing w:before="12"/>
        <w:rPr>
          <w:rFonts w:asciiTheme="minorHAnsi" w:eastAsiaTheme="minorHAnsi" w:hAnsiTheme="minorHAnsi" w:cstheme="minorBidi"/>
          <w:szCs w:val="22"/>
          <w:lang w:val="es-MX"/>
        </w:rPr>
      </w:pPr>
    </w:p>
    <w:p w:rsidR="00B775D8" w:rsidRPr="0041486C" w:rsidRDefault="00B775D8" w:rsidP="00B775D8">
      <w:pPr>
        <w:pStyle w:val="Textoindependiente"/>
        <w:spacing w:line="360" w:lineRule="auto"/>
        <w:ind w:left="102" w:right="202"/>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Los fines recaudatorios son una limitante de la garantía constitucional del derecho de acceso a la información y contravienen su naturaleza general, ya que inhiben indebidamente el ejercicio amplio y completo del derecho de acceso a la información.</w:t>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B775D8" w:rsidP="0041486C">
      <w:pPr>
        <w:pStyle w:val="Textoindependiente"/>
        <w:spacing w:before="163" w:line="360" w:lineRule="auto"/>
        <w:ind w:left="102" w:right="195"/>
        <w:jc w:val="both"/>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En materia de costos según refiere el Código Financiero del Estado de México, en el artículo 148, se establecen los derechos por la expedición de documentos solicitados en el ejercicio del derecho a la información pública, no estableciéndose un máximo de hojas para determinar el no cobro, lo cual no abona al ejercicio del Control de</w:t>
      </w:r>
      <w:r w:rsid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 xml:space="preserve">Convencionalidad; mismo que obliga a todas las autoridades, a determinar sobre aquello que más beneficie a </w:t>
      </w:r>
      <w:r w:rsidRPr="0041486C">
        <w:rPr>
          <w:rFonts w:asciiTheme="minorHAnsi" w:eastAsiaTheme="minorHAnsi" w:hAnsiTheme="minorHAnsi" w:cstheme="minorBidi"/>
          <w:szCs w:val="22"/>
          <w:lang w:val="es-MX"/>
        </w:rPr>
        <w:lastRenderedPageBreak/>
        <w:t>la persona, garantizando en todo momento, sus derechos.</w:t>
      </w:r>
    </w:p>
    <w:p w:rsidR="00B775D8" w:rsidRPr="0041486C" w:rsidRDefault="00B775D8" w:rsidP="00B775D8">
      <w:pPr>
        <w:pStyle w:val="Textoindependiente"/>
        <w:rPr>
          <w:rFonts w:asciiTheme="minorHAnsi" w:eastAsiaTheme="minorHAnsi" w:hAnsiTheme="minorHAnsi" w:cstheme="minorBidi"/>
          <w:szCs w:val="22"/>
          <w:lang w:val="es-MX"/>
        </w:rPr>
      </w:pPr>
    </w:p>
    <w:p w:rsidR="00B775D8" w:rsidRPr="0041486C" w:rsidRDefault="00F90B70" w:rsidP="0041486C">
      <w:pPr>
        <w:pStyle w:val="Textoindependiente"/>
        <w:spacing w:before="163" w:line="360" w:lineRule="auto"/>
        <w:ind w:left="102" w:right="196"/>
        <w:jc w:val="both"/>
        <w:rPr>
          <w:rFonts w:asciiTheme="minorHAnsi" w:eastAsiaTheme="minorHAnsi" w:hAnsiTheme="minorHAnsi" w:cstheme="minorBidi"/>
          <w:szCs w:val="22"/>
          <w:lang w:val="es-MX"/>
        </w:rPr>
      </w:pPr>
      <w:r>
        <w:rPr>
          <w:rFonts w:asciiTheme="minorHAnsi" w:eastAsiaTheme="minorHAnsi" w:hAnsiTheme="minorHAnsi" w:cstheme="minorBidi"/>
          <w:szCs w:val="22"/>
          <w:lang w:val="es-MX"/>
        </w:rPr>
        <w:t>L</w:t>
      </w:r>
      <w:r w:rsidR="00B775D8" w:rsidRPr="0041486C">
        <w:rPr>
          <w:rFonts w:asciiTheme="minorHAnsi" w:eastAsiaTheme="minorHAnsi" w:hAnsiTheme="minorHAnsi" w:cstheme="minorBidi"/>
          <w:szCs w:val="22"/>
          <w:lang w:val="es-MX"/>
        </w:rPr>
        <w:t>a Relatoría Especial para la Libertad de Expresión de la Organización de Estados Americanos, en su Estudio Especial sobre el Derecho de Acceso a la Información, en materia de acceso a la información establece un punto esencial de este derecho que consiste en la no onerosidad del proceso de suministro de información. En realidad, este elemento es una garantía para el ejercicio de este derecho sobre los que se ensayaron distintos sistemas para asegurar que el costo de la solicitud y su suministro no sea excesivo y suponga un desincentivo para las personas. Reiterando más adelante en su Informe El Derecho de Acceso a la Información en el marco jurídico interamericano que las solicitudes de información al Estado, deben cumplir dentro de otras características la de ser “gratuita o de bajo</w:t>
      </w:r>
      <w:r w:rsidR="0041486C">
        <w:rPr>
          <w:rFonts w:asciiTheme="minorHAnsi" w:eastAsiaTheme="minorHAnsi" w:hAnsiTheme="minorHAnsi" w:cstheme="minorBidi"/>
          <w:szCs w:val="22"/>
          <w:lang w:val="es-MX"/>
        </w:rPr>
        <w:t xml:space="preserve"> </w:t>
      </w:r>
      <w:r w:rsidR="00B775D8" w:rsidRPr="0041486C">
        <w:rPr>
          <w:rFonts w:asciiTheme="minorHAnsi" w:eastAsiaTheme="minorHAnsi" w:hAnsiTheme="minorHAnsi" w:cstheme="minorBidi"/>
          <w:szCs w:val="22"/>
          <w:lang w:val="es-MX"/>
        </w:rPr>
        <w:t>costo, de tal manera que no desaliente las solicitudes de información.” Lo mismo se recalca en el Caso Barreto Leiva vs. Venezuela, Sentencia de 17 de noviembre de 2009.</w:t>
      </w:r>
    </w:p>
    <w:p w:rsidR="00B775D8" w:rsidRPr="0041486C" w:rsidRDefault="00B775D8" w:rsidP="00B775D8">
      <w:pPr>
        <w:pStyle w:val="Textoindependiente"/>
        <w:spacing w:before="24" w:line="360" w:lineRule="auto"/>
        <w:ind w:left="102"/>
        <w:rPr>
          <w:rFonts w:asciiTheme="minorHAnsi" w:eastAsiaTheme="minorHAnsi" w:hAnsiTheme="minorHAnsi" w:cstheme="minorBidi"/>
          <w:szCs w:val="22"/>
          <w:lang w:val="es-MX"/>
        </w:rPr>
      </w:pPr>
    </w:p>
    <w:p w:rsidR="00B775D8" w:rsidRPr="0041486C" w:rsidRDefault="00B775D8" w:rsidP="00B775D8">
      <w:pPr>
        <w:pStyle w:val="Textoindependiente"/>
        <w:spacing w:before="24" w:line="360" w:lineRule="auto"/>
        <w:ind w:left="102"/>
        <w:rPr>
          <w:rFonts w:asciiTheme="minorHAnsi" w:eastAsiaTheme="minorHAnsi" w:hAnsiTheme="minorHAnsi" w:cstheme="minorBidi"/>
          <w:szCs w:val="22"/>
          <w:lang w:val="es-MX"/>
        </w:rPr>
      </w:pPr>
      <w:r w:rsidRPr="0041486C">
        <w:rPr>
          <w:rFonts w:asciiTheme="minorHAnsi" w:eastAsiaTheme="minorHAnsi" w:hAnsiTheme="minorHAnsi" w:cstheme="minorBidi"/>
          <w:szCs w:val="22"/>
          <w:lang w:val="es-MX"/>
        </w:rPr>
        <w:t>Lo anterior expone razones suficientes para la emisión y presentación del presente</w:t>
      </w:r>
      <w:r w:rsidR="0041486C">
        <w:rPr>
          <w:rFonts w:asciiTheme="minorHAnsi" w:eastAsiaTheme="minorHAnsi" w:hAnsiTheme="minorHAnsi" w:cstheme="minorBidi"/>
          <w:szCs w:val="22"/>
          <w:lang w:val="es-MX"/>
        </w:rPr>
        <w:t xml:space="preserve"> </w:t>
      </w:r>
      <w:r w:rsidRPr="0041486C">
        <w:rPr>
          <w:rFonts w:asciiTheme="minorHAnsi" w:eastAsiaTheme="minorHAnsi" w:hAnsiTheme="minorHAnsi" w:cstheme="minorBidi"/>
          <w:szCs w:val="22"/>
          <w:lang w:val="es-MX"/>
        </w:rPr>
        <w:t>Voto Particular.---------------------------------------------------------------------------------------------------------------------------------------------------------------------------------------------------------------------------------------------------------------------------------------------------------------------------</w:t>
      </w:r>
      <w:r w:rsidRPr="0041486C">
        <w:rPr>
          <w:rFonts w:asciiTheme="minorHAnsi" w:eastAsiaTheme="minorHAnsi" w:hAnsiTheme="minorHAnsi" w:cstheme="minorBidi"/>
          <w:szCs w:val="22"/>
          <w:lang w:val="es-MX"/>
        </w:rPr>
        <w:tab/>
      </w:r>
    </w:p>
    <w:p w:rsidR="00B775D8" w:rsidRPr="0041486C" w:rsidRDefault="00B775D8" w:rsidP="00B775D8">
      <w:pPr>
        <w:spacing w:after="0" w:line="360" w:lineRule="auto"/>
        <w:jc w:val="both"/>
        <w:rPr>
          <w:sz w:val="24"/>
        </w:rPr>
      </w:pPr>
    </w:p>
    <w:p w:rsidR="00B775D8" w:rsidRPr="0041486C" w:rsidRDefault="00B775D8" w:rsidP="00B775D8">
      <w:pPr>
        <w:spacing w:after="0" w:line="360" w:lineRule="auto"/>
        <w:jc w:val="both"/>
        <w:rPr>
          <w:sz w:val="24"/>
        </w:rPr>
      </w:pPr>
    </w:p>
    <w:p w:rsidR="00B775D8" w:rsidRPr="0041486C" w:rsidRDefault="00B775D8" w:rsidP="00B775D8">
      <w:pPr>
        <w:spacing w:after="0" w:line="360" w:lineRule="auto"/>
        <w:jc w:val="both"/>
        <w:rPr>
          <w:sz w:val="24"/>
        </w:rPr>
      </w:pPr>
    </w:p>
    <w:p w:rsidR="00B775D8" w:rsidRPr="0041486C" w:rsidRDefault="00B775D8" w:rsidP="00812CB2">
      <w:pPr>
        <w:spacing w:after="0" w:line="360" w:lineRule="auto"/>
        <w:jc w:val="both"/>
        <w:rPr>
          <w:sz w:val="24"/>
        </w:rPr>
      </w:pPr>
    </w:p>
    <w:p w:rsidR="00BD3823" w:rsidRPr="0041486C" w:rsidRDefault="00BD3823" w:rsidP="00812CB2">
      <w:pPr>
        <w:rPr>
          <w:sz w:val="24"/>
        </w:rPr>
      </w:pPr>
    </w:p>
    <w:p w:rsidR="00F12682" w:rsidRPr="00C569A8" w:rsidRDefault="00F12682" w:rsidP="00812CB2">
      <w:bookmarkStart w:id="0" w:name="_GoBack"/>
      <w:bookmarkEnd w:id="0"/>
    </w:p>
    <w:sectPr w:rsidR="00F12682" w:rsidRPr="00C569A8" w:rsidSect="001F7B38">
      <w:headerReference w:type="even" r:id="rId8"/>
      <w:headerReference w:type="default" r:id="rId9"/>
      <w:footerReference w:type="even" r:id="rId10"/>
      <w:footerReference w:type="default" r:id="rId11"/>
      <w:headerReference w:type="first" r:id="rId12"/>
      <w:footerReference w:type="first" r:id="rId13"/>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3DB" w:rsidRDefault="00B833DB" w:rsidP="00907451">
      <w:pPr>
        <w:spacing w:after="0" w:line="240" w:lineRule="auto"/>
      </w:pPr>
      <w:r>
        <w:separator/>
      </w:r>
    </w:p>
  </w:endnote>
  <w:endnote w:type="continuationSeparator" w:id="0">
    <w:p w:rsidR="00B833DB" w:rsidRDefault="00B833DB"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90" w:rsidRDefault="00960D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6C" w:rsidRPr="00986599" w:rsidRDefault="0041486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20834">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20834">
      <w:rPr>
        <w:rFonts w:ascii="Arial" w:hAnsi="Arial" w:cs="Arial"/>
        <w:b/>
        <w:bCs/>
        <w:noProof/>
        <w:sz w:val="20"/>
        <w:szCs w:val="20"/>
      </w:rPr>
      <w:t>8</w:t>
    </w:r>
    <w:r w:rsidRPr="00986599">
      <w:rPr>
        <w:rFonts w:ascii="Arial" w:hAnsi="Arial" w:cs="Arial"/>
        <w:b/>
        <w:bCs/>
        <w:sz w:val="20"/>
        <w:szCs w:val="20"/>
      </w:rPr>
      <w:fldChar w:fldCharType="end"/>
    </w:r>
  </w:p>
  <w:p w:rsidR="0041486C" w:rsidRDefault="0041486C" w:rsidP="007F0307">
    <w:pPr>
      <w:pStyle w:val="Piedepgina"/>
      <w:jc w:val="right"/>
    </w:pPr>
  </w:p>
  <w:p w:rsidR="0041486C" w:rsidRDefault="0041486C"/>
  <w:p w:rsidR="0041486C" w:rsidRDefault="004148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90" w:rsidRDefault="00960D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3DB" w:rsidRDefault="00B833DB" w:rsidP="00907451">
      <w:pPr>
        <w:spacing w:after="0" w:line="240" w:lineRule="auto"/>
      </w:pPr>
      <w:r>
        <w:separator/>
      </w:r>
    </w:p>
  </w:footnote>
  <w:footnote w:type="continuationSeparator" w:id="0">
    <w:p w:rsidR="00B833DB" w:rsidRDefault="00B833DB" w:rsidP="00907451">
      <w:pPr>
        <w:spacing w:after="0" w:line="240" w:lineRule="auto"/>
      </w:pPr>
      <w:r>
        <w:continuationSeparator/>
      </w:r>
    </w:p>
  </w:footnote>
  <w:footnote w:id="1">
    <w:p w:rsidR="0041486C" w:rsidRPr="0041486C" w:rsidRDefault="0041486C" w:rsidP="0041486C">
      <w:pPr>
        <w:spacing w:after="0" w:line="240" w:lineRule="auto"/>
        <w:jc w:val="both"/>
        <w:rPr>
          <w:sz w:val="20"/>
          <w:szCs w:val="20"/>
        </w:rPr>
      </w:pPr>
      <w:r>
        <w:rPr>
          <w:rStyle w:val="Refdenotaalpie"/>
        </w:rPr>
        <w:footnoteRef/>
      </w:r>
      <w:r>
        <w:t xml:space="preserve"> </w:t>
      </w:r>
      <w:r w:rsidRPr="0041486C">
        <w:rPr>
          <w:sz w:val="20"/>
          <w:szCs w:val="20"/>
        </w:rPr>
        <w:t>Carbonell, Miguel y Bustillos, Roqueñi, (Coordinadores), Hacia una democracia de contenidos: La reforma constitucional en materia de transparencia, Universidad Nacional Autónoma de México, Instituto Federal de Acceso a la Información e Instituto de Acceso a la Información Pública del Distrito Federal, México, 2008, Páginas 11 y 12</w:t>
      </w:r>
    </w:p>
    <w:p w:rsidR="0041486C" w:rsidRDefault="0041486C">
      <w:pPr>
        <w:pStyle w:val="Textonotapie"/>
      </w:pPr>
    </w:p>
  </w:footnote>
  <w:footnote w:id="2">
    <w:p w:rsidR="0041486C" w:rsidRDefault="0041486C" w:rsidP="0041486C">
      <w:pPr>
        <w:pStyle w:val="Textonotapie"/>
        <w:jc w:val="both"/>
      </w:pPr>
      <w:r>
        <w:rPr>
          <w:rStyle w:val="Refdenotaalpie"/>
        </w:rPr>
        <w:footnoteRef/>
      </w:r>
      <w:r>
        <w:t xml:space="preserve"> </w:t>
      </w:r>
      <w:r w:rsidRPr="0041486C">
        <w:t>Entendiendo por negligente la más simple y llana definición contenida en el Diccionario de la Lengua Española: “Negligente. Del lat. neglĭgens, -entis, part. act. de negligĕre 'descuidar'. 1. adj. descuidado. U. t. c. s. 2. adj. Falto de aplicación. U. t. c. s.” consultado el 22 de marzo de 2022 en https://dle.rae.es/negligente.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6C" w:rsidRDefault="0041486C">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41486C" w:rsidRDefault="0041486C"/>
  <w:p w:rsidR="0041486C" w:rsidRDefault="004148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41486C" w:rsidRPr="003E102C" w:rsidTr="00256959">
      <w:trPr>
        <w:trHeight w:val="1832"/>
      </w:trPr>
      <w:tc>
        <w:tcPr>
          <w:tcW w:w="2835" w:type="dxa"/>
          <w:vAlign w:val="bottom"/>
        </w:tcPr>
        <w:p w:rsidR="0041486C" w:rsidRDefault="0041486C" w:rsidP="00282741">
          <w:pPr>
            <w:pStyle w:val="Encabezado"/>
            <w:tabs>
              <w:tab w:val="center" w:pos="2614"/>
            </w:tabs>
            <w:ind w:left="-255"/>
          </w:pPr>
          <w:r>
            <w:rPr>
              <w:noProof/>
              <w:sz w:val="10"/>
              <w:szCs w:val="10"/>
              <w:lang w:val="es-MX" w:eastAsia="es-MX"/>
            </w:rPr>
            <w:drawing>
              <wp:inline distT="0" distB="0" distL="0" distR="0" wp14:anchorId="189231AB" wp14:editId="3B883F05">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41486C" w:rsidRDefault="0041486C" w:rsidP="00282741">
          <w:pPr>
            <w:pStyle w:val="Encabezado"/>
            <w:tabs>
              <w:tab w:val="center" w:pos="2614"/>
            </w:tabs>
          </w:pPr>
        </w:p>
      </w:tc>
      <w:tc>
        <w:tcPr>
          <w:tcW w:w="6521" w:type="dxa"/>
          <w:vAlign w:val="center"/>
        </w:tcPr>
        <w:p w:rsidR="0041486C" w:rsidRPr="003E102C" w:rsidRDefault="0041486C"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rsidR="00314CC5" w:rsidRDefault="0041486C" w:rsidP="00154BEE">
          <w:pPr>
            <w:pStyle w:val="Encabezado"/>
            <w:ind w:left="-108" w:right="-250"/>
            <w:jc w:val="both"/>
            <w:rPr>
              <w:rFonts w:eastAsia="Calibri" w:cs="Tahoma"/>
              <w:b/>
              <w:color w:val="0D0D0D"/>
            </w:rPr>
          </w:pPr>
          <w:r w:rsidRPr="003E102C">
            <w:rPr>
              <w:rFonts w:ascii="Palatino Linotype" w:hAnsi="Palatino Linotype" w:cs="Tahoma"/>
              <w:b/>
            </w:rPr>
            <w:t xml:space="preserve">Recurso de Revisión: </w:t>
          </w:r>
          <w:r w:rsidR="00314CC5">
            <w:rPr>
              <w:rFonts w:eastAsia="Calibri" w:cs="Tahoma"/>
              <w:b/>
              <w:color w:val="0D0D0D"/>
            </w:rPr>
            <w:t>11381/INFOEM/IP/RR/2022</w:t>
          </w:r>
        </w:p>
        <w:p w:rsidR="0041486C" w:rsidRDefault="0041486C" w:rsidP="00154BEE">
          <w:pPr>
            <w:pStyle w:val="Encabezado"/>
            <w:ind w:left="-108" w:right="-250"/>
            <w:jc w:val="both"/>
            <w:rPr>
              <w:rFonts w:ascii="Palatino Linotype" w:eastAsia="Palatino Linotype" w:hAnsi="Palatino Linotype" w:cs="Palatino Linotype"/>
            </w:rPr>
          </w:pPr>
          <w:r>
            <w:rPr>
              <w:rFonts w:ascii="Palatino Linotype" w:hAnsi="Palatino Linotype" w:cs="Tahoma"/>
              <w:b/>
            </w:rPr>
            <w:t>Sujeto Obligado:</w:t>
          </w:r>
          <w:r>
            <w:rPr>
              <w:rFonts w:ascii="Palatino Linotype" w:eastAsia="Palatino Linotype" w:hAnsi="Palatino Linotype" w:cs="Palatino Linotype"/>
              <w:b/>
            </w:rPr>
            <w:t xml:space="preserve"> </w:t>
          </w:r>
          <w:r w:rsidR="00314CC5">
            <w:rPr>
              <w:rFonts w:eastAsia="Calibri" w:cs="Tahoma"/>
              <w:color w:val="0D0D0D"/>
            </w:rPr>
            <w:t>Ayuntamiento de Luvianos</w:t>
          </w:r>
          <w:r w:rsidRPr="00B775D8">
            <w:rPr>
              <w:rFonts w:ascii="Palatino Linotype" w:eastAsia="Palatino Linotype" w:hAnsi="Palatino Linotype" w:cs="Palatino Linotype"/>
            </w:rPr>
            <w:t>.</w:t>
          </w:r>
        </w:p>
        <w:p w:rsidR="0041486C" w:rsidRPr="00EA5189" w:rsidRDefault="0041486C" w:rsidP="00960D90">
          <w:pPr>
            <w:pStyle w:val="Encabezado"/>
            <w:ind w:left="-108" w:right="-250"/>
            <w:jc w:val="both"/>
            <w:rPr>
              <w:rFonts w:ascii="Palatino Linotype" w:hAnsi="Palatino Linotype" w:cs="Tahoma"/>
              <w:b/>
            </w:rPr>
          </w:pPr>
          <w:r>
            <w:rPr>
              <w:rFonts w:ascii="Palatino Linotype" w:hAnsi="Palatino Linotype" w:cs="Tahoma"/>
              <w:b/>
            </w:rPr>
            <w:t>Comisionad</w:t>
          </w:r>
          <w:r w:rsidR="00314CC5">
            <w:rPr>
              <w:rFonts w:ascii="Palatino Linotype" w:hAnsi="Palatino Linotype" w:cs="Tahoma"/>
              <w:b/>
            </w:rPr>
            <w:t>o</w:t>
          </w:r>
          <w:r>
            <w:rPr>
              <w:rFonts w:ascii="Palatino Linotype" w:hAnsi="Palatino Linotype" w:cs="Tahoma"/>
              <w:b/>
            </w:rPr>
            <w:t xml:space="preserve"> Ponente: </w:t>
          </w:r>
          <w:r w:rsidR="00960D90">
            <w:rPr>
              <w:rFonts w:ascii="Palatino Linotype" w:eastAsia="Palatino Linotype" w:hAnsi="Palatino Linotype" w:cs="Palatino Linotype"/>
            </w:rPr>
            <w:t>Luis Gustavo Parra Noriega</w:t>
          </w:r>
        </w:p>
      </w:tc>
    </w:tr>
  </w:tbl>
  <w:p w:rsidR="0041486C" w:rsidRDefault="0041486C" w:rsidP="001F7B38">
    <w:pPr>
      <w:pStyle w:val="Encabezado"/>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90" w:rsidRDefault="00960D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9FC210D"/>
    <w:multiLevelType w:val="hybridMultilevel"/>
    <w:tmpl w:val="F23A41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A96493"/>
    <w:multiLevelType w:val="hybridMultilevel"/>
    <w:tmpl w:val="8DBA9636"/>
    <w:lvl w:ilvl="0" w:tplc="08C840F4">
      <w:start w:val="1"/>
      <w:numFmt w:val="decimal"/>
      <w:lvlText w:val="%1."/>
      <w:lvlJc w:val="left"/>
      <w:pPr>
        <w:ind w:left="720" w:hanging="360"/>
      </w:pPr>
      <w:rPr>
        <w:rFonts w:ascii="Palatino Linotype" w:eastAsia="Palatino Linotype" w:hAnsi="Palatino Linotype" w:cs="Palatino Linotype"/>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5"/>
  </w:num>
  <w:num w:numId="2">
    <w:abstractNumId w:val="8"/>
  </w:num>
  <w:num w:numId="3">
    <w:abstractNumId w:val="7"/>
  </w:num>
  <w:num w:numId="4">
    <w:abstractNumId w:val="11"/>
  </w:num>
  <w:num w:numId="5">
    <w:abstractNumId w:val="0"/>
  </w:num>
  <w:num w:numId="6">
    <w:abstractNumId w:val="3"/>
  </w:num>
  <w:num w:numId="7">
    <w:abstractNumId w:val="4"/>
  </w:num>
  <w:num w:numId="8">
    <w:abstractNumId w:val="10"/>
  </w:num>
  <w:num w:numId="9">
    <w:abstractNumId w:val="9"/>
  </w:num>
  <w:num w:numId="10">
    <w:abstractNumId w:val="2"/>
  </w:num>
  <w:num w:numId="11">
    <w:abstractNumId w:val="1"/>
  </w:num>
  <w:num w:numId="12">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14FF"/>
    <w:rsid w:val="00003415"/>
    <w:rsid w:val="00003CE8"/>
    <w:rsid w:val="00012664"/>
    <w:rsid w:val="000128A8"/>
    <w:rsid w:val="00012E0B"/>
    <w:rsid w:val="00020834"/>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4BEE"/>
    <w:rsid w:val="00155046"/>
    <w:rsid w:val="0015586F"/>
    <w:rsid w:val="00164C93"/>
    <w:rsid w:val="00164DA6"/>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E169C"/>
    <w:rsid w:val="001E3B4A"/>
    <w:rsid w:val="001F02F2"/>
    <w:rsid w:val="001F7B38"/>
    <w:rsid w:val="002029D7"/>
    <w:rsid w:val="002073F9"/>
    <w:rsid w:val="002102E4"/>
    <w:rsid w:val="0021233A"/>
    <w:rsid w:val="00212E59"/>
    <w:rsid w:val="00215353"/>
    <w:rsid w:val="00222385"/>
    <w:rsid w:val="002243CB"/>
    <w:rsid w:val="00232C29"/>
    <w:rsid w:val="00235BA8"/>
    <w:rsid w:val="00250084"/>
    <w:rsid w:val="0025033B"/>
    <w:rsid w:val="00253645"/>
    <w:rsid w:val="00255951"/>
    <w:rsid w:val="00256959"/>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4CC5"/>
    <w:rsid w:val="00316B10"/>
    <w:rsid w:val="003277EB"/>
    <w:rsid w:val="00334867"/>
    <w:rsid w:val="00334A53"/>
    <w:rsid w:val="00337419"/>
    <w:rsid w:val="00342485"/>
    <w:rsid w:val="00345DBD"/>
    <w:rsid w:val="00347C52"/>
    <w:rsid w:val="00350A00"/>
    <w:rsid w:val="00355832"/>
    <w:rsid w:val="0035774D"/>
    <w:rsid w:val="0036408D"/>
    <w:rsid w:val="003707EB"/>
    <w:rsid w:val="00377A63"/>
    <w:rsid w:val="00386268"/>
    <w:rsid w:val="0038757F"/>
    <w:rsid w:val="00390D90"/>
    <w:rsid w:val="00394A51"/>
    <w:rsid w:val="003A11C1"/>
    <w:rsid w:val="003A2FA3"/>
    <w:rsid w:val="003A62A7"/>
    <w:rsid w:val="003A795B"/>
    <w:rsid w:val="003A7B43"/>
    <w:rsid w:val="003B33CF"/>
    <w:rsid w:val="003B5CC9"/>
    <w:rsid w:val="003F2744"/>
    <w:rsid w:val="00406CA5"/>
    <w:rsid w:val="0041486C"/>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5E38"/>
    <w:rsid w:val="00456467"/>
    <w:rsid w:val="00460287"/>
    <w:rsid w:val="004653B1"/>
    <w:rsid w:val="004702A0"/>
    <w:rsid w:val="004802D1"/>
    <w:rsid w:val="00482614"/>
    <w:rsid w:val="00485ADE"/>
    <w:rsid w:val="0048769D"/>
    <w:rsid w:val="0049111C"/>
    <w:rsid w:val="004967C2"/>
    <w:rsid w:val="004A7024"/>
    <w:rsid w:val="004A749E"/>
    <w:rsid w:val="004B4084"/>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2E6"/>
    <w:rsid w:val="00551B01"/>
    <w:rsid w:val="005549ED"/>
    <w:rsid w:val="00554BF1"/>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4EEE"/>
    <w:rsid w:val="00625413"/>
    <w:rsid w:val="00636B80"/>
    <w:rsid w:val="006424B6"/>
    <w:rsid w:val="00642FEF"/>
    <w:rsid w:val="00664E38"/>
    <w:rsid w:val="0067083B"/>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C3542"/>
    <w:rsid w:val="006D6BAA"/>
    <w:rsid w:val="006E048C"/>
    <w:rsid w:val="006E64D7"/>
    <w:rsid w:val="006E7F49"/>
    <w:rsid w:val="006F1A1E"/>
    <w:rsid w:val="006F346D"/>
    <w:rsid w:val="00700E4D"/>
    <w:rsid w:val="007046AB"/>
    <w:rsid w:val="007053A8"/>
    <w:rsid w:val="007119EA"/>
    <w:rsid w:val="00713B16"/>
    <w:rsid w:val="00715F8B"/>
    <w:rsid w:val="0072288B"/>
    <w:rsid w:val="007252AA"/>
    <w:rsid w:val="00733946"/>
    <w:rsid w:val="00737BBE"/>
    <w:rsid w:val="00741B33"/>
    <w:rsid w:val="00743BDE"/>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7F2434"/>
    <w:rsid w:val="00807896"/>
    <w:rsid w:val="00807B02"/>
    <w:rsid w:val="00812BA8"/>
    <w:rsid w:val="00812CB2"/>
    <w:rsid w:val="00817AA2"/>
    <w:rsid w:val="00824149"/>
    <w:rsid w:val="0082523E"/>
    <w:rsid w:val="00825FB4"/>
    <w:rsid w:val="0084099F"/>
    <w:rsid w:val="0085366A"/>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C72F2"/>
    <w:rsid w:val="008D108C"/>
    <w:rsid w:val="008E2933"/>
    <w:rsid w:val="008E3980"/>
    <w:rsid w:val="008E3E2C"/>
    <w:rsid w:val="008E41C5"/>
    <w:rsid w:val="008E5E16"/>
    <w:rsid w:val="008F1DDB"/>
    <w:rsid w:val="008F1E42"/>
    <w:rsid w:val="008F24F5"/>
    <w:rsid w:val="00902BEC"/>
    <w:rsid w:val="00907451"/>
    <w:rsid w:val="00921613"/>
    <w:rsid w:val="00922792"/>
    <w:rsid w:val="00927D8F"/>
    <w:rsid w:val="00935EDE"/>
    <w:rsid w:val="00943ECF"/>
    <w:rsid w:val="009530AD"/>
    <w:rsid w:val="009549EF"/>
    <w:rsid w:val="00956FEF"/>
    <w:rsid w:val="00960D90"/>
    <w:rsid w:val="009611D3"/>
    <w:rsid w:val="00962155"/>
    <w:rsid w:val="00966EC6"/>
    <w:rsid w:val="00971811"/>
    <w:rsid w:val="0097337C"/>
    <w:rsid w:val="009851E0"/>
    <w:rsid w:val="0098525D"/>
    <w:rsid w:val="0098633B"/>
    <w:rsid w:val="00991D2C"/>
    <w:rsid w:val="009974A8"/>
    <w:rsid w:val="009A1E66"/>
    <w:rsid w:val="009A3AFC"/>
    <w:rsid w:val="009A4C82"/>
    <w:rsid w:val="009A5DD7"/>
    <w:rsid w:val="009B0AA8"/>
    <w:rsid w:val="009B77B1"/>
    <w:rsid w:val="009B7800"/>
    <w:rsid w:val="009C1A8B"/>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C5C"/>
    <w:rsid w:val="00A83FF4"/>
    <w:rsid w:val="00A96272"/>
    <w:rsid w:val="00AA1E2A"/>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4E3F"/>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4BEB"/>
    <w:rsid w:val="00B75F92"/>
    <w:rsid w:val="00B775D8"/>
    <w:rsid w:val="00B80C9C"/>
    <w:rsid w:val="00B833DB"/>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5C57"/>
    <w:rsid w:val="00C26DAC"/>
    <w:rsid w:val="00C40418"/>
    <w:rsid w:val="00C44E15"/>
    <w:rsid w:val="00C465A1"/>
    <w:rsid w:val="00C46764"/>
    <w:rsid w:val="00C5358D"/>
    <w:rsid w:val="00C53ECF"/>
    <w:rsid w:val="00C569A8"/>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C73E1"/>
    <w:rsid w:val="00CD27D3"/>
    <w:rsid w:val="00CD457B"/>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17A6"/>
    <w:rsid w:val="00D85629"/>
    <w:rsid w:val="00D861D8"/>
    <w:rsid w:val="00D94CDB"/>
    <w:rsid w:val="00D957D0"/>
    <w:rsid w:val="00DA3926"/>
    <w:rsid w:val="00DA7E3F"/>
    <w:rsid w:val="00DB416E"/>
    <w:rsid w:val="00DB70E3"/>
    <w:rsid w:val="00DC4E1C"/>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5921"/>
    <w:rsid w:val="00E77FBE"/>
    <w:rsid w:val="00E87B44"/>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682"/>
    <w:rsid w:val="00F13DA6"/>
    <w:rsid w:val="00F16D7B"/>
    <w:rsid w:val="00F20E02"/>
    <w:rsid w:val="00F335B7"/>
    <w:rsid w:val="00F3690F"/>
    <w:rsid w:val="00F43FDE"/>
    <w:rsid w:val="00F466F2"/>
    <w:rsid w:val="00F46B79"/>
    <w:rsid w:val="00F50A38"/>
    <w:rsid w:val="00F54751"/>
    <w:rsid w:val="00F62FE1"/>
    <w:rsid w:val="00F65507"/>
    <w:rsid w:val="00F76B05"/>
    <w:rsid w:val="00F90B70"/>
    <w:rsid w:val="00F97255"/>
    <w:rsid w:val="00F974AA"/>
    <w:rsid w:val="00FA32E0"/>
    <w:rsid w:val="00FB130A"/>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B775D8"/>
    <w:pPr>
      <w:widowControl w:val="0"/>
      <w:autoSpaceDE w:val="0"/>
      <w:autoSpaceDN w:val="0"/>
      <w:spacing w:after="0" w:line="240" w:lineRule="auto"/>
    </w:pPr>
    <w:rPr>
      <w:rFonts w:ascii="Palatino Linotype" w:eastAsia="Palatino Linotype" w:hAnsi="Palatino Linotype" w:cs="Palatino Linotype"/>
      <w:sz w:val="24"/>
      <w:szCs w:val="24"/>
      <w:lang w:val="es-ES"/>
    </w:rPr>
  </w:style>
  <w:style w:type="character" w:customStyle="1" w:styleId="TextoindependienteCar">
    <w:name w:val="Texto independiente Car"/>
    <w:basedOn w:val="Fuentedeprrafopredeter"/>
    <w:link w:val="Textoindependiente"/>
    <w:uiPriority w:val="1"/>
    <w:rsid w:val="00B775D8"/>
    <w:rPr>
      <w:rFonts w:ascii="Palatino Linotype" w:eastAsia="Palatino Linotype" w:hAnsi="Palatino Linotype" w:cs="Palatino Linotype"/>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149905976">
      <w:bodyDiv w:val="1"/>
      <w:marLeft w:val="0"/>
      <w:marRight w:val="0"/>
      <w:marTop w:val="0"/>
      <w:marBottom w:val="0"/>
      <w:divBdr>
        <w:top w:val="none" w:sz="0" w:space="0" w:color="auto"/>
        <w:left w:val="none" w:sz="0" w:space="0" w:color="auto"/>
        <w:bottom w:val="none" w:sz="0" w:space="0" w:color="auto"/>
        <w:right w:val="none" w:sz="0" w:space="0" w:color="auto"/>
      </w:divBdr>
    </w:div>
    <w:div w:id="204831887">
      <w:bodyDiv w:val="1"/>
      <w:marLeft w:val="0"/>
      <w:marRight w:val="0"/>
      <w:marTop w:val="0"/>
      <w:marBottom w:val="0"/>
      <w:divBdr>
        <w:top w:val="none" w:sz="0" w:space="0" w:color="auto"/>
        <w:left w:val="none" w:sz="0" w:space="0" w:color="auto"/>
        <w:bottom w:val="none" w:sz="0" w:space="0" w:color="auto"/>
        <w:right w:val="none" w:sz="0" w:space="0" w:color="auto"/>
      </w:divBdr>
    </w:div>
    <w:div w:id="253712390">
      <w:bodyDiv w:val="1"/>
      <w:marLeft w:val="0"/>
      <w:marRight w:val="0"/>
      <w:marTop w:val="0"/>
      <w:marBottom w:val="0"/>
      <w:divBdr>
        <w:top w:val="none" w:sz="0" w:space="0" w:color="auto"/>
        <w:left w:val="none" w:sz="0" w:space="0" w:color="auto"/>
        <w:bottom w:val="none" w:sz="0" w:space="0" w:color="auto"/>
        <w:right w:val="none" w:sz="0" w:space="0" w:color="auto"/>
      </w:divBdr>
    </w:div>
    <w:div w:id="345134263">
      <w:bodyDiv w:val="1"/>
      <w:marLeft w:val="0"/>
      <w:marRight w:val="0"/>
      <w:marTop w:val="0"/>
      <w:marBottom w:val="0"/>
      <w:divBdr>
        <w:top w:val="none" w:sz="0" w:space="0" w:color="auto"/>
        <w:left w:val="none" w:sz="0" w:space="0" w:color="auto"/>
        <w:bottom w:val="none" w:sz="0" w:space="0" w:color="auto"/>
        <w:right w:val="none" w:sz="0" w:space="0" w:color="auto"/>
      </w:divBdr>
    </w:div>
    <w:div w:id="354964941">
      <w:bodyDiv w:val="1"/>
      <w:marLeft w:val="0"/>
      <w:marRight w:val="0"/>
      <w:marTop w:val="0"/>
      <w:marBottom w:val="0"/>
      <w:divBdr>
        <w:top w:val="none" w:sz="0" w:space="0" w:color="auto"/>
        <w:left w:val="none" w:sz="0" w:space="0" w:color="auto"/>
        <w:bottom w:val="none" w:sz="0" w:space="0" w:color="auto"/>
        <w:right w:val="none" w:sz="0" w:space="0" w:color="auto"/>
      </w:divBdr>
    </w:div>
    <w:div w:id="358168692">
      <w:bodyDiv w:val="1"/>
      <w:marLeft w:val="0"/>
      <w:marRight w:val="0"/>
      <w:marTop w:val="0"/>
      <w:marBottom w:val="0"/>
      <w:divBdr>
        <w:top w:val="none" w:sz="0" w:space="0" w:color="auto"/>
        <w:left w:val="none" w:sz="0" w:space="0" w:color="auto"/>
        <w:bottom w:val="none" w:sz="0" w:space="0" w:color="auto"/>
        <w:right w:val="none" w:sz="0" w:space="0" w:color="auto"/>
      </w:divBdr>
    </w:div>
    <w:div w:id="448667539">
      <w:bodyDiv w:val="1"/>
      <w:marLeft w:val="0"/>
      <w:marRight w:val="0"/>
      <w:marTop w:val="0"/>
      <w:marBottom w:val="0"/>
      <w:divBdr>
        <w:top w:val="none" w:sz="0" w:space="0" w:color="auto"/>
        <w:left w:val="none" w:sz="0" w:space="0" w:color="auto"/>
        <w:bottom w:val="none" w:sz="0" w:space="0" w:color="auto"/>
        <w:right w:val="none" w:sz="0" w:space="0" w:color="auto"/>
      </w:divBdr>
    </w:div>
    <w:div w:id="467549231">
      <w:bodyDiv w:val="1"/>
      <w:marLeft w:val="0"/>
      <w:marRight w:val="0"/>
      <w:marTop w:val="0"/>
      <w:marBottom w:val="0"/>
      <w:divBdr>
        <w:top w:val="none" w:sz="0" w:space="0" w:color="auto"/>
        <w:left w:val="none" w:sz="0" w:space="0" w:color="auto"/>
        <w:bottom w:val="none" w:sz="0" w:space="0" w:color="auto"/>
        <w:right w:val="none" w:sz="0" w:space="0" w:color="auto"/>
      </w:divBdr>
    </w:div>
    <w:div w:id="570579523">
      <w:bodyDiv w:val="1"/>
      <w:marLeft w:val="0"/>
      <w:marRight w:val="0"/>
      <w:marTop w:val="0"/>
      <w:marBottom w:val="0"/>
      <w:divBdr>
        <w:top w:val="none" w:sz="0" w:space="0" w:color="auto"/>
        <w:left w:val="none" w:sz="0" w:space="0" w:color="auto"/>
        <w:bottom w:val="none" w:sz="0" w:space="0" w:color="auto"/>
        <w:right w:val="none" w:sz="0" w:space="0" w:color="auto"/>
      </w:divBdr>
    </w:div>
    <w:div w:id="584075732">
      <w:bodyDiv w:val="1"/>
      <w:marLeft w:val="0"/>
      <w:marRight w:val="0"/>
      <w:marTop w:val="0"/>
      <w:marBottom w:val="0"/>
      <w:divBdr>
        <w:top w:val="none" w:sz="0" w:space="0" w:color="auto"/>
        <w:left w:val="none" w:sz="0" w:space="0" w:color="auto"/>
        <w:bottom w:val="none" w:sz="0" w:space="0" w:color="auto"/>
        <w:right w:val="none" w:sz="0" w:space="0" w:color="auto"/>
      </w:divBdr>
    </w:div>
    <w:div w:id="697388780">
      <w:bodyDiv w:val="1"/>
      <w:marLeft w:val="0"/>
      <w:marRight w:val="0"/>
      <w:marTop w:val="0"/>
      <w:marBottom w:val="0"/>
      <w:divBdr>
        <w:top w:val="none" w:sz="0" w:space="0" w:color="auto"/>
        <w:left w:val="none" w:sz="0" w:space="0" w:color="auto"/>
        <w:bottom w:val="none" w:sz="0" w:space="0" w:color="auto"/>
        <w:right w:val="none" w:sz="0" w:space="0" w:color="auto"/>
      </w:divBdr>
    </w:div>
    <w:div w:id="700402597">
      <w:bodyDiv w:val="1"/>
      <w:marLeft w:val="0"/>
      <w:marRight w:val="0"/>
      <w:marTop w:val="0"/>
      <w:marBottom w:val="0"/>
      <w:divBdr>
        <w:top w:val="none" w:sz="0" w:space="0" w:color="auto"/>
        <w:left w:val="none" w:sz="0" w:space="0" w:color="auto"/>
        <w:bottom w:val="none" w:sz="0" w:space="0" w:color="auto"/>
        <w:right w:val="none" w:sz="0" w:space="0" w:color="auto"/>
      </w:divBdr>
    </w:div>
    <w:div w:id="717244272">
      <w:bodyDiv w:val="1"/>
      <w:marLeft w:val="0"/>
      <w:marRight w:val="0"/>
      <w:marTop w:val="0"/>
      <w:marBottom w:val="0"/>
      <w:divBdr>
        <w:top w:val="none" w:sz="0" w:space="0" w:color="auto"/>
        <w:left w:val="none" w:sz="0" w:space="0" w:color="auto"/>
        <w:bottom w:val="none" w:sz="0" w:space="0" w:color="auto"/>
        <w:right w:val="none" w:sz="0" w:space="0" w:color="auto"/>
      </w:divBdr>
    </w:div>
    <w:div w:id="782118442">
      <w:bodyDiv w:val="1"/>
      <w:marLeft w:val="0"/>
      <w:marRight w:val="0"/>
      <w:marTop w:val="0"/>
      <w:marBottom w:val="0"/>
      <w:divBdr>
        <w:top w:val="none" w:sz="0" w:space="0" w:color="auto"/>
        <w:left w:val="none" w:sz="0" w:space="0" w:color="auto"/>
        <w:bottom w:val="none" w:sz="0" w:space="0" w:color="auto"/>
        <w:right w:val="none" w:sz="0" w:space="0" w:color="auto"/>
      </w:divBdr>
    </w:div>
    <w:div w:id="782531011">
      <w:bodyDiv w:val="1"/>
      <w:marLeft w:val="0"/>
      <w:marRight w:val="0"/>
      <w:marTop w:val="0"/>
      <w:marBottom w:val="0"/>
      <w:divBdr>
        <w:top w:val="none" w:sz="0" w:space="0" w:color="auto"/>
        <w:left w:val="none" w:sz="0" w:space="0" w:color="auto"/>
        <w:bottom w:val="none" w:sz="0" w:space="0" w:color="auto"/>
        <w:right w:val="none" w:sz="0" w:space="0" w:color="auto"/>
      </w:divBdr>
    </w:div>
    <w:div w:id="785198492">
      <w:bodyDiv w:val="1"/>
      <w:marLeft w:val="0"/>
      <w:marRight w:val="0"/>
      <w:marTop w:val="0"/>
      <w:marBottom w:val="0"/>
      <w:divBdr>
        <w:top w:val="none" w:sz="0" w:space="0" w:color="auto"/>
        <w:left w:val="none" w:sz="0" w:space="0" w:color="auto"/>
        <w:bottom w:val="none" w:sz="0" w:space="0" w:color="auto"/>
        <w:right w:val="none" w:sz="0" w:space="0" w:color="auto"/>
      </w:divBdr>
    </w:div>
    <w:div w:id="899678840">
      <w:bodyDiv w:val="1"/>
      <w:marLeft w:val="0"/>
      <w:marRight w:val="0"/>
      <w:marTop w:val="0"/>
      <w:marBottom w:val="0"/>
      <w:divBdr>
        <w:top w:val="none" w:sz="0" w:space="0" w:color="auto"/>
        <w:left w:val="none" w:sz="0" w:space="0" w:color="auto"/>
        <w:bottom w:val="none" w:sz="0" w:space="0" w:color="auto"/>
        <w:right w:val="none" w:sz="0" w:space="0" w:color="auto"/>
      </w:divBdr>
    </w:div>
    <w:div w:id="915092594">
      <w:bodyDiv w:val="1"/>
      <w:marLeft w:val="0"/>
      <w:marRight w:val="0"/>
      <w:marTop w:val="0"/>
      <w:marBottom w:val="0"/>
      <w:divBdr>
        <w:top w:val="none" w:sz="0" w:space="0" w:color="auto"/>
        <w:left w:val="none" w:sz="0" w:space="0" w:color="auto"/>
        <w:bottom w:val="none" w:sz="0" w:space="0" w:color="auto"/>
        <w:right w:val="none" w:sz="0" w:space="0" w:color="auto"/>
      </w:divBdr>
    </w:div>
    <w:div w:id="1001005227">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120689070">
      <w:bodyDiv w:val="1"/>
      <w:marLeft w:val="0"/>
      <w:marRight w:val="0"/>
      <w:marTop w:val="0"/>
      <w:marBottom w:val="0"/>
      <w:divBdr>
        <w:top w:val="none" w:sz="0" w:space="0" w:color="auto"/>
        <w:left w:val="none" w:sz="0" w:space="0" w:color="auto"/>
        <w:bottom w:val="none" w:sz="0" w:space="0" w:color="auto"/>
        <w:right w:val="none" w:sz="0" w:space="0" w:color="auto"/>
      </w:divBdr>
    </w:div>
    <w:div w:id="1201282620">
      <w:bodyDiv w:val="1"/>
      <w:marLeft w:val="0"/>
      <w:marRight w:val="0"/>
      <w:marTop w:val="0"/>
      <w:marBottom w:val="0"/>
      <w:divBdr>
        <w:top w:val="none" w:sz="0" w:space="0" w:color="auto"/>
        <w:left w:val="none" w:sz="0" w:space="0" w:color="auto"/>
        <w:bottom w:val="none" w:sz="0" w:space="0" w:color="auto"/>
        <w:right w:val="none" w:sz="0" w:space="0" w:color="auto"/>
      </w:divBdr>
    </w:div>
    <w:div w:id="1216239908">
      <w:bodyDiv w:val="1"/>
      <w:marLeft w:val="0"/>
      <w:marRight w:val="0"/>
      <w:marTop w:val="0"/>
      <w:marBottom w:val="0"/>
      <w:divBdr>
        <w:top w:val="none" w:sz="0" w:space="0" w:color="auto"/>
        <w:left w:val="none" w:sz="0" w:space="0" w:color="auto"/>
        <w:bottom w:val="none" w:sz="0" w:space="0" w:color="auto"/>
        <w:right w:val="none" w:sz="0" w:space="0" w:color="auto"/>
      </w:divBdr>
    </w:div>
    <w:div w:id="1245531372">
      <w:bodyDiv w:val="1"/>
      <w:marLeft w:val="0"/>
      <w:marRight w:val="0"/>
      <w:marTop w:val="0"/>
      <w:marBottom w:val="0"/>
      <w:divBdr>
        <w:top w:val="none" w:sz="0" w:space="0" w:color="auto"/>
        <w:left w:val="none" w:sz="0" w:space="0" w:color="auto"/>
        <w:bottom w:val="none" w:sz="0" w:space="0" w:color="auto"/>
        <w:right w:val="none" w:sz="0" w:space="0" w:color="auto"/>
      </w:divBdr>
    </w:div>
    <w:div w:id="1477140216">
      <w:bodyDiv w:val="1"/>
      <w:marLeft w:val="0"/>
      <w:marRight w:val="0"/>
      <w:marTop w:val="0"/>
      <w:marBottom w:val="0"/>
      <w:divBdr>
        <w:top w:val="none" w:sz="0" w:space="0" w:color="auto"/>
        <w:left w:val="none" w:sz="0" w:space="0" w:color="auto"/>
        <w:bottom w:val="none" w:sz="0" w:space="0" w:color="auto"/>
        <w:right w:val="none" w:sz="0" w:space="0" w:color="auto"/>
      </w:divBdr>
    </w:div>
    <w:div w:id="1659765872">
      <w:bodyDiv w:val="1"/>
      <w:marLeft w:val="0"/>
      <w:marRight w:val="0"/>
      <w:marTop w:val="0"/>
      <w:marBottom w:val="0"/>
      <w:divBdr>
        <w:top w:val="none" w:sz="0" w:space="0" w:color="auto"/>
        <w:left w:val="none" w:sz="0" w:space="0" w:color="auto"/>
        <w:bottom w:val="none" w:sz="0" w:space="0" w:color="auto"/>
        <w:right w:val="none" w:sz="0" w:space="0" w:color="auto"/>
      </w:divBdr>
    </w:div>
    <w:div w:id="1735591030">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 w:id="2011828359">
      <w:bodyDiv w:val="1"/>
      <w:marLeft w:val="0"/>
      <w:marRight w:val="0"/>
      <w:marTop w:val="0"/>
      <w:marBottom w:val="0"/>
      <w:divBdr>
        <w:top w:val="none" w:sz="0" w:space="0" w:color="auto"/>
        <w:left w:val="none" w:sz="0" w:space="0" w:color="auto"/>
        <w:bottom w:val="none" w:sz="0" w:space="0" w:color="auto"/>
        <w:right w:val="none" w:sz="0" w:space="0" w:color="auto"/>
      </w:divBdr>
    </w:div>
    <w:div w:id="207882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D7831AE-C108-4DA0-85B7-8A9B6F96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1957</Words>
  <Characters>10766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INFOEM500</cp:lastModifiedBy>
  <cp:revision>3</cp:revision>
  <cp:lastPrinted>2019-05-17T16:17:00Z</cp:lastPrinted>
  <dcterms:created xsi:type="dcterms:W3CDTF">2024-03-21T19:46:00Z</dcterms:created>
  <dcterms:modified xsi:type="dcterms:W3CDTF">2024-03-21T19:46:00Z</dcterms:modified>
</cp:coreProperties>
</file>