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694897</wp:posOffset>
            </wp:positionH>
            <wp:positionV relativeFrom="page">
              <wp:posOffset>220393</wp:posOffset>
            </wp:positionV>
            <wp:extent cx="6155207" cy="9598738"/>
            <wp:effectExtent b="0" l="0" r="0" t="0"/>
            <wp:wrapNone/>
            <wp:docPr id="34"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155207" cy="9598738"/>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spacing w:before="0" w:lineRule="auto"/>
        <w:ind w:left="4964" w:right="116" w:firstLine="2909"/>
        <w:jc w:val="left"/>
        <w:rPr>
          <w:b w:val="1"/>
          <w:sz w:val="20"/>
          <w:szCs w:val="20"/>
        </w:rPr>
      </w:pPr>
      <w:r w:rsidDel="00000000" w:rsidR="00000000" w:rsidRPr="00000000">
        <w:rPr>
          <w:b w:val="1"/>
          <w:sz w:val="20"/>
          <w:szCs w:val="20"/>
          <w:rtl w:val="0"/>
        </w:rPr>
        <w:t xml:space="preserve">VOTO PARTICULAR RECURSO DE REVISIÓN 01484/INFOEM/IP/RR/2023</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pStyle w:val="Heading1"/>
        <w:spacing w:line="360" w:lineRule="auto"/>
        <w:ind w:left="965" w:right="124" w:firstLine="0"/>
        <w:rPr/>
      </w:pPr>
      <w:r w:rsidDel="00000000" w:rsidR="00000000" w:rsidRPr="00000000">
        <w:rPr>
          <w:rtl w:val="0"/>
        </w:rPr>
        <w:t xml:space="preserve">VOTO PARTICULAR QUE FORMULA LA COMISIONADA GUADALUPE RAMÍREZ PEÑA, EN RELACIÓN CON LA RESOLUCIÓN DICTADA POR EL PLENO DEL INSTITUTO DE TRANSPARENCIA, ACCESO A LA INFORMACIÓN PÚBLICA Y PROTECCIÓN DE DATOS PERSONALES DEL ESTADO DE MÉXICO Y MUNICIPIOS, EN LA CUADRAGÉSIMA TERCERA SESIÓN ORDINARIA DEL VEINTINUEVE DE NOVIEMBRE DE DOS MIL VEINTITRÉS, EN EL RECURSO DE REVISIÓN 01484/INFOEM/IP/RR/2023.</w:t>
      </w:r>
    </w:p>
    <w:p w:rsidR="00000000" w:rsidDel="00000000" w:rsidP="00000000" w:rsidRDefault="00000000" w:rsidRPr="00000000" w14:paraId="00000007">
      <w:pPr>
        <w:spacing w:before="242" w:line="360" w:lineRule="auto"/>
        <w:ind w:left="965" w:right="120" w:firstLine="0"/>
        <w:jc w:val="both"/>
        <w:rPr>
          <w:sz w:val="24"/>
          <w:szCs w:val="24"/>
        </w:rPr>
      </w:pPr>
      <w:r w:rsidDel="00000000" w:rsidR="00000000" w:rsidRPr="00000000">
        <w:rPr>
          <w:sz w:val="24"/>
          <w:szCs w:val="24"/>
          <w:rtl w:val="0"/>
        </w:rPr>
        <w:t xml:space="preserve">Con fundamento en lo dispuesto por el artículo 14, fracciones X y XI, del Reglamento del Instituto de Transparencia, Acceso a la Información Pública y Protección de Datos Personales del Estado de México, la suscrita emite </w:t>
      </w:r>
      <w:r w:rsidDel="00000000" w:rsidR="00000000" w:rsidRPr="00000000">
        <w:rPr>
          <w:b w:val="1"/>
          <w:sz w:val="24"/>
          <w:szCs w:val="24"/>
          <w:rtl w:val="0"/>
        </w:rPr>
        <w:t xml:space="preserve">VOTO PARTICULAR </w:t>
      </w:r>
      <w:r w:rsidDel="00000000" w:rsidR="00000000" w:rsidRPr="00000000">
        <w:rPr>
          <w:sz w:val="24"/>
          <w:szCs w:val="24"/>
          <w:rtl w:val="0"/>
        </w:rPr>
        <w:t xml:space="preserve">respecto a la resolución dictada en el recurso de revisión número </w:t>
      </w:r>
      <w:r w:rsidDel="00000000" w:rsidR="00000000" w:rsidRPr="00000000">
        <w:rPr>
          <w:b w:val="1"/>
          <w:sz w:val="24"/>
          <w:szCs w:val="24"/>
          <w:rtl w:val="0"/>
        </w:rPr>
        <w:t xml:space="preserve">01484/INFOEM/IP/RR/2023</w:t>
      </w:r>
      <w:r w:rsidDel="00000000" w:rsidR="00000000" w:rsidRPr="00000000">
        <w:rPr>
          <w:sz w:val="24"/>
          <w:szCs w:val="24"/>
          <w:rtl w:val="0"/>
        </w:rPr>
        <w:t xml:space="preserve">, pronunciada por el Pleno de este Instituto ante el proyecto presentado por la suscrita </w:t>
      </w:r>
      <w:r w:rsidDel="00000000" w:rsidR="00000000" w:rsidRPr="00000000">
        <w:rPr>
          <w:b w:val="1"/>
          <w:sz w:val="24"/>
          <w:szCs w:val="24"/>
          <w:rtl w:val="0"/>
        </w:rPr>
        <w:t xml:space="preserve">Comisionada Guadalupe Ramírez Peña</w:t>
      </w:r>
      <w:r w:rsidDel="00000000" w:rsidR="00000000" w:rsidRPr="00000000">
        <w:rPr>
          <w:sz w:val="24"/>
          <w:szCs w:val="24"/>
          <w:rtl w:val="0"/>
        </w:rPr>
        <w:t xml:space="preserve">, el cual fue engrosado conforme al criterio mayoritario que es del tenor siguiente:</w:t>
      </w:r>
    </w:p>
    <w:p w:rsidR="00000000" w:rsidDel="00000000" w:rsidP="00000000" w:rsidRDefault="00000000" w:rsidRPr="00000000" w14:paraId="00000008">
      <w:pPr>
        <w:pStyle w:val="Heading1"/>
        <w:numPr>
          <w:ilvl w:val="0"/>
          <w:numId w:val="2"/>
        </w:numPr>
        <w:tabs>
          <w:tab w:val="left" w:leader="none" w:pos="1530"/>
        </w:tabs>
        <w:spacing w:after="0" w:before="239" w:line="240" w:lineRule="auto"/>
        <w:ind w:left="1530" w:right="0" w:hanging="282"/>
        <w:jc w:val="both"/>
        <w:rPr/>
      </w:pPr>
      <w:r w:rsidDel="00000000" w:rsidR="00000000" w:rsidRPr="00000000">
        <w:rPr>
          <w:rtl w:val="0"/>
        </w:rPr>
        <w:t xml:space="preserve">Antecedentes.</w:t>
      </w:r>
    </w:p>
    <w:p w:rsidR="00000000" w:rsidDel="00000000" w:rsidP="00000000" w:rsidRDefault="00000000" w:rsidRPr="00000000" w14:paraId="00000009">
      <w:pPr>
        <w:spacing w:before="161" w:line="360" w:lineRule="auto"/>
        <w:ind w:left="965" w:right="120" w:firstLine="0"/>
        <w:jc w:val="both"/>
        <w:rPr>
          <w:sz w:val="24"/>
          <w:szCs w:val="24"/>
        </w:rPr>
      </w:pPr>
      <w:r w:rsidDel="00000000" w:rsidR="00000000" w:rsidRPr="00000000">
        <w:rPr>
          <w:sz w:val="24"/>
          <w:szCs w:val="24"/>
          <w:rtl w:val="0"/>
        </w:rPr>
        <w:t xml:space="preserve">En el asunto que nos ocupa, la parte </w:t>
      </w:r>
      <w:r w:rsidDel="00000000" w:rsidR="00000000" w:rsidRPr="00000000">
        <w:rPr>
          <w:b w:val="1"/>
          <w:sz w:val="24"/>
          <w:szCs w:val="24"/>
          <w:rtl w:val="0"/>
        </w:rPr>
        <w:t xml:space="preserve">Recurrente </w:t>
      </w:r>
      <w:r w:rsidDel="00000000" w:rsidR="00000000" w:rsidRPr="00000000">
        <w:rPr>
          <w:sz w:val="24"/>
          <w:szCs w:val="24"/>
          <w:rtl w:val="0"/>
        </w:rPr>
        <w:t xml:space="preserve">solicitó al </w:t>
      </w:r>
      <w:r w:rsidDel="00000000" w:rsidR="00000000" w:rsidRPr="00000000">
        <w:rPr>
          <w:b w:val="1"/>
          <w:sz w:val="24"/>
          <w:szCs w:val="24"/>
          <w:rtl w:val="0"/>
        </w:rPr>
        <w:t xml:space="preserve">Sujeto Obligado</w:t>
      </w:r>
      <w:r w:rsidDel="00000000" w:rsidR="00000000" w:rsidRPr="00000000">
        <w:rPr>
          <w:sz w:val="24"/>
          <w:szCs w:val="24"/>
          <w:rtl w:val="0"/>
        </w:rPr>
        <w:t xml:space="preserve">, le proporcionara la siguiente información:</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817" w:right="1027"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sectPr>
          <w:pgSz w:h="15840" w:w="12240" w:orient="portrait"/>
          <w:pgMar w:bottom="0" w:top="340" w:left="1020" w:right="1200" w:header="360" w:footer="360"/>
          <w:pgNumType w:start="1"/>
        </w:sect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“SOLICITO COPIA DIGITAL DE CADA UNO DE LOS EXPEDIENTES DEL PERSONAL QUE LABORA EN LA DIRECCIÓN GENERAL DE GOBIERNO.” (Sic)</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694897</wp:posOffset>
            </wp:positionH>
            <wp:positionV relativeFrom="page">
              <wp:posOffset>220393</wp:posOffset>
            </wp:positionV>
            <wp:extent cx="6155207" cy="9598738"/>
            <wp:effectExtent b="0" l="0" r="0" t="0"/>
            <wp:wrapNone/>
            <wp:docPr id="3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155207" cy="9598738"/>
                    </a:xfrm>
                    <a:prstGeom prst="rect"/>
                    <a:ln/>
                  </pic:spPr>
                </pic:pic>
              </a:graphicData>
            </a:graphic>
          </wp:anchor>
        </w:drawing>
      </w: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spacing w:before="0" w:lineRule="auto"/>
        <w:ind w:left="4964" w:right="116" w:firstLine="2909"/>
        <w:jc w:val="left"/>
        <w:rPr>
          <w:b w:val="1"/>
          <w:sz w:val="20"/>
          <w:szCs w:val="20"/>
        </w:rPr>
      </w:pPr>
      <w:r w:rsidDel="00000000" w:rsidR="00000000" w:rsidRPr="00000000">
        <w:rPr>
          <w:b w:val="1"/>
          <w:sz w:val="20"/>
          <w:szCs w:val="20"/>
          <w:rtl w:val="0"/>
        </w:rPr>
        <w:t xml:space="preserve">VOTO PARTICULAR RECURSO DE REVISIÓN 01484/INFOEM/IP/RR/2023</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pStyle w:val="Heading2"/>
        <w:spacing w:before="0" w:line="360" w:lineRule="auto"/>
        <w:ind w:right="127" w:firstLine="965"/>
        <w:rPr/>
      </w:pPr>
      <w:r w:rsidDel="00000000" w:rsidR="00000000" w:rsidRPr="00000000">
        <w:rPr>
          <w:rtl w:val="0"/>
        </w:rPr>
        <w:t xml:space="preserve">El </w:t>
      </w:r>
      <w:r w:rsidDel="00000000" w:rsidR="00000000" w:rsidRPr="00000000">
        <w:rPr>
          <w:b w:val="1"/>
          <w:rtl w:val="0"/>
        </w:rPr>
        <w:t xml:space="preserve">Sujeto Obligado </w:t>
      </w:r>
      <w:r w:rsidDel="00000000" w:rsidR="00000000" w:rsidRPr="00000000">
        <w:rPr>
          <w:rtl w:val="0"/>
        </w:rPr>
        <w:t xml:space="preserve">en respuesta remitió una carpeta comprimida que contiene 229 archivos electrónicos correspondientes a servidores públicos que se encuentran adscritos a las diversas áreas que conforman la Dirección General de Gobierno.</w:t>
      </w:r>
    </w:p>
    <w:p w:rsidR="00000000" w:rsidDel="00000000" w:rsidP="00000000" w:rsidRDefault="00000000" w:rsidRPr="00000000" w14:paraId="00000010">
      <w:pPr>
        <w:spacing w:before="242" w:line="360" w:lineRule="auto"/>
        <w:ind w:left="965" w:right="129" w:firstLine="0"/>
        <w:jc w:val="both"/>
        <w:rPr>
          <w:sz w:val="24"/>
          <w:szCs w:val="24"/>
        </w:rPr>
      </w:pPr>
      <w:r w:rsidDel="00000000" w:rsidR="00000000" w:rsidRPr="00000000">
        <w:rPr>
          <w:sz w:val="24"/>
          <w:szCs w:val="24"/>
          <w:rtl w:val="0"/>
        </w:rPr>
        <w:t xml:space="preserve">Derivado de lo anterior, la persona solicitante interpuso el recurso de revisión que se resolvió, donde señaló como motivo de inconformidad, lo siguiente:</w:t>
      </w:r>
    </w:p>
    <w:p w:rsidR="00000000" w:rsidDel="00000000" w:rsidP="00000000" w:rsidRDefault="00000000" w:rsidRPr="00000000" w14:paraId="00000011">
      <w:pPr>
        <w:spacing w:before="239" w:lineRule="auto"/>
        <w:ind w:left="1531" w:right="0" w:firstLine="0"/>
        <w:jc w:val="both"/>
        <w:rPr>
          <w:i w:val="1"/>
          <w:sz w:val="24"/>
          <w:szCs w:val="24"/>
        </w:rPr>
      </w:pPr>
      <w:r w:rsidDel="00000000" w:rsidR="00000000" w:rsidRPr="00000000">
        <w:rPr>
          <w:i w:val="1"/>
          <w:sz w:val="24"/>
          <w:szCs w:val="24"/>
          <w:rtl w:val="0"/>
        </w:rPr>
        <w:t xml:space="preserve">“Información incompleta.” (Sic)</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pStyle w:val="Heading2"/>
        <w:spacing w:before="1" w:line="360" w:lineRule="auto"/>
        <w:ind w:right="120" w:firstLine="965"/>
        <w:rPr/>
      </w:pPr>
      <w:r w:rsidDel="00000000" w:rsidR="00000000" w:rsidRPr="00000000">
        <w:rPr>
          <w:rtl w:val="0"/>
        </w:rPr>
        <w:t xml:space="preserve">Una vez admitido el recurso de revisión, se puso a disposición de las partes para que el </w:t>
      </w:r>
      <w:r w:rsidDel="00000000" w:rsidR="00000000" w:rsidRPr="00000000">
        <w:rPr>
          <w:b w:val="1"/>
          <w:rtl w:val="0"/>
        </w:rPr>
        <w:t xml:space="preserve">Sujeto Obligado </w:t>
      </w:r>
      <w:r w:rsidDel="00000000" w:rsidR="00000000" w:rsidRPr="00000000">
        <w:rPr>
          <w:rtl w:val="0"/>
        </w:rPr>
        <w:t xml:space="preserve">presentara su informe justificado y la parte </w:t>
      </w:r>
      <w:r w:rsidDel="00000000" w:rsidR="00000000" w:rsidRPr="00000000">
        <w:rPr>
          <w:b w:val="1"/>
          <w:rtl w:val="0"/>
        </w:rPr>
        <w:t xml:space="preserve">Recurrente </w:t>
      </w:r>
      <w:r w:rsidDel="00000000" w:rsidR="00000000" w:rsidRPr="00000000">
        <w:rPr>
          <w:rtl w:val="0"/>
        </w:rPr>
        <w:t xml:space="preserve">presentara sus manifestaciones o alegatos.</w:t>
      </w:r>
    </w:p>
    <w:p w:rsidR="00000000" w:rsidDel="00000000" w:rsidP="00000000" w:rsidRDefault="00000000" w:rsidRPr="00000000" w14:paraId="00000014">
      <w:pPr>
        <w:spacing w:before="237" w:line="360" w:lineRule="auto"/>
        <w:ind w:left="965" w:right="128" w:firstLine="0"/>
        <w:jc w:val="both"/>
        <w:rPr>
          <w:sz w:val="24"/>
          <w:szCs w:val="24"/>
        </w:rPr>
      </w:pPr>
      <w:r w:rsidDel="00000000" w:rsidR="00000000" w:rsidRPr="00000000">
        <w:rPr>
          <w:sz w:val="24"/>
          <w:szCs w:val="24"/>
          <w:rtl w:val="0"/>
        </w:rPr>
        <w:t xml:space="preserve">En este sentido, el </w:t>
      </w:r>
      <w:r w:rsidDel="00000000" w:rsidR="00000000" w:rsidRPr="00000000">
        <w:rPr>
          <w:b w:val="1"/>
          <w:sz w:val="24"/>
          <w:szCs w:val="24"/>
          <w:rtl w:val="0"/>
        </w:rPr>
        <w:t xml:space="preserve">Sujeto Obligado </w:t>
      </w:r>
      <w:r w:rsidDel="00000000" w:rsidR="00000000" w:rsidRPr="00000000">
        <w:rPr>
          <w:sz w:val="24"/>
          <w:szCs w:val="24"/>
          <w:rtl w:val="0"/>
        </w:rPr>
        <w:t xml:space="preserve">ratificó los términos de su respuesta inicial, mientras que </w:t>
      </w:r>
      <w:r w:rsidDel="00000000" w:rsidR="00000000" w:rsidRPr="00000000">
        <w:rPr>
          <w:b w:val="1"/>
          <w:sz w:val="24"/>
          <w:szCs w:val="24"/>
          <w:rtl w:val="0"/>
        </w:rPr>
        <w:t xml:space="preserve">la parte Recurrente </w:t>
      </w:r>
      <w:r w:rsidDel="00000000" w:rsidR="00000000" w:rsidRPr="00000000">
        <w:rPr>
          <w:sz w:val="24"/>
          <w:szCs w:val="24"/>
          <w:rtl w:val="0"/>
        </w:rPr>
        <w:t xml:space="preserve">fue omisa en pronunciarse.</w:t>
      </w:r>
    </w:p>
    <w:p w:rsidR="00000000" w:rsidDel="00000000" w:rsidP="00000000" w:rsidRDefault="00000000" w:rsidRPr="00000000" w14:paraId="00000015">
      <w:pPr>
        <w:pStyle w:val="Heading2"/>
        <w:spacing w:before="243" w:line="360" w:lineRule="auto"/>
        <w:ind w:right="115" w:firstLine="965"/>
        <w:rPr/>
      </w:pPr>
      <w:r w:rsidDel="00000000" w:rsidR="00000000" w:rsidRPr="00000000">
        <w:rPr>
          <w:rtl w:val="0"/>
        </w:rPr>
        <w:t xml:space="preserve">Derivado del análisis de las constancias que integran el expediente, la Comisionada Ponente consideró que los motivos de inconformidad aducidos por </w:t>
      </w:r>
      <w:r w:rsidDel="00000000" w:rsidR="00000000" w:rsidRPr="00000000">
        <w:rPr>
          <w:b w:val="1"/>
          <w:rtl w:val="0"/>
        </w:rPr>
        <w:t xml:space="preserve">la parte Recurrente </w:t>
      </w:r>
      <w:r w:rsidDel="00000000" w:rsidR="00000000" w:rsidRPr="00000000">
        <w:rPr>
          <w:rtl w:val="0"/>
        </w:rPr>
        <w:t xml:space="preserve">resultan fundados y determinó ordenar la entrega en versión pública de lo siguiente:</w:t>
      </w:r>
    </w:p>
    <w:p w:rsidR="00000000" w:rsidDel="00000000" w:rsidP="00000000" w:rsidRDefault="00000000" w:rsidRPr="00000000" w14:paraId="00000016">
      <w:pPr>
        <w:spacing w:before="236" w:lineRule="auto"/>
        <w:ind w:left="1531" w:right="1113" w:firstLine="0"/>
        <w:jc w:val="both"/>
        <w:rPr>
          <w:b w:val="1"/>
          <w:i w:val="1"/>
          <w:sz w:val="22"/>
          <w:szCs w:val="22"/>
        </w:rPr>
      </w:pPr>
      <w:r w:rsidDel="00000000" w:rsidR="00000000" w:rsidRPr="00000000">
        <w:rPr>
          <w:b w:val="1"/>
          <w:i w:val="1"/>
          <w:sz w:val="22"/>
          <w:szCs w:val="22"/>
          <w:rtl w:val="0"/>
        </w:rPr>
        <w:t xml:space="preserve">Primero. </w:t>
      </w:r>
      <w:r w:rsidDel="00000000" w:rsidR="00000000" w:rsidRPr="00000000">
        <w:rPr>
          <w:i w:val="1"/>
          <w:sz w:val="22"/>
          <w:szCs w:val="22"/>
          <w:rtl w:val="0"/>
        </w:rPr>
        <w:t xml:space="preserve">Resultan </w:t>
      </w:r>
      <w:r w:rsidDel="00000000" w:rsidR="00000000" w:rsidRPr="00000000">
        <w:rPr>
          <w:b w:val="1"/>
          <w:i w:val="1"/>
          <w:sz w:val="22"/>
          <w:szCs w:val="22"/>
          <w:rtl w:val="0"/>
        </w:rPr>
        <w:t xml:space="preserve">fundadas </w:t>
      </w:r>
      <w:r w:rsidDel="00000000" w:rsidR="00000000" w:rsidRPr="00000000">
        <w:rPr>
          <w:i w:val="1"/>
          <w:sz w:val="22"/>
          <w:szCs w:val="22"/>
          <w:rtl w:val="0"/>
        </w:rPr>
        <w:t xml:space="preserve">las razones o motivos de inconformidad hechos valer por </w:t>
      </w:r>
      <w:r w:rsidDel="00000000" w:rsidR="00000000" w:rsidRPr="00000000">
        <w:rPr>
          <w:b w:val="1"/>
          <w:i w:val="1"/>
          <w:sz w:val="22"/>
          <w:szCs w:val="22"/>
          <w:rtl w:val="0"/>
        </w:rPr>
        <w:t xml:space="preserve">la parte Recurrente </w:t>
      </w:r>
      <w:r w:rsidDel="00000000" w:rsidR="00000000" w:rsidRPr="00000000">
        <w:rPr>
          <w:i w:val="1"/>
          <w:sz w:val="22"/>
          <w:szCs w:val="22"/>
          <w:rtl w:val="0"/>
        </w:rPr>
        <w:t xml:space="preserve">en el recurso de revisión </w:t>
      </w:r>
      <w:r w:rsidDel="00000000" w:rsidR="00000000" w:rsidRPr="00000000">
        <w:rPr>
          <w:b w:val="1"/>
          <w:i w:val="1"/>
          <w:sz w:val="22"/>
          <w:szCs w:val="22"/>
          <w:rtl w:val="0"/>
        </w:rPr>
        <w:t xml:space="preserve">01484/INFOEM/IP/RR/2023</w:t>
      </w:r>
      <w:r w:rsidDel="00000000" w:rsidR="00000000" w:rsidRPr="00000000">
        <w:rPr>
          <w:i w:val="1"/>
          <w:sz w:val="22"/>
          <w:szCs w:val="22"/>
          <w:rtl w:val="0"/>
        </w:rPr>
        <w:t xml:space="preserve">; por lo que, en términos del </w:t>
      </w:r>
      <w:r w:rsidDel="00000000" w:rsidR="00000000" w:rsidRPr="00000000">
        <w:rPr>
          <w:b w:val="1"/>
          <w:i w:val="1"/>
          <w:sz w:val="22"/>
          <w:szCs w:val="22"/>
          <w:rtl w:val="0"/>
        </w:rPr>
        <w:t xml:space="preserve">Considerando Cuarto </w:t>
      </w:r>
      <w:r w:rsidDel="00000000" w:rsidR="00000000" w:rsidRPr="00000000">
        <w:rPr>
          <w:i w:val="1"/>
          <w:sz w:val="22"/>
          <w:szCs w:val="22"/>
          <w:rtl w:val="0"/>
        </w:rPr>
        <w:t xml:space="preserve">de esta resolución, se </w:t>
      </w:r>
      <w:r w:rsidDel="00000000" w:rsidR="00000000" w:rsidRPr="00000000">
        <w:rPr>
          <w:b w:val="1"/>
          <w:i w:val="1"/>
          <w:sz w:val="22"/>
          <w:szCs w:val="22"/>
          <w:rtl w:val="0"/>
        </w:rPr>
        <w:t xml:space="preserve">MODIFICA </w:t>
      </w:r>
      <w:r w:rsidDel="00000000" w:rsidR="00000000" w:rsidRPr="00000000">
        <w:rPr>
          <w:i w:val="1"/>
          <w:sz w:val="22"/>
          <w:szCs w:val="22"/>
          <w:rtl w:val="0"/>
        </w:rPr>
        <w:t xml:space="preserve">la respuesta emitida por el </w:t>
      </w:r>
      <w:r w:rsidDel="00000000" w:rsidR="00000000" w:rsidRPr="00000000">
        <w:rPr>
          <w:b w:val="1"/>
          <w:i w:val="1"/>
          <w:sz w:val="22"/>
          <w:szCs w:val="22"/>
          <w:rtl w:val="0"/>
        </w:rPr>
        <w:t xml:space="preserve">Sujeto Obligado.</w:t>
      </w:r>
    </w:p>
    <w:p w:rsidR="00000000" w:rsidDel="00000000" w:rsidP="00000000" w:rsidRDefault="00000000" w:rsidRPr="00000000" w14:paraId="00000017">
      <w:pPr>
        <w:spacing w:before="242" w:line="240" w:lineRule="auto"/>
        <w:ind w:left="1531" w:right="1111" w:firstLine="0"/>
        <w:jc w:val="both"/>
        <w:rPr>
          <w:b w:val="1"/>
          <w:i w:val="1"/>
          <w:sz w:val="22"/>
          <w:szCs w:val="22"/>
        </w:rPr>
        <w:sectPr>
          <w:type w:val="nextPage"/>
          <w:pgSz w:h="15840" w:w="12240" w:orient="portrait"/>
          <w:pgMar w:bottom="0" w:top="340" w:left="1020" w:right="1200" w:header="360" w:footer="360"/>
        </w:sectPr>
      </w:pPr>
      <w:r w:rsidDel="00000000" w:rsidR="00000000" w:rsidRPr="00000000">
        <w:rPr>
          <w:b w:val="1"/>
          <w:i w:val="1"/>
          <w:sz w:val="22"/>
          <w:szCs w:val="22"/>
          <w:rtl w:val="0"/>
        </w:rPr>
        <w:t xml:space="preserve">Segundo. </w:t>
      </w:r>
      <w:r w:rsidDel="00000000" w:rsidR="00000000" w:rsidRPr="00000000">
        <w:rPr>
          <w:i w:val="1"/>
          <w:sz w:val="22"/>
          <w:szCs w:val="22"/>
          <w:rtl w:val="0"/>
        </w:rPr>
        <w:t xml:space="preserve">Se </w:t>
      </w:r>
      <w:r w:rsidDel="00000000" w:rsidR="00000000" w:rsidRPr="00000000">
        <w:rPr>
          <w:b w:val="1"/>
          <w:i w:val="1"/>
          <w:sz w:val="22"/>
          <w:szCs w:val="22"/>
          <w:rtl w:val="0"/>
        </w:rPr>
        <w:t xml:space="preserve">Ordena </w:t>
      </w:r>
      <w:r w:rsidDel="00000000" w:rsidR="00000000" w:rsidRPr="00000000">
        <w:rPr>
          <w:i w:val="1"/>
          <w:sz w:val="22"/>
          <w:szCs w:val="22"/>
          <w:rtl w:val="0"/>
        </w:rPr>
        <w:t xml:space="preserve">al </w:t>
      </w:r>
      <w:r w:rsidDel="00000000" w:rsidR="00000000" w:rsidRPr="00000000">
        <w:rPr>
          <w:b w:val="1"/>
          <w:i w:val="1"/>
          <w:sz w:val="22"/>
          <w:szCs w:val="22"/>
          <w:rtl w:val="0"/>
        </w:rPr>
        <w:t xml:space="preserve">Sujeto Obligado </w:t>
      </w:r>
      <w:r w:rsidDel="00000000" w:rsidR="00000000" w:rsidRPr="00000000">
        <w:rPr>
          <w:i w:val="1"/>
          <w:sz w:val="22"/>
          <w:szCs w:val="22"/>
          <w:rtl w:val="0"/>
        </w:rPr>
        <w:t xml:space="preserve">entregue, a </w:t>
      </w:r>
      <w:r w:rsidDel="00000000" w:rsidR="00000000" w:rsidRPr="00000000">
        <w:rPr>
          <w:b w:val="1"/>
          <w:i w:val="1"/>
          <w:sz w:val="22"/>
          <w:szCs w:val="22"/>
          <w:rtl w:val="0"/>
        </w:rPr>
        <w:t xml:space="preserve">la parte Recurrente</w:t>
      </w:r>
      <w:r w:rsidDel="00000000" w:rsidR="00000000" w:rsidRPr="00000000">
        <w:rPr>
          <w:i w:val="1"/>
          <w:sz w:val="22"/>
          <w:szCs w:val="22"/>
          <w:rtl w:val="0"/>
        </w:rPr>
        <w:t xml:space="preserve">, </w:t>
      </w:r>
      <w:r w:rsidDel="00000000" w:rsidR="00000000" w:rsidRPr="00000000">
        <w:rPr>
          <w:b w:val="1"/>
          <w:i w:val="1"/>
          <w:sz w:val="22"/>
          <w:szCs w:val="22"/>
          <w:rtl w:val="0"/>
        </w:rPr>
        <w:t xml:space="preserve">vía SAIMEX, </w:t>
      </w:r>
      <w:r w:rsidDel="00000000" w:rsidR="00000000" w:rsidRPr="00000000">
        <w:rPr>
          <w:i w:val="1"/>
          <w:sz w:val="22"/>
          <w:szCs w:val="22"/>
          <w:rtl w:val="0"/>
        </w:rPr>
        <w:t xml:space="preserve">en términos de los </w:t>
      </w:r>
      <w:r w:rsidDel="00000000" w:rsidR="00000000" w:rsidRPr="00000000">
        <w:rPr>
          <w:b w:val="1"/>
          <w:i w:val="1"/>
          <w:sz w:val="22"/>
          <w:szCs w:val="22"/>
          <w:rtl w:val="0"/>
        </w:rPr>
        <w:t xml:space="preserve">Considerandos Cuarto y Quinto, en versión pública, de lo siguiente:</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694897</wp:posOffset>
            </wp:positionH>
            <wp:positionV relativeFrom="page">
              <wp:posOffset>220393</wp:posOffset>
            </wp:positionV>
            <wp:extent cx="6155207" cy="9598738"/>
            <wp:effectExtent b="0" l="0" r="0" t="0"/>
            <wp:wrapNone/>
            <wp:docPr id="30"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155207" cy="9598738"/>
                    </a:xfrm>
                    <a:prstGeom prst="rect"/>
                    <a:ln/>
                  </pic:spPr>
                </pic:pic>
              </a:graphicData>
            </a:graphic>
          </wp:anchor>
        </w:drawing>
      </w: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0" w:right="0" w:firstLine="0"/>
        <w:jc w:val="left"/>
        <w:rPr>
          <w:rFonts w:ascii="Palatino Linotype" w:cs="Palatino Linotype" w:eastAsia="Palatino Linotype" w:hAnsi="Palatino Linotype"/>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spacing w:before="0" w:lineRule="auto"/>
        <w:ind w:left="4964" w:right="116" w:firstLine="2909"/>
        <w:jc w:val="left"/>
        <w:rPr>
          <w:b w:val="1"/>
          <w:sz w:val="20"/>
          <w:szCs w:val="20"/>
        </w:rPr>
      </w:pPr>
      <w:r w:rsidDel="00000000" w:rsidR="00000000" w:rsidRPr="00000000">
        <w:rPr>
          <w:b w:val="1"/>
          <w:sz w:val="20"/>
          <w:szCs w:val="20"/>
          <w:rtl w:val="0"/>
        </w:rPr>
        <w:t xml:space="preserve">VOTO PARTICULAR RECURSO DE REVISIÓN 01484/INFOEM/IP/RR/2023</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529"/>
          <w:tab w:val="left" w:leader="none" w:pos="1531"/>
        </w:tabs>
        <w:spacing w:after="0" w:before="0" w:line="240" w:lineRule="auto"/>
        <w:ind w:left="1531" w:right="1027" w:hanging="14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Los documentos faltantes que conforman el expediente laboral de los servidores públicos referidos en respuesta, adscritos a la Dirección General de Gobierno.</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 w:line="240" w:lineRule="auto"/>
        <w:ind w:left="1531" w:right="102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la parte Recurrente</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mismo que igualmente hará de su conocimiento, así como el Acuerdo del Comité de Transparencia que clasifique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la cartilla militar en su totalidad como</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confidencial</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E">
      <w:pPr>
        <w:pStyle w:val="Heading1"/>
        <w:numPr>
          <w:ilvl w:val="0"/>
          <w:numId w:val="2"/>
        </w:numPr>
        <w:tabs>
          <w:tab w:val="left" w:leader="none" w:pos="1554"/>
        </w:tabs>
        <w:spacing w:after="0" w:before="241" w:line="240" w:lineRule="auto"/>
        <w:ind w:left="1554" w:right="0" w:hanging="305.99999999999994"/>
        <w:jc w:val="both"/>
        <w:rPr/>
      </w:pPr>
      <w:r w:rsidDel="00000000" w:rsidR="00000000" w:rsidRPr="00000000">
        <w:rPr>
          <w:rtl w:val="0"/>
        </w:rPr>
        <w:t xml:space="preserve">Razones del Voto Particular.</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spacing w:before="0" w:line="360" w:lineRule="auto"/>
        <w:ind w:left="965" w:right="127" w:firstLine="0"/>
        <w:jc w:val="both"/>
        <w:rPr>
          <w:sz w:val="24"/>
          <w:szCs w:val="24"/>
        </w:rPr>
      </w:pPr>
      <w:r w:rsidDel="00000000" w:rsidR="00000000" w:rsidRPr="00000000">
        <w:rPr>
          <w:sz w:val="24"/>
          <w:szCs w:val="24"/>
          <w:rtl w:val="0"/>
        </w:rPr>
        <w:t xml:space="preserve">Derivado de lo anterior, la emisión del voto se centrará en que, si bien se comparte el sentido de la resolución, no se coincide con los argumentos señalados en la misma particularmente respecto a lo siguiente:</w:t>
      </w:r>
    </w:p>
    <w:p w:rsidR="00000000" w:rsidDel="00000000" w:rsidP="00000000" w:rsidRDefault="00000000" w:rsidRPr="00000000" w14:paraId="00000021">
      <w:pPr>
        <w:pStyle w:val="Heading1"/>
        <w:numPr>
          <w:ilvl w:val="1"/>
          <w:numId w:val="2"/>
        </w:numPr>
        <w:tabs>
          <w:tab w:val="left" w:leader="none" w:pos="1683"/>
        </w:tabs>
        <w:spacing w:after="0" w:before="238" w:line="240" w:lineRule="auto"/>
        <w:ind w:left="1683" w:right="0" w:hanging="358.0000000000001"/>
        <w:jc w:val="both"/>
        <w:rPr/>
      </w:pPr>
      <w:r w:rsidDel="00000000" w:rsidR="00000000" w:rsidRPr="00000000">
        <w:rPr>
          <w:rtl w:val="0"/>
        </w:rPr>
        <w:t xml:space="preserve">Certificado de no deudor alimentario.</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0" w:lineRule="auto"/>
        <w:ind w:left="0"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pStyle w:val="Heading2"/>
        <w:spacing w:before="0" w:line="360" w:lineRule="auto"/>
        <w:ind w:right="125" w:firstLine="965"/>
        <w:rPr/>
      </w:pPr>
      <w:r w:rsidDel="00000000" w:rsidR="00000000" w:rsidRPr="00000000">
        <w:rPr>
          <w:rtl w:val="0"/>
        </w:rPr>
        <w:t xml:space="preserve">Por lo que hace los certificados de no deudor alimentario moroso la suscrita considera que deben ser protegidos mediante su clasificación como confidencial en su totalidad, ello derivado a que el estar inscrito en dicho registro tiene un impacto en la imagen de un servidor público y se trata de un tema estrictamente de carácter personal e incluso de tipo familiar.</w:t>
      </w:r>
    </w:p>
    <w:p w:rsidR="00000000" w:rsidDel="00000000" w:rsidP="00000000" w:rsidRDefault="00000000" w:rsidRPr="00000000" w14:paraId="00000024">
      <w:pPr>
        <w:spacing w:before="241" w:line="360" w:lineRule="auto"/>
        <w:ind w:left="965" w:right="125" w:firstLine="0"/>
        <w:jc w:val="both"/>
        <w:rPr>
          <w:sz w:val="24"/>
          <w:szCs w:val="24"/>
        </w:rPr>
        <w:sectPr>
          <w:type w:val="nextPage"/>
          <w:pgSz w:h="15840" w:w="12240" w:orient="portrait"/>
          <w:pgMar w:bottom="0" w:top="340" w:left="1020" w:right="1200" w:header="360" w:footer="360"/>
        </w:sectPr>
      </w:pPr>
      <w:r w:rsidDel="00000000" w:rsidR="00000000" w:rsidRPr="00000000">
        <w:rPr>
          <w:sz w:val="24"/>
          <w:szCs w:val="24"/>
          <w:rtl w:val="0"/>
        </w:rPr>
        <w:t xml:space="preserve">Se considera que la información que se ordena, en efecto, da certeza que determinado servidor público cumplió con los requisitos señalados en el artículo 32 de la Ley</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694897</wp:posOffset>
            </wp:positionH>
            <wp:positionV relativeFrom="page">
              <wp:posOffset>220393</wp:posOffset>
            </wp:positionV>
            <wp:extent cx="6155207" cy="9598738"/>
            <wp:effectExtent b="0" l="0" r="0" t="0"/>
            <wp:wrapNone/>
            <wp:docPr id="39"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155207" cy="9598738"/>
                    </a:xfrm>
                    <a:prstGeom prst="rect"/>
                    <a:ln/>
                  </pic:spPr>
                </pic:pic>
              </a:graphicData>
            </a:graphic>
          </wp:anchor>
        </w:drawing>
      </w: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spacing w:before="0" w:lineRule="auto"/>
        <w:ind w:left="4964" w:right="116" w:firstLine="2909"/>
        <w:jc w:val="left"/>
        <w:rPr>
          <w:b w:val="1"/>
          <w:sz w:val="20"/>
          <w:szCs w:val="20"/>
        </w:rPr>
      </w:pPr>
      <w:r w:rsidDel="00000000" w:rsidR="00000000" w:rsidRPr="00000000">
        <w:rPr>
          <w:b w:val="1"/>
          <w:sz w:val="20"/>
          <w:szCs w:val="20"/>
          <w:rtl w:val="0"/>
        </w:rPr>
        <w:t xml:space="preserve">VOTO PARTICULAR RECURSO DE REVISIÓN 01484/INFOEM/IP/RR/2023</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9">
      <w:pPr>
        <w:pStyle w:val="Heading2"/>
        <w:spacing w:before="0" w:line="360" w:lineRule="auto"/>
        <w:ind w:right="126" w:firstLine="965"/>
        <w:rPr/>
      </w:pPr>
      <w:r w:rsidDel="00000000" w:rsidR="00000000" w:rsidRPr="00000000">
        <w:rPr>
          <w:rtl w:val="0"/>
        </w:rPr>
        <w:t xml:space="preserve">Orgánica Municipal del Estado de México, pero también lo es que dar a conocer esta información podría vulnerar la vida privada de los servidores públicos.</w:t>
      </w:r>
    </w:p>
    <w:p w:rsidR="00000000" w:rsidDel="00000000" w:rsidP="00000000" w:rsidRDefault="00000000" w:rsidRPr="00000000" w14:paraId="0000002A">
      <w:pPr>
        <w:tabs>
          <w:tab w:val="left" w:leader="none" w:pos="1917"/>
          <w:tab w:val="left" w:leader="none" w:pos="3440"/>
          <w:tab w:val="left" w:leader="none" w:pos="5251"/>
          <w:tab w:val="left" w:leader="none" w:pos="6197"/>
          <w:tab w:val="left" w:leader="none" w:pos="7077"/>
          <w:tab w:val="left" w:leader="none" w:pos="8747"/>
        </w:tabs>
        <w:spacing w:before="239" w:line="360" w:lineRule="auto"/>
        <w:ind w:left="965" w:right="126" w:firstLine="0"/>
        <w:jc w:val="both"/>
        <w:rPr>
          <w:sz w:val="24"/>
          <w:szCs w:val="24"/>
        </w:rPr>
      </w:pPr>
      <w:r w:rsidDel="00000000" w:rsidR="00000000" w:rsidRPr="00000000">
        <w:rPr>
          <w:sz w:val="24"/>
          <w:szCs w:val="24"/>
          <w:rtl w:val="0"/>
        </w:rPr>
        <w:t xml:space="preserve">Más aún cuando en el Proyecto de Decreto por el que se Reforman y Adicionan Diversas Disposiciones para crear el Registro de Deudores Alimentarios del Estado de</w:t>
        <w:tab/>
        <w:t xml:space="preserve">México,</w:t>
        <w:tab/>
        <w:t xml:space="preserve">disponible</w:t>
        <w:tab/>
        <w:t xml:space="preserve">en</w:t>
        <w:tab/>
        <w:t xml:space="preserve">la</w:t>
        <w:tab/>
        <w:t xml:space="preserve">dirección</w:t>
        <w:tab/>
        <w:t xml:space="preserve">electrónica </w:t>
      </w:r>
      <w:hyperlink r:id="rId8">
        <w:r w:rsidDel="00000000" w:rsidR="00000000" w:rsidRPr="00000000">
          <w:rPr>
            <w:sz w:val="24"/>
            <w:szCs w:val="24"/>
            <w:u w:val="single"/>
            <w:rtl w:val="0"/>
          </w:rPr>
          <w:t xml:space="preserve">https://www.ipomex.org.mx/recursos/ipo/files_ipo/2014/8/11/630bc7787b59af912a96</w:t>
        </w:r>
      </w:hyperlink>
      <w:r w:rsidDel="00000000" w:rsidR="00000000" w:rsidRPr="00000000">
        <w:rPr>
          <w:rtl w:val="0"/>
        </w:rPr>
      </w:r>
    </w:p>
    <w:p w:rsidR="00000000" w:rsidDel="00000000" w:rsidP="00000000" w:rsidRDefault="00000000" w:rsidRPr="00000000" w14:paraId="0000002B">
      <w:pPr>
        <w:pStyle w:val="Heading2"/>
        <w:spacing w:before="2" w:line="360" w:lineRule="auto"/>
        <w:ind w:firstLine="965"/>
        <w:jc w:val="left"/>
        <w:rPr/>
      </w:pPr>
      <w:hyperlink r:id="rId9">
        <w:r w:rsidDel="00000000" w:rsidR="00000000" w:rsidRPr="00000000">
          <w:rPr>
            <w:u w:val="single"/>
            <w:rtl w:val="0"/>
          </w:rPr>
          <w:t xml:space="preserve">a9e1bca1c770.pdf#:~:text=La%20inscripci%C3%B3n%20con%20el%20car%C3%A1ct</w:t>
        </w:r>
      </w:hyperlink>
      <w:r w:rsidDel="00000000" w:rsidR="00000000" w:rsidRPr="00000000">
        <w:rPr>
          <w:rtl w:val="0"/>
        </w:rPr>
        <w:t xml:space="preserve"> </w:t>
      </w:r>
      <w:hyperlink r:id="rId10">
        <w:r w:rsidDel="00000000" w:rsidR="00000000" w:rsidRPr="00000000">
          <w:rPr>
            <w:u w:val="single"/>
            <w:rtl w:val="0"/>
          </w:rPr>
          <w:t xml:space="preserve">er,del%20Estado%20de%20M%C3%A9xico%20e</w:t>
        </w:r>
      </w:hyperlink>
      <w:r w:rsidDel="00000000" w:rsidR="00000000" w:rsidRPr="00000000">
        <w:rPr>
          <w:rtl w:val="0"/>
        </w:rPr>
        <w:t xml:space="preserve">, pueden advertirse los objetivos de crear dicho registro:</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 w:line="240" w:lineRule="auto"/>
        <w:ind w:left="1817" w:right="1118"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“El interés superior del menor debe prevalecer en cualquier controversia de derecho familiar, situación que obliga a las autoridades a establecer las medidas necesarias para asegurar el cumplimiento del pago de la pensión alimenticia decretada a su favor.</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817" w:right="111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 acuerdo a nuestra legislación, el derecho a los alimentos no sólo se comprende el acceso a los productos para la nutrición y alimentación sino también lo relativo a la educación, vivienda, vestido, asistencia médica, recreación, entre otros; aspectos todos que permiten o posibilitan el desarrollo integral de las personas.</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817" w:right="1116"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En nuestra Entidad, las demandas de alimentos son presentadas en su gran mayoría por mujeres madres de familia que demandan, por su propio derecho y/o en representación de sus menores hijos, de su cónyuge, concubino o ex pareja el cumplimiento de esta obligación. Esto debido a que en ocasiones los obligados a proporcionar alimentos eluden su responsabilidad, con la errónea idea de que será en perjuicio de su pareja o ex pareja, sin entender que son los menores hijos los que resultan más afectados. Así que, al acudir al sistema de justicia se pretende que la pensión alimenticia correspondiente quede fijada definitivamente y se garantice el cumplimiento de la obligación alimentaria.</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817" w:right="1118"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sectPr>
          <w:type w:val="nextPage"/>
          <w:pgSz w:h="15840" w:w="12240" w:orient="portrait"/>
          <w:pgMar w:bottom="0" w:top="340" w:left="1020" w:right="1200" w:header="360" w:footer="360"/>
        </w:sect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Los alimentos tienen carácter preferente a favor de los hijos, sin que pueda eximirse el deudor alimentario de su cumplimiento cuando esté en posibilidades</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694897</wp:posOffset>
            </wp:positionH>
            <wp:positionV relativeFrom="page">
              <wp:posOffset>220393</wp:posOffset>
            </wp:positionV>
            <wp:extent cx="6155207" cy="9598738"/>
            <wp:effectExtent b="0" l="0" r="0" t="0"/>
            <wp:wrapNone/>
            <wp:docPr id="40"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155207" cy="9598738"/>
                    </a:xfrm>
                    <a:prstGeom prst="rect"/>
                    <a:ln/>
                  </pic:spPr>
                </pic:pic>
              </a:graphicData>
            </a:graphic>
          </wp:anchor>
        </w:drawing>
      </w: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spacing w:before="0" w:lineRule="auto"/>
        <w:ind w:left="4964" w:right="116" w:firstLine="2909"/>
        <w:jc w:val="left"/>
        <w:rPr>
          <w:b w:val="1"/>
          <w:sz w:val="20"/>
          <w:szCs w:val="20"/>
        </w:rPr>
      </w:pPr>
      <w:r w:rsidDel="00000000" w:rsidR="00000000" w:rsidRPr="00000000">
        <w:rPr>
          <w:b w:val="1"/>
          <w:sz w:val="20"/>
          <w:szCs w:val="20"/>
          <w:rtl w:val="0"/>
        </w:rPr>
        <w:t xml:space="preserve">VOTO PARTICULAR RECURSO DE REVISIÓN 01484/INFOEM/IP/RR/2023</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7" w:right="1115"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 hacerlo. En el Estado de México, diversos son los instrumentos legales que se tienen para obligar al deudor al pago de alimentos, cuando éstos no se enteran de manera voluntaria, como debe ser el ideal, entre los que destacan: el embargo de bienes, incluyendo, la del salario, así como la pérdida de la patria potestad, contempladas en la legislación civil, sustantiva y adjetiva. También podemos citar, la imposición de la pena de prisión hasta por siete años, por el delito de incumplimiento de obligaciones, previsto en las fracciones II y III, del artículo 217, del Código Penal del Estado de México. Pese a los alcances de estas medidas legales, éstas no han sido suficientes para hacer cumplir a los deudores con sus obligaciones alimentarias.</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817" w:right="1113"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Por ello, creemos necesario establecer nuevos y diferentes mecanismos que aseguren el pago de los alimentos, para que sean satisfechas las necesidades más básicas, principalmente de los menores, que no pueden allegarse por sí mismos los recursos económicos para la subsistencia. Lo anterior, porque cuando una persona ha logrado satisfacer sus necesidades básicas, entonces está en mejores condiciones para crecer y superarse. En ese sentido, el presente Proyecto de Decreto propone la creación del Registro de Deudores Alimentarios del Estado de México (REDAEM),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con la finalidad de asegurar el cumplimiento de las</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obligaciones alimentarias que tienen los padres para con sus menores</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hijos.” (Sic)</w:t>
      </w:r>
      <w:r w:rsidDel="00000000" w:rsidR="00000000" w:rsidRPr="00000000">
        <w:rPr>
          <w:rtl w:val="0"/>
        </w:rPr>
      </w:r>
    </w:p>
    <w:p w:rsidR="00000000" w:rsidDel="00000000" w:rsidP="00000000" w:rsidRDefault="00000000" w:rsidRPr="00000000" w14:paraId="00000036">
      <w:pPr>
        <w:pStyle w:val="Heading2"/>
        <w:spacing w:before="244" w:line="360" w:lineRule="auto"/>
        <w:ind w:right="132" w:firstLine="965"/>
        <w:rPr/>
      </w:pPr>
      <w:r w:rsidDel="00000000" w:rsidR="00000000" w:rsidRPr="00000000">
        <w:rPr>
          <w:rtl w:val="0"/>
        </w:rPr>
        <w:t xml:space="preserve">De lo anterior se desprende que el registro de deudores alimentarios morosos no tiene por objeto su publicidad, sino por el contrario que sea un mecanismo para garantizar que los padres cumplan con su obligación de dar alimentos a los hijos en razón de su protección (interés superior del menor).</w:t>
      </w:r>
    </w:p>
    <w:p w:rsidR="00000000" w:rsidDel="00000000" w:rsidP="00000000" w:rsidRDefault="00000000" w:rsidRPr="00000000" w14:paraId="00000037">
      <w:pPr>
        <w:spacing w:before="239" w:line="360" w:lineRule="auto"/>
        <w:ind w:left="965" w:right="125" w:firstLine="0"/>
        <w:jc w:val="both"/>
        <w:rPr>
          <w:sz w:val="24"/>
          <w:szCs w:val="24"/>
        </w:rPr>
        <w:sectPr>
          <w:type w:val="nextPage"/>
          <w:pgSz w:h="15840" w:w="12240" w:orient="portrait"/>
          <w:pgMar w:bottom="0" w:top="340" w:left="1020" w:right="1200" w:header="360" w:footer="360"/>
        </w:sectPr>
      </w:pPr>
      <w:r w:rsidDel="00000000" w:rsidR="00000000" w:rsidRPr="00000000">
        <w:rPr>
          <w:sz w:val="24"/>
          <w:szCs w:val="24"/>
          <w:rtl w:val="0"/>
        </w:rPr>
        <w:t xml:space="preserve">En este sentido, a consideración de la suscrita lo procedente es clasificar el Certificado de no deudor alimentario moroso como </w:t>
      </w:r>
      <w:r w:rsidDel="00000000" w:rsidR="00000000" w:rsidRPr="00000000">
        <w:rPr>
          <w:b w:val="1"/>
          <w:sz w:val="24"/>
          <w:szCs w:val="24"/>
          <w:rtl w:val="0"/>
        </w:rPr>
        <w:t xml:space="preserve">información confidencial en su totalidad </w:t>
      </w:r>
      <w:r w:rsidDel="00000000" w:rsidR="00000000" w:rsidRPr="00000000">
        <w:rPr>
          <w:sz w:val="24"/>
          <w:szCs w:val="24"/>
          <w:rtl w:val="0"/>
        </w:rPr>
        <w:t xml:space="preserve">en términos del artículo 143, fracción I, de la Ley de Transparencia y Acceso a la Información Pública del Estado de México y Municipios.</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694897</wp:posOffset>
            </wp:positionH>
            <wp:positionV relativeFrom="page">
              <wp:posOffset>220393</wp:posOffset>
            </wp:positionV>
            <wp:extent cx="6155207" cy="9598738"/>
            <wp:effectExtent b="0" l="0" r="0" t="0"/>
            <wp:wrapNone/>
            <wp:docPr id="38"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155207" cy="9598738"/>
                    </a:xfrm>
                    <a:prstGeom prst="rect"/>
                    <a:ln/>
                  </pic:spPr>
                </pic:pic>
              </a:graphicData>
            </a:graphic>
          </wp:anchor>
        </w:drawing>
      </w: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A">
      <w:pPr>
        <w:spacing w:before="0" w:lineRule="auto"/>
        <w:ind w:left="4964" w:right="116" w:firstLine="2909"/>
        <w:jc w:val="left"/>
        <w:rPr>
          <w:b w:val="1"/>
          <w:sz w:val="20"/>
          <w:szCs w:val="20"/>
        </w:rPr>
      </w:pPr>
      <w:r w:rsidDel="00000000" w:rsidR="00000000" w:rsidRPr="00000000">
        <w:rPr>
          <w:b w:val="1"/>
          <w:sz w:val="20"/>
          <w:szCs w:val="20"/>
          <w:rtl w:val="0"/>
        </w:rPr>
        <w:t xml:space="preserve">VOTO PARTICULAR RECURSO DE REVISIÓN 01484/INFOEM/IP/RR/2023</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pStyle w:val="Heading2"/>
        <w:spacing w:before="0" w:line="360" w:lineRule="auto"/>
        <w:ind w:right="128" w:firstLine="965"/>
        <w:rPr/>
      </w:pPr>
      <w:r w:rsidDel="00000000" w:rsidR="00000000" w:rsidRPr="00000000">
        <w:rPr>
          <w:rtl w:val="0"/>
        </w:rPr>
        <w:t xml:space="preserve">Lo anterior se estima así, ya que el clasificar en su totalidad esta información de igual forma da certeza del cumplimiento del requisito que establece la normativa para ostentar un cargo público, asimismo, de que el documento respectivo obra en los archivos del </w:t>
      </w:r>
      <w:r w:rsidDel="00000000" w:rsidR="00000000" w:rsidRPr="00000000">
        <w:rPr>
          <w:b w:val="1"/>
          <w:rtl w:val="0"/>
        </w:rPr>
        <w:t xml:space="preserve">Sujeto Obligado, </w:t>
      </w:r>
      <w:r w:rsidDel="00000000" w:rsidR="00000000" w:rsidRPr="00000000">
        <w:rPr>
          <w:rtl w:val="0"/>
        </w:rPr>
        <w:t xml:space="preserve">toda vez que la clasificación y la inexistencia no pueden coexistir.</w:t>
      </w:r>
    </w:p>
    <w:p w:rsidR="00000000" w:rsidDel="00000000" w:rsidP="00000000" w:rsidRDefault="00000000" w:rsidRPr="00000000" w14:paraId="0000003D">
      <w:pPr>
        <w:spacing w:before="238" w:line="360" w:lineRule="auto"/>
        <w:ind w:left="965" w:right="129" w:firstLine="0"/>
        <w:jc w:val="both"/>
        <w:rPr>
          <w:sz w:val="24"/>
          <w:szCs w:val="24"/>
        </w:rPr>
      </w:pPr>
      <w:r w:rsidDel="00000000" w:rsidR="00000000" w:rsidRPr="00000000">
        <w:rPr>
          <w:sz w:val="24"/>
          <w:szCs w:val="24"/>
          <w:rtl w:val="0"/>
        </w:rPr>
        <w:t xml:space="preserve">A efecto de robustecer lo anterior, sirve de sustento el criterio orientador 29/10 emitido por el Instituto Nacional de Transparencia, Acceso a la Información y Protección de Datos Personales, INAI, el cual refiere lo siguiente:</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1817" w:right="1024" w:firstLine="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La clasificación y la inexistencia de información son conceptos que no pueden coexistir</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rsidR="00000000" w:rsidDel="00000000" w:rsidP="00000000" w:rsidRDefault="00000000" w:rsidRPr="00000000" w14:paraId="0000003F">
      <w:pPr>
        <w:pStyle w:val="Heading2"/>
        <w:spacing w:before="243" w:line="360" w:lineRule="auto"/>
        <w:ind w:right="122" w:firstLine="965"/>
        <w:rPr/>
        <w:sectPr>
          <w:type w:val="nextPage"/>
          <w:pgSz w:h="15840" w:w="12240" w:orient="portrait"/>
          <w:pgMar w:bottom="0" w:top="340" w:left="1020" w:right="1200" w:header="360" w:footer="360"/>
        </w:sectPr>
      </w:pPr>
      <w:r w:rsidDel="00000000" w:rsidR="00000000" w:rsidRPr="00000000">
        <w:rPr>
          <w:rtl w:val="0"/>
        </w:rPr>
        <w:t xml:space="preserve">Es por todo lo vertido en líneas argumentativas anteriores que la suscrita no comparte que la Ponencia que resolvió hubiera determinado que el </w:t>
      </w:r>
      <w:r w:rsidDel="00000000" w:rsidR="00000000" w:rsidRPr="00000000">
        <w:rPr>
          <w:b w:val="1"/>
          <w:rtl w:val="0"/>
        </w:rPr>
        <w:t xml:space="preserve">Sujeto Obligado, </w:t>
      </w:r>
      <w:r w:rsidDel="00000000" w:rsidR="00000000" w:rsidRPr="00000000">
        <w:rPr>
          <w:rtl w:val="0"/>
        </w:rPr>
        <w:t xml:space="preserve">deba proporcionar dicha documental, razón por la cual se emite el presente Voto particular.</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694897</wp:posOffset>
            </wp:positionH>
            <wp:positionV relativeFrom="page">
              <wp:posOffset>220393</wp:posOffset>
            </wp:positionV>
            <wp:extent cx="6155207" cy="9598738"/>
            <wp:effectExtent b="0" l="0" r="0" t="0"/>
            <wp:wrapNone/>
            <wp:docPr id="3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155207" cy="9598738"/>
                    </a:xfrm>
                    <a:prstGeom prst="rect"/>
                    <a:ln/>
                  </pic:spPr>
                </pic:pic>
              </a:graphicData>
            </a:graphic>
          </wp:anchor>
        </w:drawing>
      </w: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2">
      <w:pPr>
        <w:spacing w:before="0" w:lineRule="auto"/>
        <w:ind w:left="4964" w:right="116" w:firstLine="2909"/>
        <w:jc w:val="left"/>
        <w:rPr>
          <w:b w:val="1"/>
          <w:sz w:val="20"/>
          <w:szCs w:val="20"/>
        </w:rPr>
      </w:pPr>
      <w:r w:rsidDel="00000000" w:rsidR="00000000" w:rsidRPr="00000000">
        <w:rPr>
          <w:b w:val="1"/>
          <w:sz w:val="20"/>
          <w:szCs w:val="20"/>
          <w:rtl w:val="0"/>
        </w:rPr>
        <w:t xml:space="preserve">VOTO PARTICULAR RECURSO DE REVISIÓN 01484/INFOEM/IP/RR/2023</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4">
      <w:pPr>
        <w:pStyle w:val="Heading1"/>
        <w:numPr>
          <w:ilvl w:val="1"/>
          <w:numId w:val="2"/>
        </w:numPr>
        <w:tabs>
          <w:tab w:val="left" w:leader="none" w:pos="1683"/>
        </w:tabs>
        <w:spacing w:after="0" w:before="0" w:line="240" w:lineRule="auto"/>
        <w:ind w:left="1683" w:right="0" w:hanging="358.0000000000001"/>
        <w:jc w:val="left"/>
        <w:rPr/>
      </w:pPr>
      <w:r w:rsidDel="00000000" w:rsidR="00000000" w:rsidRPr="00000000">
        <w:rPr>
          <w:rtl w:val="0"/>
        </w:rPr>
        <w:t xml:space="preserve">De la publicidad de la fotografía de servidores públicos.</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pStyle w:val="Heading2"/>
        <w:spacing w:before="1" w:line="360" w:lineRule="auto"/>
        <w:ind w:right="120" w:firstLine="965"/>
        <w:rPr/>
      </w:pPr>
      <w:r w:rsidDel="00000000" w:rsidR="00000000" w:rsidRPr="00000000">
        <w:rPr>
          <w:rtl w:val="0"/>
        </w:rPr>
        <w:t xml:space="preserve">Es preciso mencionar que, el presente voto se formula en relación con la fotografía que se puede advertir en el documento que acredite el último grado de estudios y curriculum vitae, con los que cuenten los servidores públicos que no son mandos medios ni superiores, toda vez que en la resolución se considera que la fotografía de todos servidores públicos debe ser pública, sin embargo se debió considerar que no todos los servidores públicos tienen cargos de </w:t>
      </w:r>
      <w:r w:rsidDel="00000000" w:rsidR="00000000" w:rsidRPr="00000000">
        <w:rPr>
          <w:b w:val="1"/>
          <w:u w:val="single"/>
          <w:rtl w:val="0"/>
        </w:rPr>
        <w:t xml:space="preserve">mandos medios ni superiores</w:t>
      </w:r>
      <w:r w:rsidDel="00000000" w:rsidR="00000000" w:rsidRPr="00000000">
        <w:rPr>
          <w:b w:val="1"/>
          <w:rtl w:val="0"/>
        </w:rPr>
        <w:t xml:space="preserve"> </w:t>
      </w:r>
      <w:r w:rsidDel="00000000" w:rsidR="00000000" w:rsidRPr="00000000">
        <w:rPr>
          <w:rtl w:val="0"/>
        </w:rPr>
        <w:t xml:space="preserve">y que posiblemente tampoco tienen interacción con atención al público, por lo que, la suscrita considera que su imagen debe ser clasificada como información confidencial por las consideraciones que a continuación se expresan.</w:t>
      </w:r>
    </w:p>
    <w:p w:rsidR="00000000" w:rsidDel="00000000" w:rsidP="00000000" w:rsidRDefault="00000000" w:rsidRPr="00000000" w14:paraId="00000047">
      <w:pPr>
        <w:spacing w:before="239" w:line="360" w:lineRule="auto"/>
        <w:ind w:left="965" w:right="133" w:firstLine="0"/>
        <w:jc w:val="both"/>
        <w:rPr>
          <w:sz w:val="24"/>
          <w:szCs w:val="24"/>
        </w:rPr>
      </w:pPr>
      <w:r w:rsidDel="00000000" w:rsidR="00000000" w:rsidRPr="00000000">
        <w:rPr>
          <w:sz w:val="24"/>
          <w:szCs w:val="24"/>
          <w:rtl w:val="0"/>
        </w:rPr>
        <w:t xml:space="preserve">Al respecto la Ponencia Resolutora, de conformidad con el criterio mayoritario adoptado por los integrantes del pleno, consideró lo siguiente:</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240" w:lineRule="auto"/>
        <w:ind w:left="1817" w:right="1115"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“Ahora bien, respecto a la fotografía es de señalar que los documentos que dan cuenta de la preparación académica, sirven como medios de identificación, para que a su titular lo relacionen con el nivel de estudios con que cuenta, es decir, permite verificar el nivel conocimientos con los que cuenta una determinada persona, para ocupar un cargo público; por lo que, acceder a un documento que acredite preparación en algún campo del conocimiento, con la fotografía, proporciona información valiosa sobre la experiencia académica de quienes ocupan cargos en la administración pública, ya que permite conocer con toda certeza y de manera indudable si las personas que se desempeñan como servidores públicos tienen el perfil idóneo para desarrollar las actividades y atribuciones que se deriven de su encargo.</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531" w:right="111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sectPr>
          <w:type w:val="nextPage"/>
          <w:pgSz w:h="15840" w:w="12240" w:orient="portrait"/>
          <w:pgMar w:bottom="0" w:top="340" w:left="1020" w:right="1200" w:header="360" w:footer="360"/>
        </w:sect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Bajo este orden de ideas, la entrega con el mayor número de elementos en los documentos que acreditan el nivel académico o de preparación en algún área del conocimiento, aporta elementos de convicción sobre su legalidad y legitimidad, además de que permite verificar que los servidores públicos que ocupan cargos en la</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694897</wp:posOffset>
            </wp:positionH>
            <wp:positionV relativeFrom="page">
              <wp:posOffset>220393</wp:posOffset>
            </wp:positionV>
            <wp:extent cx="6155207" cy="9598738"/>
            <wp:effectExtent b="0" l="0" r="0" t="0"/>
            <wp:wrapNone/>
            <wp:docPr id="36"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155207" cy="9598738"/>
                    </a:xfrm>
                    <a:prstGeom prst="rect"/>
                    <a:ln/>
                  </pic:spPr>
                </pic:pic>
              </a:graphicData>
            </a:graphic>
          </wp:anchor>
        </w:drawing>
      </w: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C">
      <w:pPr>
        <w:spacing w:before="0" w:lineRule="auto"/>
        <w:ind w:left="4964" w:right="116" w:firstLine="2909"/>
        <w:jc w:val="left"/>
        <w:rPr>
          <w:b w:val="1"/>
          <w:sz w:val="20"/>
          <w:szCs w:val="20"/>
        </w:rPr>
      </w:pPr>
      <w:r w:rsidDel="00000000" w:rsidR="00000000" w:rsidRPr="00000000">
        <w:rPr>
          <w:b w:val="1"/>
          <w:sz w:val="20"/>
          <w:szCs w:val="20"/>
          <w:rtl w:val="0"/>
        </w:rPr>
        <w:t xml:space="preserve">VOTO PARTICULAR RECURSO DE REVISIÓN 01484/INFOEM/IP/RR/2023</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1" w:right="1117"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administración pública, acreditaron el nivel académico que ostentan y en muchas ocasiones esta información también permite verificar su idoneidad para el cargo.</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531" w:right="1116"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Además, resulta necesario traer a colación, el Criterio de Interpretación, de la Segunda Época, con número de registro SO/015/2017, emitido por el Instituto Nacional de Transparencia, Acceso a la Información y Protección de Datos Personales, que precisa, que la fotografía localizada en título o cédula profesional guarda la naturaleza de pública, pues existe un interés público de conocer, de manera clara y específica, a la persona que se ostenta con una calidad profesional, tal como se muestra a continuación:</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531" w:right="1678"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Fotografía en título o cédula profesional es de acceso público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531" w:right="1118"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Conforme al criterio establecido, se podría mencionar que la fotografía de cualquier persona que se encuentre en un título o cédula profesional, no es confidencial; por lo que, dicho dato, para cualquier documento que acredite el nivel de estudios de servidores públicos, tampoco podría considerarse clasificado, pues permite conocer a la ciudadanía de manera clara al trabajador que se ostenta con una calidad profesional específica; lo anterior, toma hincapié pues entregar la fotografía permite identificar plenamente a su titular, como el profesional capacitado para ejercer la profesión para la cual se le ha autorizado o el que tiene la trayectoria laboral que se indica y, por ende, valorar su idoneidad en la función pública que desempeñe.</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531" w:right="1116"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sectPr>
          <w:type w:val="nextPage"/>
          <w:pgSz w:h="15840" w:w="12240" w:orient="portrait"/>
          <w:pgMar w:bottom="0" w:top="340" w:left="1020" w:right="1200" w:header="360" w:footer="360"/>
        </w:sect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En ese orden de ideas, el actuar de los servidores públicos incide de manera específica en los derechos de los particulares, pues el acto realizado por un trabajador gubernamental en ejercicio de sus funciones, engendra derechos y obligaciones, al ser de carácter administrativo, en este sentido, todas las fotografías de los servidores públicos, sin importar su cargo o puesto, es un dato personal, que no puede ser clasificado como confidencial, pues existe un interés público de conocer si en realidad, la persona que se ostenta como trabajador gubernamental, se encuentra en ese encargo; sin que se considere como factor diferenciador el cargo o nivel jerárquico en el que se desempeñe el servidor público.</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694897</wp:posOffset>
            </wp:positionH>
            <wp:positionV relativeFrom="page">
              <wp:posOffset>220393</wp:posOffset>
            </wp:positionV>
            <wp:extent cx="6155207" cy="9598738"/>
            <wp:effectExtent b="0" l="0" r="0" t="0"/>
            <wp:wrapNone/>
            <wp:docPr id="3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155207" cy="9598738"/>
                    </a:xfrm>
                    <a:prstGeom prst="rect"/>
                    <a:ln/>
                  </pic:spPr>
                </pic:pic>
              </a:graphicData>
            </a:graphic>
          </wp:anchor>
        </w:drawing>
      </w: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5">
      <w:pPr>
        <w:spacing w:before="0" w:lineRule="auto"/>
        <w:ind w:left="4964" w:right="116" w:firstLine="2909"/>
        <w:jc w:val="left"/>
        <w:rPr>
          <w:b w:val="1"/>
          <w:sz w:val="20"/>
          <w:szCs w:val="20"/>
        </w:rPr>
      </w:pPr>
      <w:r w:rsidDel="00000000" w:rsidR="00000000" w:rsidRPr="00000000">
        <w:rPr>
          <w:b w:val="1"/>
          <w:sz w:val="20"/>
          <w:szCs w:val="20"/>
          <w:rtl w:val="0"/>
        </w:rPr>
        <w:t xml:space="preserve">VOTO PARTICULAR RECURSO DE REVISIÓN 01484/INFOEM/IP/RR/2023</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7" w:right="1116"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Ahora bien, no se pasa por alto que el Criterio 03/19, emitido por el Pleno de este Instituto, que precisa que la fotografía de los servidores públicos que tengan categoría de mando medio o superior, será de naturaleza pública, toda vez que existe un interés público de dar a conocer dichos datos, por sus atribuciones y funciones de dirección y mando que desarrolla.</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817" w:right="111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Sobre el tema, es de señalar que el Criterio mencionado en el párrafo anterior, y el SO/015/2017 emitido por el Instituto Nacional de Transparencia, Acceso a la Información y Protección de Datos Personales, no se contraponen, pues el primero precisa que la fotografía de mandos medios y superiores es pública en cualquier documento, mientras que el segundo, señala que el dato en cuestión, en título y cédula profesional es público en cualquier caso.</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817" w:right="1115"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En otras palabras, el Criterio de este Instituto es general para cualquier documento donde obre el dato; mientras que el Nacional es específico al ceñirlo a expresiones documentales específicas y de determinada naturaleza, cuyo fin es acreditar un nivel profesional, razonamiento a la que se suma la mayoría del Pleno, de una nueva reflexión a la naturaleza de los títulos y cédulas profesionales, al considerar que existe interés público de dar conocer el dato en cuestión.</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5A">
      <w:pPr>
        <w:pStyle w:val="Heading2"/>
        <w:spacing w:before="244" w:line="360" w:lineRule="auto"/>
        <w:ind w:right="124" w:firstLine="965"/>
        <w:rPr/>
        <w:sectPr>
          <w:type w:val="nextPage"/>
          <w:pgSz w:h="15840" w:w="12240" w:orient="portrait"/>
          <w:pgMar w:bottom="0" w:top="340" w:left="1020" w:right="1200" w:header="360" w:footer="360"/>
        </w:sectPr>
      </w:pPr>
      <w:r w:rsidDel="00000000" w:rsidR="00000000" w:rsidRPr="00000000">
        <w:rPr>
          <w:rtl w:val="0"/>
        </w:rPr>
        <w:t xml:space="preserve">En ese sentido, no escapa de la óptica de la suscrita que por cuanto hace a la fotografía, constituye la reproducción fiel de las características físicas de una persona en un momento determinado, además, de que representa un instrumento de identificación, proyección exterior y factor imprescindible para su propio reconocimiento como sujeto individual; por tanto, es un dato personal confidencial que debe protegerse en los documentos que lo contengan, según lo dispuesto por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694897</wp:posOffset>
            </wp:positionH>
            <wp:positionV relativeFrom="page">
              <wp:posOffset>220393</wp:posOffset>
            </wp:positionV>
            <wp:extent cx="6155207" cy="9598738"/>
            <wp:effectExtent b="0" l="0" r="0" t="0"/>
            <wp:wrapNone/>
            <wp:docPr id="35"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155207" cy="9598738"/>
                    </a:xfrm>
                    <a:prstGeom prst="rect"/>
                    <a:ln/>
                  </pic:spPr>
                </pic:pic>
              </a:graphicData>
            </a:graphic>
          </wp:anchor>
        </w:drawing>
      </w: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D">
      <w:pPr>
        <w:spacing w:before="0" w:lineRule="auto"/>
        <w:ind w:left="4964" w:right="116" w:firstLine="2909"/>
        <w:jc w:val="left"/>
        <w:rPr>
          <w:b w:val="1"/>
          <w:sz w:val="20"/>
          <w:szCs w:val="20"/>
        </w:rPr>
      </w:pPr>
      <w:r w:rsidDel="00000000" w:rsidR="00000000" w:rsidRPr="00000000">
        <w:rPr>
          <w:b w:val="1"/>
          <w:sz w:val="20"/>
          <w:szCs w:val="20"/>
          <w:rtl w:val="0"/>
        </w:rPr>
        <w:t xml:space="preserve">VOTO PARTICULAR RECURSO DE REVISIÓN 01484/INFOEM/IP/RR/2023</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F">
      <w:pPr>
        <w:spacing w:before="0" w:line="360" w:lineRule="auto"/>
        <w:ind w:left="965" w:right="123" w:firstLine="0"/>
        <w:jc w:val="both"/>
        <w:rPr>
          <w:sz w:val="24"/>
          <w:szCs w:val="24"/>
        </w:rPr>
      </w:pPr>
      <w:r w:rsidDel="00000000" w:rsidR="00000000" w:rsidRPr="00000000">
        <w:rPr>
          <w:sz w:val="24"/>
          <w:szCs w:val="24"/>
          <w:rtl w:val="0"/>
        </w:rPr>
        <w:t xml:space="preserve">Ahora bien, en materia de servidores públicos existen funciones que por su naturaleza pueden ser de un mayor interés público, es decir, aquellas que tienen un impacto directo en la vida de las personas y en el funcionamiento de la sociedad o de las instituciones públicas, ejemplo de ello pueden ser los servidores públicos cuya función implica una posición de poder que deba estar sujeta a escrutinio y rendición de cuentas ante la sociedad; otros ejemplos son los servidores públicos responsables de la administración de recursos públicos, la implementación de políticas públicas, la prestación de servicios públicos, entre otros.</w:t>
      </w:r>
    </w:p>
    <w:p w:rsidR="00000000" w:rsidDel="00000000" w:rsidP="00000000" w:rsidRDefault="00000000" w:rsidRPr="00000000" w14:paraId="00000060">
      <w:pPr>
        <w:spacing w:before="241" w:line="360" w:lineRule="auto"/>
        <w:ind w:left="965" w:right="126" w:firstLine="0"/>
        <w:jc w:val="both"/>
        <w:rPr>
          <w:sz w:val="24"/>
          <w:szCs w:val="24"/>
        </w:rPr>
      </w:pPr>
      <w:r w:rsidDel="00000000" w:rsidR="00000000" w:rsidRPr="00000000">
        <w:rPr>
          <w:sz w:val="24"/>
          <w:szCs w:val="24"/>
          <w:rtl w:val="0"/>
        </w:rPr>
        <w:t xml:space="preserve">Por lo que, dado el interés público que reviste a las funciones de las y los funcionarios que dan atención al público, así como aquellos que cuenten con la calidad de mando medio y/o superior, considero que se debe dejar visible su fotografía pues, hacer pública la imagen de éstos, puede contribuir a la transparencia y la rendición de cuentas, ya que permite a la ciudadanía identificar a los funcionarios que toman decisiones importantes en su nombre.</w:t>
      </w:r>
    </w:p>
    <w:p w:rsidR="00000000" w:rsidDel="00000000" w:rsidP="00000000" w:rsidRDefault="00000000" w:rsidRPr="00000000" w14:paraId="00000061">
      <w:pPr>
        <w:spacing w:before="240" w:line="360" w:lineRule="auto"/>
        <w:ind w:left="965" w:right="123" w:firstLine="0"/>
        <w:jc w:val="both"/>
        <w:rPr>
          <w:sz w:val="24"/>
          <w:szCs w:val="24"/>
        </w:rPr>
        <w:sectPr>
          <w:type w:val="nextPage"/>
          <w:pgSz w:h="15840" w:w="12240" w:orient="portrait"/>
          <w:pgMar w:bottom="0" w:top="340" w:left="1020" w:right="1200" w:header="360" w:footer="360"/>
        </w:sectPr>
      </w:pPr>
      <w:r w:rsidDel="00000000" w:rsidR="00000000" w:rsidRPr="00000000">
        <w:rPr>
          <w:sz w:val="24"/>
          <w:szCs w:val="24"/>
          <w:rtl w:val="0"/>
        </w:rPr>
        <w:t xml:space="preserve">Sin embargo, para el caso que nos ocupa se ordenó la entrega de información que, dada su propia y especial naturaleza, podría contener la fotografía de servidoras y servidores públicos que laboran para el </w:t>
      </w:r>
      <w:r w:rsidDel="00000000" w:rsidR="00000000" w:rsidRPr="00000000">
        <w:rPr>
          <w:b w:val="1"/>
          <w:sz w:val="24"/>
          <w:szCs w:val="24"/>
          <w:rtl w:val="0"/>
        </w:rPr>
        <w:t xml:space="preserve">Sujeto Obligado </w:t>
      </w:r>
      <w:r w:rsidDel="00000000" w:rsidR="00000000" w:rsidRPr="00000000">
        <w:rPr>
          <w:sz w:val="24"/>
          <w:szCs w:val="24"/>
          <w:rtl w:val="0"/>
        </w:rPr>
        <w:t xml:space="preserve">que no son mandos medios ni superiores y que tampoco tienen funciones de atención al público, por lo que los documentos que contengan dicho dato deberían ser entregados en versión pública testando la fotografía, pues se considera importante equilibrar el interés público con el derecho a la privacidad de las y los servidores públicos y ponderar si realmente es necesario y proporcional hacer pública su imagen, pues, en algunos casos, el interés</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694897</wp:posOffset>
            </wp:positionH>
            <wp:positionV relativeFrom="page">
              <wp:posOffset>220393</wp:posOffset>
            </wp:positionV>
            <wp:extent cx="6155207" cy="9598738"/>
            <wp:effectExtent b="0" l="0" r="0" t="0"/>
            <wp:wrapNone/>
            <wp:docPr id="4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155207" cy="9598738"/>
                    </a:xfrm>
                    <a:prstGeom prst="rect"/>
                    <a:ln/>
                  </pic:spPr>
                </pic:pic>
              </a:graphicData>
            </a:graphic>
          </wp:anchor>
        </w:drawing>
      </w: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4">
      <w:pPr>
        <w:spacing w:before="0" w:lineRule="auto"/>
        <w:ind w:left="4964" w:right="116" w:firstLine="2909"/>
        <w:jc w:val="left"/>
        <w:rPr>
          <w:b w:val="1"/>
          <w:sz w:val="20"/>
          <w:szCs w:val="20"/>
        </w:rPr>
      </w:pPr>
      <w:r w:rsidDel="00000000" w:rsidR="00000000" w:rsidRPr="00000000">
        <w:rPr>
          <w:b w:val="1"/>
          <w:sz w:val="20"/>
          <w:szCs w:val="20"/>
          <w:rtl w:val="0"/>
        </w:rPr>
        <w:t xml:space="preserve">VOTO PARTICULAR RECURSO DE REVISIÓN 01484/INFOEM/IP/RR/2023</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6">
      <w:pPr>
        <w:pStyle w:val="Heading2"/>
        <w:spacing w:before="0" w:line="360" w:lineRule="auto"/>
        <w:ind w:right="132" w:firstLine="965"/>
        <w:rPr/>
      </w:pPr>
      <w:r w:rsidDel="00000000" w:rsidR="00000000" w:rsidRPr="00000000">
        <w:rPr>
          <w:rtl w:val="0"/>
        </w:rPr>
        <w:t xml:space="preserve">público de hacer pública la imagen de un servidor público puede justificar la limitación de su derecho a la privacidad, pero esto debe evaluarse cuidadosamente en cada caso y no ser la regla general.</w:t>
      </w:r>
    </w:p>
    <w:p w:rsidR="00000000" w:rsidDel="00000000" w:rsidP="00000000" w:rsidRDefault="00000000" w:rsidRPr="00000000" w14:paraId="00000067">
      <w:pPr>
        <w:spacing w:before="240" w:line="357" w:lineRule="auto"/>
        <w:ind w:left="965" w:right="122" w:firstLine="0"/>
        <w:jc w:val="both"/>
        <w:rPr>
          <w:b w:val="1"/>
          <w:sz w:val="24"/>
          <w:szCs w:val="24"/>
        </w:rPr>
      </w:pPr>
      <w:r w:rsidDel="00000000" w:rsidR="00000000" w:rsidRPr="00000000">
        <w:rPr>
          <w:sz w:val="24"/>
          <w:szCs w:val="24"/>
          <w:rtl w:val="0"/>
        </w:rPr>
        <w:t xml:space="preserve">Es por las razones antes expuestas no comparto este punto del estudio de la resolución dictada, y, por ende se emite el presente </w:t>
      </w:r>
      <w:r w:rsidDel="00000000" w:rsidR="00000000" w:rsidRPr="00000000">
        <w:rPr>
          <w:b w:val="1"/>
          <w:sz w:val="24"/>
          <w:szCs w:val="24"/>
          <w:rtl w:val="0"/>
        </w:rPr>
        <w:t xml:space="preserve">Voto Particular </w:t>
      </w:r>
      <w:r w:rsidDel="00000000" w:rsidR="00000000" w:rsidRPr="00000000">
        <w:rPr>
          <w:sz w:val="24"/>
          <w:szCs w:val="24"/>
          <w:rtl w:val="0"/>
        </w:rPr>
        <w:t xml:space="preserve">pues considero que no se debe dejar visible la fotografía de las y los servidores públicos que </w:t>
      </w:r>
      <w:r w:rsidDel="00000000" w:rsidR="00000000" w:rsidRPr="00000000">
        <w:rPr>
          <w:b w:val="1"/>
          <w:sz w:val="24"/>
          <w:szCs w:val="24"/>
          <w:u w:val="single"/>
          <w:rtl w:val="0"/>
        </w:rPr>
        <w:t xml:space="preserve">NO</w:t>
      </w:r>
      <w:r w:rsidDel="00000000" w:rsidR="00000000" w:rsidRPr="00000000">
        <w:rPr>
          <w:rtl w:val="0"/>
        </w:rPr>
      </w:r>
    </w:p>
    <w:p w:rsidR="00000000" w:rsidDel="00000000" w:rsidP="00000000" w:rsidRDefault="00000000" w:rsidRPr="00000000" w14:paraId="00000068">
      <w:pPr>
        <w:spacing w:before="8" w:line="360" w:lineRule="auto"/>
        <w:ind w:left="965" w:right="0" w:firstLine="0"/>
        <w:jc w:val="left"/>
        <w:rPr>
          <w:sz w:val="24"/>
          <w:szCs w:val="24"/>
        </w:rPr>
      </w:pPr>
      <w:r w:rsidDel="00000000" w:rsidR="00000000" w:rsidRPr="00000000">
        <w:rPr>
          <w:b w:val="1"/>
          <w:sz w:val="24"/>
          <w:szCs w:val="24"/>
          <w:u w:val="single"/>
          <w:rtl w:val="0"/>
        </w:rPr>
        <w:t xml:space="preserve">cuenten con la calidad de mando medio y/o superior</w:t>
      </w:r>
      <w:r w:rsidDel="00000000" w:rsidR="00000000" w:rsidRPr="00000000">
        <w:rPr>
          <w:sz w:val="24"/>
          <w:szCs w:val="24"/>
          <w:rtl w:val="0"/>
        </w:rPr>
        <w:t xml:space="preserve">, o </w:t>
      </w:r>
      <w:r w:rsidDel="00000000" w:rsidR="00000000" w:rsidRPr="00000000">
        <w:rPr>
          <w:b w:val="1"/>
          <w:sz w:val="24"/>
          <w:szCs w:val="24"/>
          <w:u w:val="single"/>
          <w:rtl w:val="0"/>
        </w:rPr>
        <w:t xml:space="preserve">no tengan atención al</w:t>
      </w:r>
      <w:r w:rsidDel="00000000" w:rsidR="00000000" w:rsidRPr="00000000">
        <w:rPr>
          <w:b w:val="1"/>
          <w:sz w:val="24"/>
          <w:szCs w:val="24"/>
          <w:rtl w:val="0"/>
        </w:rPr>
        <w:t xml:space="preserve"> </w:t>
      </w:r>
      <w:r w:rsidDel="00000000" w:rsidR="00000000" w:rsidRPr="00000000">
        <w:rPr>
          <w:b w:val="1"/>
          <w:sz w:val="24"/>
          <w:szCs w:val="24"/>
          <w:u w:val="single"/>
          <w:rtl w:val="0"/>
        </w:rPr>
        <w:t xml:space="preserve">público </w:t>
      </w:r>
      <w:r w:rsidDel="00000000" w:rsidR="00000000" w:rsidRPr="00000000">
        <w:rPr>
          <w:sz w:val="24"/>
          <w:szCs w:val="24"/>
          <w:rtl w:val="0"/>
        </w:rPr>
        <w:t xml:space="preserve">por tanto, se estima que se actualiza la causal de clasificación establecida en</w:t>
      </w:r>
    </w:p>
    <w:p w:rsidR="00000000" w:rsidDel="00000000" w:rsidP="00000000" w:rsidRDefault="00000000" w:rsidRPr="00000000" w14:paraId="00000069">
      <w:pPr>
        <w:spacing w:before="3" w:line="360" w:lineRule="auto"/>
        <w:ind w:left="965" w:right="0" w:firstLine="0"/>
        <w:jc w:val="left"/>
        <w:rPr>
          <w:sz w:val="24"/>
          <w:szCs w:val="24"/>
        </w:rPr>
        <w:sectPr>
          <w:type w:val="nextPage"/>
          <w:pgSz w:h="15840" w:w="12240" w:orient="portrait"/>
          <w:pgMar w:bottom="0" w:top="340" w:left="1020" w:right="1200" w:header="360" w:footer="360"/>
        </w:sectPr>
      </w:pPr>
      <w:r w:rsidDel="00000000" w:rsidR="00000000" w:rsidRPr="00000000">
        <w:rPr>
          <w:sz w:val="24"/>
          <w:szCs w:val="24"/>
          <w:rtl w:val="0"/>
        </w:rPr>
        <w:t xml:space="preserve">el artículo 143, fracción I, de la Ley de la Ley de Transparencia y Acceso a la Información Pública del Estado de México y Municipios.</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posOffset>0</wp:posOffset>
                </wp:positionH>
                <wp:positionV relativeFrom="page">
                  <wp:posOffset>9250253</wp:posOffset>
                </wp:positionV>
                <wp:extent cx="7379334" cy="808355"/>
                <wp:effectExtent b="0" l="0" r="0" t="0"/>
                <wp:wrapNone/>
                <wp:docPr id="29" name=""/>
                <a:graphic>
                  <a:graphicData uri="http://schemas.microsoft.com/office/word/2010/wordprocessingGroup">
                    <wpg:wgp>
                      <wpg:cNvGrpSpPr/>
                      <wpg:grpSpPr>
                        <a:xfrm>
                          <a:off x="1656325" y="3375800"/>
                          <a:ext cx="7379334" cy="808355"/>
                          <a:chOff x="1656325" y="3375800"/>
                          <a:chExt cx="7379350" cy="808375"/>
                        </a:xfrm>
                      </wpg:grpSpPr>
                      <wpg:grpSp>
                        <wpg:cNvGrpSpPr/>
                        <wpg:grpSpPr>
                          <a:xfrm>
                            <a:off x="1656333" y="3375823"/>
                            <a:ext cx="7379325" cy="808350"/>
                            <a:chOff x="0" y="0"/>
                            <a:chExt cx="7379325" cy="808350"/>
                          </a:xfrm>
                        </wpg:grpSpPr>
                        <wps:wsp>
                          <wps:cNvSpPr/>
                          <wps:cNvPr id="3" name="Shape 3"/>
                          <wps:spPr>
                            <a:xfrm>
                              <a:off x="0" y="0"/>
                              <a:ext cx="7379325" cy="808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11">
                              <a:alphaModFix/>
                            </a:blip>
                            <a:srcRect b="0" l="0" r="0" t="0"/>
                            <a:stretch/>
                          </pic:blipFill>
                          <pic:spPr>
                            <a:xfrm>
                              <a:off x="0" y="92627"/>
                              <a:ext cx="7379208" cy="715518"/>
                            </a:xfrm>
                            <a:prstGeom prst="rect">
                              <a:avLst/>
                            </a:prstGeom>
                            <a:noFill/>
                            <a:ln>
                              <a:noFill/>
                            </a:ln>
                          </pic:spPr>
                        </pic:pic>
                        <wps:wsp>
                          <wps:cNvSpPr/>
                          <wps:cNvPr id="5" name="Shape 5"/>
                          <wps:spPr>
                            <a:xfrm>
                              <a:off x="6045200" y="0"/>
                              <a:ext cx="929640" cy="135255"/>
                            </a:xfrm>
                            <a:prstGeom prst="rect">
                              <a:avLst/>
                            </a:prstGeom>
                            <a:noFill/>
                            <a:ln>
                              <a:noFill/>
                            </a:ln>
                          </wps:spPr>
                          <wps:txbx>
                            <w:txbxContent>
                              <w:p w:rsidR="00000000" w:rsidDel="00000000" w:rsidP="00000000" w:rsidRDefault="00000000" w:rsidRPr="00000000">
                                <w:pPr>
                                  <w:spacing w:after="0" w:before="0" w:line="212.0000123977661"/>
                                  <w:ind w:left="0" w:right="0" w:firstLine="0"/>
                                  <w:jc w:val="left"/>
                                  <w:textDirection w:val="btLr"/>
                                </w:pPr>
                                <w:r w:rsidDel="00000000" w:rsidR="00000000" w:rsidRPr="00000000">
                                  <w:rPr>
                                    <w:rFonts w:ascii="Palatino Linotype" w:cs="Palatino Linotype" w:eastAsia="Palatino Linotype" w:hAnsi="Palatino Linotype"/>
                                    <w:b w:val="0"/>
                                    <w:i w:val="0"/>
                                    <w:smallCaps w:val="0"/>
                                    <w:strike w:val="0"/>
                                    <w:color w:val="000000"/>
                                    <w:sz w:val="21"/>
                                    <w:vertAlign w:val="baseline"/>
                                  </w:rPr>
                                  <w:t xml:space="preserve">Página 12 de 12</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page">
                  <wp:posOffset>0</wp:posOffset>
                </wp:positionH>
                <wp:positionV relativeFrom="page">
                  <wp:posOffset>9250253</wp:posOffset>
                </wp:positionV>
                <wp:extent cx="7379334" cy="808355"/>
                <wp:effectExtent b="0" l="0" r="0" t="0"/>
                <wp:wrapNone/>
                <wp:docPr id="29"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7379334" cy="808355"/>
                        </a:xfrm>
                        <a:prstGeom prst="rect"/>
                        <a:ln/>
                      </pic:spPr>
                    </pic:pic>
                  </a:graphicData>
                </a:graphic>
              </wp:anchor>
            </w:drawing>
          </mc:Fallback>
        </mc:AlternateConten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Pr>
        <w:drawing>
          <wp:inline distB="0" distT="0" distL="0" distR="0">
            <wp:extent cx="1486757" cy="700944"/>
            <wp:effectExtent b="0" l="0" r="0" t="0"/>
            <wp:docPr id="37"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486757" cy="700944"/>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5">
      <w:pPr>
        <w:spacing w:before="1" w:lineRule="auto"/>
        <w:ind w:left="1900" w:right="0" w:firstLine="0"/>
        <w:jc w:val="left"/>
        <w:rPr>
          <w:sz w:val="18"/>
          <w:szCs w:val="18"/>
        </w:rPr>
      </w:pPr>
      <w:r w:rsidDel="00000000" w:rsidR="00000000" w:rsidRPr="00000000">
        <w:rPr>
          <w:rtl w:val="0"/>
        </w:rPr>
      </w:r>
    </w:p>
    <w:sectPr>
      <w:type w:val="nextPage"/>
      <w:pgSz w:h="15840" w:w="12240" w:orient="portrait"/>
      <w:pgMar w:bottom="0" w:top="620" w:left="1020" w:right="1200" w:header="36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1531" w:hanging="140"/>
      </w:pPr>
      <w:rPr>
        <w:rFonts w:ascii="Noto Sans Symbols" w:cs="Noto Sans Symbols" w:eastAsia="Noto Sans Symbols" w:hAnsi="Noto Sans Symbols"/>
        <w:b w:val="0"/>
        <w:i w:val="0"/>
        <w:sz w:val="20"/>
        <w:szCs w:val="20"/>
      </w:rPr>
    </w:lvl>
    <w:lvl w:ilvl="1">
      <w:start w:val="0"/>
      <w:numFmt w:val="bullet"/>
      <w:lvlText w:val="•"/>
      <w:lvlJc w:val="left"/>
      <w:pPr>
        <w:ind w:left="2388" w:hanging="140"/>
      </w:pPr>
      <w:rPr/>
    </w:lvl>
    <w:lvl w:ilvl="2">
      <w:start w:val="0"/>
      <w:numFmt w:val="bullet"/>
      <w:lvlText w:val="•"/>
      <w:lvlJc w:val="left"/>
      <w:pPr>
        <w:ind w:left="3236" w:hanging="140"/>
      </w:pPr>
      <w:rPr/>
    </w:lvl>
    <w:lvl w:ilvl="3">
      <w:start w:val="0"/>
      <w:numFmt w:val="bullet"/>
      <w:lvlText w:val="•"/>
      <w:lvlJc w:val="left"/>
      <w:pPr>
        <w:ind w:left="4084" w:hanging="140"/>
      </w:pPr>
      <w:rPr/>
    </w:lvl>
    <w:lvl w:ilvl="4">
      <w:start w:val="0"/>
      <w:numFmt w:val="bullet"/>
      <w:lvlText w:val="•"/>
      <w:lvlJc w:val="left"/>
      <w:pPr>
        <w:ind w:left="4932" w:hanging="140"/>
      </w:pPr>
      <w:rPr/>
    </w:lvl>
    <w:lvl w:ilvl="5">
      <w:start w:val="0"/>
      <w:numFmt w:val="bullet"/>
      <w:lvlText w:val="•"/>
      <w:lvlJc w:val="left"/>
      <w:pPr>
        <w:ind w:left="5780" w:hanging="140"/>
      </w:pPr>
      <w:rPr/>
    </w:lvl>
    <w:lvl w:ilvl="6">
      <w:start w:val="0"/>
      <w:numFmt w:val="bullet"/>
      <w:lvlText w:val="•"/>
      <w:lvlJc w:val="left"/>
      <w:pPr>
        <w:ind w:left="6628" w:hanging="140"/>
      </w:pPr>
      <w:rPr/>
    </w:lvl>
    <w:lvl w:ilvl="7">
      <w:start w:val="0"/>
      <w:numFmt w:val="bullet"/>
      <w:lvlText w:val="•"/>
      <w:lvlJc w:val="left"/>
      <w:pPr>
        <w:ind w:left="7476" w:hanging="140"/>
      </w:pPr>
      <w:rPr/>
    </w:lvl>
    <w:lvl w:ilvl="8">
      <w:start w:val="0"/>
      <w:numFmt w:val="bullet"/>
      <w:lvlText w:val="•"/>
      <w:lvlJc w:val="left"/>
      <w:pPr>
        <w:ind w:left="8324" w:hanging="140"/>
      </w:pPr>
      <w:rPr/>
    </w:lvl>
  </w:abstractNum>
  <w:abstractNum w:abstractNumId="2">
    <w:lvl w:ilvl="0">
      <w:start w:val="1"/>
      <w:numFmt w:val="upperRoman"/>
      <w:lvlText w:val="%1."/>
      <w:lvlJc w:val="left"/>
      <w:pPr>
        <w:ind w:left="1531" w:hanging="284"/>
      </w:pPr>
      <w:rPr>
        <w:rFonts w:ascii="Palatino Linotype" w:cs="Palatino Linotype" w:eastAsia="Palatino Linotype" w:hAnsi="Palatino Linotype"/>
        <w:b w:val="1"/>
        <w:i w:val="0"/>
        <w:sz w:val="24"/>
        <w:szCs w:val="24"/>
      </w:rPr>
    </w:lvl>
    <w:lvl w:ilvl="1">
      <w:start w:val="1"/>
      <w:numFmt w:val="upperLetter"/>
      <w:lvlText w:val="%2)"/>
      <w:lvlJc w:val="left"/>
      <w:pPr>
        <w:ind w:left="1685" w:hanging="360"/>
      </w:pPr>
      <w:rPr>
        <w:rFonts w:ascii="Palatino Linotype" w:cs="Palatino Linotype" w:eastAsia="Palatino Linotype" w:hAnsi="Palatino Linotype"/>
        <w:b w:val="1"/>
        <w:i w:val="0"/>
        <w:sz w:val="24"/>
        <w:szCs w:val="24"/>
      </w:rPr>
    </w:lvl>
    <w:lvl w:ilvl="2">
      <w:start w:val="0"/>
      <w:numFmt w:val="bullet"/>
      <w:lvlText w:val="•"/>
      <w:lvlJc w:val="left"/>
      <w:pPr>
        <w:ind w:left="2606" w:hanging="360"/>
      </w:pPr>
      <w:rPr/>
    </w:lvl>
    <w:lvl w:ilvl="3">
      <w:start w:val="0"/>
      <w:numFmt w:val="bullet"/>
      <w:lvlText w:val="•"/>
      <w:lvlJc w:val="left"/>
      <w:pPr>
        <w:ind w:left="3533" w:hanging="360"/>
      </w:pPr>
      <w:rPr/>
    </w:lvl>
    <w:lvl w:ilvl="4">
      <w:start w:val="0"/>
      <w:numFmt w:val="bullet"/>
      <w:lvlText w:val="•"/>
      <w:lvlJc w:val="left"/>
      <w:pPr>
        <w:ind w:left="4460" w:hanging="360"/>
      </w:pPr>
      <w:rPr/>
    </w:lvl>
    <w:lvl w:ilvl="5">
      <w:start w:val="0"/>
      <w:numFmt w:val="bullet"/>
      <w:lvlText w:val="•"/>
      <w:lvlJc w:val="left"/>
      <w:pPr>
        <w:ind w:left="5386" w:hanging="360"/>
      </w:pPr>
      <w:rPr/>
    </w:lvl>
    <w:lvl w:ilvl="6">
      <w:start w:val="0"/>
      <w:numFmt w:val="bullet"/>
      <w:lvlText w:val="•"/>
      <w:lvlJc w:val="left"/>
      <w:pPr>
        <w:ind w:left="6313" w:hanging="360"/>
      </w:pPr>
      <w:rPr/>
    </w:lvl>
    <w:lvl w:ilvl="7">
      <w:start w:val="0"/>
      <w:numFmt w:val="bullet"/>
      <w:lvlText w:val="•"/>
      <w:lvlJc w:val="left"/>
      <w:pPr>
        <w:ind w:left="7240" w:hanging="360"/>
      </w:pPr>
      <w:rPr/>
    </w:lvl>
    <w:lvl w:ilvl="8">
      <w:start w:val="0"/>
      <w:numFmt w:val="bullet"/>
      <w:lvlText w:val="•"/>
      <w:lvlJc w:val="left"/>
      <w:pPr>
        <w:ind w:left="8166" w:hanging="3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alatino Linotype" w:cs="Palatino Linotype" w:eastAsia="Palatino Linotype" w:hAnsi="Palatino Linotype"/>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683" w:hanging="358.0000000000001"/>
      <w:jc w:val="both"/>
    </w:pPr>
    <w:rPr>
      <w:rFonts w:ascii="Palatino Linotype" w:cs="Palatino Linotype" w:eastAsia="Palatino Linotype" w:hAnsi="Palatino Linotype"/>
      <w:b w:val="1"/>
      <w:sz w:val="24"/>
      <w:szCs w:val="24"/>
    </w:rPr>
  </w:style>
  <w:style w:type="paragraph" w:styleId="Heading2">
    <w:name w:val="heading 2"/>
    <w:basedOn w:val="Normal"/>
    <w:next w:val="Normal"/>
    <w:pPr>
      <w:spacing w:before="12" w:lineRule="auto"/>
      <w:ind w:left="965"/>
      <w:jc w:val="both"/>
    </w:pPr>
    <w:rPr>
      <w:rFonts w:ascii="Palatino Linotype" w:cs="Palatino Linotype" w:eastAsia="Palatino Linotype" w:hAnsi="Palatino Linotype"/>
      <w:sz w:val="24"/>
      <w:szCs w:val="24"/>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Normal" w:default="1">
    <w:name w:val="Normal"/>
    <w:uiPriority w:val="1"/>
    <w:qFormat w:val="1"/>
    <w:pPr/>
    <w:rPr>
      <w:rFonts w:ascii="Palatino Linotype" w:cs="Palatino Linotype" w:eastAsia="Palatino Linotype" w:hAnsi="Palatino Linotype"/>
      <w:lang w:bidi="ar-SA" w:eastAsia="en-US" w:val="es-ES"/>
    </w:rPr>
  </w:style>
  <w:style w:type="paragraph" w:styleId="BodyText">
    <w:name w:val="Body Text"/>
    <w:basedOn w:val="Normal"/>
    <w:uiPriority w:val="1"/>
    <w:qFormat w:val="1"/>
    <w:pPr/>
    <w:rPr>
      <w:rFonts w:ascii="Palatino Linotype" w:cs="Palatino Linotype" w:eastAsia="Palatino Linotype" w:hAnsi="Palatino Linotype"/>
      <w:i w:val="1"/>
      <w:iCs w:val="1"/>
      <w:sz w:val="22"/>
      <w:szCs w:val="22"/>
      <w:lang w:bidi="ar-SA" w:eastAsia="en-US" w:val="es-ES"/>
    </w:rPr>
  </w:style>
  <w:style w:type="paragraph" w:styleId="Heading1">
    <w:name w:val="Heading 1"/>
    <w:basedOn w:val="Normal"/>
    <w:uiPriority w:val="1"/>
    <w:qFormat w:val="1"/>
    <w:pPr>
      <w:ind w:left="1683" w:hanging="358"/>
      <w:jc w:val="both"/>
      <w:outlineLvl w:val="1"/>
    </w:pPr>
    <w:rPr>
      <w:rFonts w:ascii="Palatino Linotype" w:cs="Palatino Linotype" w:eastAsia="Palatino Linotype" w:hAnsi="Palatino Linotype"/>
      <w:b w:val="1"/>
      <w:bCs w:val="1"/>
      <w:sz w:val="24"/>
      <w:szCs w:val="24"/>
      <w:lang w:bidi="ar-SA" w:eastAsia="en-US" w:val="es-ES"/>
    </w:rPr>
  </w:style>
  <w:style w:type="paragraph" w:styleId="Heading2">
    <w:name w:val="Heading 2"/>
    <w:basedOn w:val="Normal"/>
    <w:uiPriority w:val="1"/>
    <w:qFormat w:val="1"/>
    <w:pPr>
      <w:spacing w:before="12"/>
      <w:ind w:left="965"/>
      <w:jc w:val="both"/>
      <w:outlineLvl w:val="2"/>
    </w:pPr>
    <w:rPr>
      <w:rFonts w:ascii="Palatino Linotype" w:cs="Palatino Linotype" w:eastAsia="Palatino Linotype" w:hAnsi="Palatino Linotype"/>
      <w:sz w:val="24"/>
      <w:szCs w:val="24"/>
      <w:lang w:bidi="ar-SA" w:eastAsia="en-US" w:val="es-ES"/>
    </w:rPr>
  </w:style>
  <w:style w:type="paragraph" w:styleId="ListParagraph">
    <w:name w:val="List Paragraph"/>
    <w:basedOn w:val="Normal"/>
    <w:uiPriority w:val="1"/>
    <w:qFormat w:val="1"/>
    <w:pPr>
      <w:ind w:left="1683" w:hanging="358"/>
      <w:jc w:val="both"/>
    </w:pPr>
    <w:rPr>
      <w:rFonts w:ascii="Palatino Linotype" w:cs="Palatino Linotype" w:eastAsia="Palatino Linotype" w:hAnsi="Palatino Linotype"/>
      <w:lang w:bidi="ar-SA" w:eastAsia="en-US" w:val="es-ES"/>
    </w:rPr>
  </w:style>
  <w:style w:type="paragraph" w:styleId="TableParagraph">
    <w:name w:val="Table Paragraph"/>
    <w:basedOn w:val="Normal"/>
    <w:uiPriority w:val="1"/>
    <w:qFormat w:val="1"/>
    <w:pPr/>
    <w:rPr>
      <w:lang w:bidi="ar-SA" w:eastAsia="en-US" w:val="es-E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hyperlink" Target="https://www.ipomex.org.mx/recursos/ipo/files_ipo/2014/8/11/630bc7787b59af912a96a9e1bca1c770.pdf#%3A~%3Atext%3DLa%20inscripci%C3%B3n%20con%20el%20car%C3%A1cter%2Cdel%20Estado%20de%20M%C3%A9xico%20e" TargetMode="External"/><Relationship Id="rId13" Type="http://schemas.openxmlformats.org/officeDocument/2006/relationships/image" Target="media/image1.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ipomex.org.mx/recursos/ipo/files_ipo/2014/8/11/630bc7787b59af912a96a9e1bca1c770.pdf#%3A~%3Atext%3DLa%20inscripci%C3%B3n%20con%20el%20car%C3%A1cter%2Cdel%20Estado%20de%20M%C3%A9xico%20e"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hyperlink" Target="https://www.ipomex.org.mx/recursos/ipo/files_ipo/2014/8/11/630bc7787b59af912a96a9e1bca1c770.pdf#%3A~%3Atext%3DLa%20inscripci%C3%B3n%20con%20el%20car%C3%A1cter%2Cdel%20Estado%20de%20M%C3%A9xico%20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KfEKy5Ftdm9Uz3x8EbIDLNdQDg==">CgMxLjA4AHIhMWJMTkdIb1pJN0xIUHZsc2xFM19PbzJON0lKZ3cxbEt5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2024-08-30T00:07:56Z</dcterms:created>
  <dc:creator>USUARIO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2023-12-04T00:00:00Z</vt:filetime>
  </property>
  <property fmtid="{D5CDD505-2E9C-101B-9397-08002B2CF9AE}" pid="3" name="Creator">
    <vt:lpwstr>Microsoft® Word 2013</vt:lpwstr>
  </property>
  <property fmtid="{D5CDD505-2E9C-101B-9397-08002B2CF9AE}" pid="4" name="LastSaved">
    <vt:filetime>2024-08-30T00:00:00Z</vt:filetime>
  </property>
  <property fmtid="{D5CDD505-2E9C-101B-9397-08002B2CF9AE}" pid="5" name="Producer">
    <vt:lpwstr>Microsoft® Word 2013; modified using iText® 5.5.13 ©2000-2018 iText Group NV (AGPL-version)</vt:lpwstr>
  </property>
</Properties>
</file>