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08A05FA4"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w:t>
      </w:r>
      <w:r w:rsidR="00893474">
        <w:rPr>
          <w:rFonts w:ascii="Palatino Linotype" w:hAnsi="Palatino Linotype" w:cs="Tahoma"/>
          <w:b/>
        </w:rPr>
        <w:t xml:space="preserve">INFORMACIÓN </w:t>
      </w:r>
      <w:r w:rsidR="00971AD6">
        <w:rPr>
          <w:rFonts w:ascii="Palatino Linotype" w:hAnsi="Palatino Linotype" w:cs="Tahoma"/>
          <w:b/>
        </w:rPr>
        <w:t xml:space="preserve">PÚBLICA Y PROTECCIÓN DE DATOS PERSONALES DEL ESTADO DE MÉXICO Y MUNICIPIOS AL RECURSO DE REVISIÓN </w:t>
      </w:r>
      <w:r w:rsidR="00D77AD4">
        <w:rPr>
          <w:rFonts w:ascii="Palatino Linotype" w:hAnsi="Palatino Linotype"/>
          <w:b/>
          <w:bCs/>
          <w:color w:val="000000" w:themeColor="text1"/>
        </w:rPr>
        <w:t>16321/INFOEM/IP/RR/2022 Y ACUMULADO</w:t>
      </w:r>
      <w:r w:rsidR="00971AD6">
        <w:rPr>
          <w:rFonts w:ascii="Palatino Linotype" w:hAnsi="Palatino Linotype" w:cs="Tahoma"/>
          <w:b/>
        </w:rPr>
        <w:t xml:space="preserve">, PROMOVIDO EN CONTRA DEL </w:t>
      </w:r>
      <w:r w:rsidR="00D77AD4" w:rsidRPr="00D77AD4">
        <w:rPr>
          <w:rFonts w:ascii="Palatino Linotype" w:eastAsia="Calibri" w:hAnsi="Palatino Linotype" w:cs="Tahoma"/>
          <w:b/>
        </w:rPr>
        <w:t>ORGANISMO PÚBLICO DESCENTRALIZADO PARA LA PRESTACIÓN DE LOS SERVICIOS DE AGUA POTABLE, ALCANTARILLADO Y SANEAMIENTO DEL MUNICIPIO DE NAUCALPAN DE JUÁREZ</w:t>
      </w:r>
      <w:r w:rsidR="00147CD4">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00593175"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D77AD4">
        <w:rPr>
          <w:rFonts w:ascii="Palatino Linotype" w:hAnsi="Palatino Linotype"/>
          <w:b/>
          <w:bCs/>
          <w:color w:val="000000" w:themeColor="text1"/>
        </w:rPr>
        <w:t xml:space="preserve">16321/INFOEM/IP/RR/2022 y </w:t>
      </w:r>
      <w:r w:rsidR="00D77AD4" w:rsidRPr="00D77AD4">
        <w:rPr>
          <w:rFonts w:ascii="Palatino Linotype" w:eastAsia="Calibri" w:hAnsi="Palatino Linotype" w:cs="Tahoma"/>
          <w:b/>
          <w:color w:val="000000" w:themeColor="text1"/>
        </w:rPr>
        <w:t>16322/INFOEM/IP/RR/2022</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D77AD4" w:rsidRPr="00D77AD4">
        <w:rPr>
          <w:rFonts w:ascii="Palatino Linotype" w:eastAsia="Calibri" w:hAnsi="Palatino Linotype" w:cs="Tahoma"/>
          <w:b/>
        </w:rPr>
        <w:t xml:space="preserve">Organismo Público </w:t>
      </w:r>
      <w:r w:rsidR="00D77AD4" w:rsidRPr="00D77AD4">
        <w:rPr>
          <w:rFonts w:ascii="Palatino Linotype" w:eastAsia="Calibri" w:hAnsi="Palatino Linotype" w:cs="Tahoma"/>
          <w:b/>
        </w:rPr>
        <w:lastRenderedPageBreak/>
        <w:t>Descentralizado para la prestación de los servicios de Agua Potable, Alcantarillado y Saneamiento del Municipio de Naucalpan de Juárez</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1C130C73"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971AD6">
        <w:rPr>
          <w:rFonts w:ascii="Palatino Linotype" w:eastAsia="Calibri" w:hAnsi="Palatino Linotype" w:cs="Arial"/>
        </w:rPr>
        <w:t xml:space="preserve"> de información pública</w:t>
      </w:r>
      <w:r w:rsidR="00BF358F">
        <w:rPr>
          <w:rFonts w:ascii="Palatino Linotype" w:hAnsi="Palatino Linotype" w:cs="Arial"/>
          <w:lang w:eastAsia="es-MX"/>
        </w:rPr>
        <w:t>,</w:t>
      </w:r>
      <w:r w:rsidR="00BF358F">
        <w:rPr>
          <w:rFonts w:ascii="Palatino Linotype" w:hAnsi="Palatino Linotype" w:cs="Arial"/>
          <w:b/>
          <w:lang w:eastAsia="es-MX"/>
        </w:rPr>
        <w:t xml:space="preserve"> </w:t>
      </w:r>
      <w:r w:rsidR="003338BC">
        <w:rPr>
          <w:rFonts w:ascii="Palatino Linotype" w:hAnsi="Palatino Linotype" w:cs="Arial"/>
        </w:rPr>
        <w:t>mediante la cual</w:t>
      </w:r>
      <w:r w:rsidR="00BF358F">
        <w:rPr>
          <w:rFonts w:ascii="Palatino Linotype" w:hAnsi="Palatino Linotype" w:cs="Arial"/>
        </w:rPr>
        <w:t xml:space="preserve"> solicitó la siguiente información:</w:t>
      </w:r>
    </w:p>
    <w:p w14:paraId="58B3E953" w14:textId="77777777" w:rsidR="00D77AD4" w:rsidRDefault="00D77AD4" w:rsidP="00971AD6">
      <w:pPr>
        <w:pStyle w:val="Prrafodelista"/>
        <w:spacing w:line="276" w:lineRule="auto"/>
        <w:ind w:left="567" w:right="567"/>
        <w:jc w:val="both"/>
        <w:rPr>
          <w:rFonts w:ascii="Palatino Linotype" w:hAnsi="Palatino Linotype"/>
          <w:i/>
          <w:color w:val="000000" w:themeColor="text1"/>
          <w:sz w:val="22"/>
          <w:szCs w:val="22"/>
        </w:rPr>
      </w:pPr>
    </w:p>
    <w:tbl>
      <w:tblPr>
        <w:tblStyle w:val="Tablaconcuadrcula"/>
        <w:tblW w:w="0" w:type="auto"/>
        <w:tblLook w:val="04A0" w:firstRow="1" w:lastRow="0" w:firstColumn="1" w:lastColumn="0" w:noHBand="0" w:noVBand="1"/>
      </w:tblPr>
      <w:tblGrid>
        <w:gridCol w:w="2871"/>
        <w:gridCol w:w="5957"/>
      </w:tblGrid>
      <w:tr w:rsidR="00D77AD4" w14:paraId="28564956" w14:textId="77777777" w:rsidTr="00D77AD4">
        <w:tc>
          <w:tcPr>
            <w:tcW w:w="2872" w:type="dxa"/>
            <w:tcBorders>
              <w:top w:val="single" w:sz="4" w:space="0" w:color="auto"/>
              <w:left w:val="single" w:sz="4" w:space="0" w:color="auto"/>
              <w:bottom w:val="single" w:sz="4" w:space="0" w:color="auto"/>
              <w:right w:val="single" w:sz="4" w:space="0" w:color="auto"/>
            </w:tcBorders>
            <w:vAlign w:val="center"/>
            <w:hideMark/>
          </w:tcPr>
          <w:p w14:paraId="5E7CB39C" w14:textId="77777777" w:rsidR="00D77AD4" w:rsidRDefault="00D77AD4">
            <w:pPr>
              <w:spacing w:line="360" w:lineRule="auto"/>
              <w:contextualSpacing/>
              <w:rPr>
                <w:rFonts w:ascii="Palatino Linotype" w:hAnsi="Palatino Linotype" w:cs="Tahoma"/>
                <w:b/>
                <w:bCs/>
                <w:i/>
                <w:iCs/>
                <w:sz w:val="20"/>
                <w:szCs w:val="20"/>
              </w:rPr>
            </w:pPr>
            <w:r>
              <w:rPr>
                <w:rFonts w:ascii="Palatino Linotype" w:eastAsia="Calibri" w:hAnsi="Palatino Linotype" w:cs="Tahoma"/>
                <w:b/>
                <w:color w:val="000000" w:themeColor="text1"/>
                <w:sz w:val="20"/>
                <w:szCs w:val="20"/>
              </w:rPr>
              <w:t>00166/OASNAUCAL/IP/2022</w:t>
            </w:r>
          </w:p>
        </w:tc>
        <w:tc>
          <w:tcPr>
            <w:tcW w:w="6049" w:type="dxa"/>
            <w:tcBorders>
              <w:top w:val="single" w:sz="4" w:space="0" w:color="auto"/>
              <w:left w:val="single" w:sz="4" w:space="0" w:color="auto"/>
              <w:bottom w:val="single" w:sz="4" w:space="0" w:color="auto"/>
              <w:right w:val="single" w:sz="4" w:space="0" w:color="auto"/>
            </w:tcBorders>
            <w:hideMark/>
          </w:tcPr>
          <w:p w14:paraId="71035810" w14:textId="77777777" w:rsidR="00D77AD4" w:rsidRDefault="00D77AD4">
            <w:pPr>
              <w:spacing w:line="360" w:lineRule="auto"/>
              <w:contextualSpacing/>
              <w:jc w:val="both"/>
              <w:rPr>
                <w:rFonts w:ascii="Palatino Linotype" w:hAnsi="Palatino Linotype" w:cs="Tahoma"/>
                <w:i/>
                <w:iCs/>
                <w:sz w:val="20"/>
                <w:szCs w:val="20"/>
              </w:rPr>
            </w:pPr>
            <w:r>
              <w:rPr>
                <w:rFonts w:ascii="Palatino Linotype" w:hAnsi="Palatino Linotype"/>
                <w:i/>
                <w:iCs/>
                <w:sz w:val="20"/>
                <w:szCs w:val="20"/>
              </w:rPr>
              <w:t>Buenas tardes, solicito me puedan proporcionar información de los laudos que se han pagado en el año 2021 y 2022, montos, nombre de las personas y cantidad pagada. Gracias. (Sic)</w:t>
            </w:r>
          </w:p>
        </w:tc>
      </w:tr>
      <w:tr w:rsidR="00D77AD4" w14:paraId="269C239B" w14:textId="77777777" w:rsidTr="00D77AD4">
        <w:tc>
          <w:tcPr>
            <w:tcW w:w="2872" w:type="dxa"/>
            <w:tcBorders>
              <w:top w:val="single" w:sz="4" w:space="0" w:color="auto"/>
              <w:left w:val="single" w:sz="4" w:space="0" w:color="auto"/>
              <w:bottom w:val="single" w:sz="4" w:space="0" w:color="auto"/>
              <w:right w:val="single" w:sz="4" w:space="0" w:color="auto"/>
            </w:tcBorders>
            <w:vAlign w:val="center"/>
            <w:hideMark/>
          </w:tcPr>
          <w:p w14:paraId="114834E6" w14:textId="77777777" w:rsidR="00D77AD4" w:rsidRDefault="00D77AD4">
            <w:pPr>
              <w:spacing w:line="360" w:lineRule="auto"/>
              <w:contextualSpacing/>
              <w:rPr>
                <w:rFonts w:ascii="Palatino Linotype" w:hAnsi="Palatino Linotype" w:cstheme="minorBidi"/>
                <w:i/>
                <w:iCs/>
                <w:sz w:val="20"/>
                <w:szCs w:val="20"/>
              </w:rPr>
            </w:pPr>
            <w:r>
              <w:rPr>
                <w:rFonts w:ascii="Palatino Linotype" w:eastAsia="Calibri" w:hAnsi="Palatino Linotype" w:cs="Tahoma"/>
                <w:b/>
                <w:color w:val="000000" w:themeColor="text1"/>
                <w:sz w:val="20"/>
                <w:szCs w:val="20"/>
              </w:rPr>
              <w:t>00158/OASNAUCAL/IP/2022</w:t>
            </w:r>
          </w:p>
        </w:tc>
        <w:tc>
          <w:tcPr>
            <w:tcW w:w="6049" w:type="dxa"/>
            <w:tcBorders>
              <w:top w:val="single" w:sz="4" w:space="0" w:color="auto"/>
              <w:left w:val="single" w:sz="4" w:space="0" w:color="auto"/>
              <w:bottom w:val="single" w:sz="4" w:space="0" w:color="auto"/>
              <w:right w:val="single" w:sz="4" w:space="0" w:color="auto"/>
            </w:tcBorders>
            <w:hideMark/>
          </w:tcPr>
          <w:p w14:paraId="1A220811" w14:textId="77777777" w:rsidR="00D77AD4" w:rsidRDefault="00D77AD4">
            <w:pPr>
              <w:spacing w:line="360" w:lineRule="auto"/>
              <w:contextualSpacing/>
              <w:jc w:val="both"/>
              <w:rPr>
                <w:rFonts w:ascii="Palatino Linotype" w:hAnsi="Palatino Linotype"/>
                <w:i/>
                <w:iCs/>
                <w:sz w:val="20"/>
                <w:szCs w:val="20"/>
              </w:rPr>
            </w:pPr>
            <w:r>
              <w:rPr>
                <w:rFonts w:ascii="Palatino Linotype" w:hAnsi="Palatino Linotype"/>
                <w:i/>
                <w:iCs/>
                <w:sz w:val="20"/>
                <w:szCs w:val="20"/>
              </w:rPr>
              <w:t xml:space="preserve">Buen día, requiero saber el </w:t>
            </w:r>
            <w:proofErr w:type="spellStart"/>
            <w:r>
              <w:rPr>
                <w:rFonts w:ascii="Palatino Linotype" w:hAnsi="Palatino Linotype"/>
                <w:i/>
                <w:iCs/>
                <w:sz w:val="20"/>
                <w:szCs w:val="20"/>
              </w:rPr>
              <w:t>numero</w:t>
            </w:r>
            <w:proofErr w:type="spellEnd"/>
            <w:r>
              <w:rPr>
                <w:rFonts w:ascii="Palatino Linotype" w:hAnsi="Palatino Linotype"/>
                <w:i/>
                <w:iCs/>
                <w:sz w:val="20"/>
                <w:szCs w:val="20"/>
              </w:rPr>
              <w:t xml:space="preserve"> de </w:t>
            </w:r>
            <w:proofErr w:type="spellStart"/>
            <w:r>
              <w:rPr>
                <w:rFonts w:ascii="Palatino Linotype" w:hAnsi="Palatino Linotype"/>
                <w:i/>
                <w:iCs/>
                <w:sz w:val="20"/>
                <w:szCs w:val="20"/>
              </w:rPr>
              <w:t>denucias</w:t>
            </w:r>
            <w:proofErr w:type="spellEnd"/>
            <w:r>
              <w:rPr>
                <w:rFonts w:ascii="Palatino Linotype" w:hAnsi="Palatino Linotype"/>
                <w:i/>
                <w:iCs/>
                <w:sz w:val="20"/>
                <w:szCs w:val="20"/>
              </w:rPr>
              <w:t xml:space="preserve"> recibidas en contra de Israel Lara </w:t>
            </w:r>
            <w:proofErr w:type="spellStart"/>
            <w:r>
              <w:rPr>
                <w:rFonts w:ascii="Palatino Linotype" w:hAnsi="Palatino Linotype"/>
                <w:i/>
                <w:iCs/>
                <w:sz w:val="20"/>
                <w:szCs w:val="20"/>
              </w:rPr>
              <w:t>Zaavedra</w:t>
            </w:r>
            <w:proofErr w:type="spellEnd"/>
            <w:r>
              <w:rPr>
                <w:rFonts w:ascii="Palatino Linotype" w:hAnsi="Palatino Linotype"/>
                <w:i/>
                <w:iCs/>
                <w:sz w:val="20"/>
                <w:szCs w:val="20"/>
              </w:rPr>
              <w:t xml:space="preserve">, cuantas están en </w:t>
            </w:r>
            <w:proofErr w:type="spellStart"/>
            <w:r>
              <w:rPr>
                <w:rFonts w:ascii="Palatino Linotype" w:hAnsi="Palatino Linotype"/>
                <w:i/>
                <w:iCs/>
                <w:sz w:val="20"/>
                <w:szCs w:val="20"/>
              </w:rPr>
              <w:t>investigacion</w:t>
            </w:r>
            <w:proofErr w:type="spellEnd"/>
            <w:r>
              <w:rPr>
                <w:rFonts w:ascii="Palatino Linotype" w:hAnsi="Palatino Linotype"/>
                <w:i/>
                <w:iCs/>
                <w:sz w:val="20"/>
                <w:szCs w:val="20"/>
              </w:rPr>
              <w:t xml:space="preserve"> y cuantas ya se resolvieron. Solicito me proporcionen </w:t>
            </w:r>
            <w:proofErr w:type="spellStart"/>
            <w:r>
              <w:rPr>
                <w:rFonts w:ascii="Palatino Linotype" w:hAnsi="Palatino Linotype"/>
                <w:i/>
                <w:iCs/>
                <w:sz w:val="20"/>
                <w:szCs w:val="20"/>
              </w:rPr>
              <w:t>version</w:t>
            </w:r>
            <w:proofErr w:type="spellEnd"/>
            <w:r>
              <w:rPr>
                <w:rFonts w:ascii="Palatino Linotype" w:hAnsi="Palatino Linotype"/>
                <w:i/>
                <w:iCs/>
                <w:sz w:val="20"/>
                <w:szCs w:val="20"/>
              </w:rPr>
              <w:t xml:space="preserve"> publica de aquellos procedimientos que ya se hayan concluido. Gracias. (Sic)</w:t>
            </w:r>
          </w:p>
        </w:tc>
      </w:tr>
    </w:tbl>
    <w:p w14:paraId="090B02DA" w14:textId="77777777" w:rsidR="00D77AD4" w:rsidRDefault="00D77AD4" w:rsidP="00971AD6">
      <w:pPr>
        <w:pStyle w:val="Prrafodelista"/>
        <w:spacing w:line="276" w:lineRule="auto"/>
        <w:ind w:left="567" w:right="567"/>
        <w:jc w:val="both"/>
        <w:rPr>
          <w:rFonts w:ascii="Palatino Linotype" w:hAnsi="Palatino Linotype"/>
          <w:i/>
          <w:color w:val="000000" w:themeColor="text1"/>
          <w:sz w:val="22"/>
          <w:szCs w:val="22"/>
        </w:rPr>
      </w:pPr>
    </w:p>
    <w:p w14:paraId="067915AE" w14:textId="77777777" w:rsidR="00D77AD4" w:rsidRDefault="00D77AD4" w:rsidP="00971AD6">
      <w:pPr>
        <w:pStyle w:val="Prrafodelista"/>
        <w:spacing w:line="276" w:lineRule="auto"/>
        <w:ind w:left="567" w:right="567"/>
        <w:jc w:val="both"/>
        <w:rPr>
          <w:rFonts w:ascii="Palatino Linotype" w:hAnsi="Palatino Linotype"/>
          <w:i/>
          <w:color w:val="000000" w:themeColor="text1"/>
          <w:sz w:val="22"/>
          <w:szCs w:val="22"/>
        </w:rPr>
      </w:pPr>
    </w:p>
    <w:p w14:paraId="4594A3FD" w14:textId="08AD0F38"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otorgó, a través del SAIMEX, respuesta a la solicitud de acceso a la información</w:t>
      </w:r>
      <w:r w:rsidR="00D77AD4">
        <w:rPr>
          <w:rFonts w:ascii="Palatino Linotype" w:eastAsia="Palatino Linotype" w:hAnsi="Palatino Linotype" w:cs="Palatino Linotype"/>
        </w:rPr>
        <w:t>, en los siguientes términos:</w:t>
      </w:r>
    </w:p>
    <w:p w14:paraId="722D7D41" w14:textId="77777777" w:rsidR="00D77AD4" w:rsidRDefault="00D77AD4" w:rsidP="006F5ED9">
      <w:pPr>
        <w:spacing w:line="360" w:lineRule="auto"/>
        <w:jc w:val="both"/>
        <w:rPr>
          <w:rFonts w:ascii="Palatino Linotype" w:eastAsia="Palatino Linotype" w:hAnsi="Palatino Linotype" w:cs="Palatino Linotype"/>
        </w:rPr>
      </w:pPr>
    </w:p>
    <w:p w14:paraId="7C28A636" w14:textId="77777777" w:rsidR="00D77AD4" w:rsidRDefault="00D77AD4" w:rsidP="00D77AD4">
      <w:pPr>
        <w:autoSpaceDE w:val="0"/>
        <w:autoSpaceDN w:val="0"/>
        <w:adjustRightInd w:val="0"/>
        <w:spacing w:line="360" w:lineRule="auto"/>
        <w:contextualSpacing/>
        <w:jc w:val="both"/>
        <w:rPr>
          <w:rFonts w:ascii="Palatino Linotype" w:eastAsia="Calibri" w:hAnsi="Palatino Linotype" w:cs="Tahoma"/>
          <w:b/>
          <w:color w:val="000000" w:themeColor="text1"/>
          <w:lang w:val="es-MX"/>
        </w:rPr>
      </w:pPr>
      <w:r>
        <w:rPr>
          <w:rFonts w:ascii="Palatino Linotype" w:hAnsi="Palatino Linotype" w:cs="Tahoma"/>
          <w:b/>
          <w:bCs/>
          <w:lang w:val="es-ES_tradnl"/>
        </w:rPr>
        <w:t xml:space="preserve">SOLICITUD DE INFORMACIÓN </w:t>
      </w:r>
      <w:r>
        <w:rPr>
          <w:rFonts w:ascii="Palatino Linotype" w:eastAsia="Calibri" w:hAnsi="Palatino Linotype" w:cs="Tahoma"/>
          <w:b/>
          <w:color w:val="000000" w:themeColor="text1"/>
        </w:rPr>
        <w:t>00166/OASNAUCAL/IP/2022</w:t>
      </w:r>
    </w:p>
    <w:p w14:paraId="3E7D7089" w14:textId="77777777" w:rsidR="00D77AD4" w:rsidRDefault="00D77AD4" w:rsidP="00D77AD4">
      <w:pPr>
        <w:autoSpaceDE w:val="0"/>
        <w:autoSpaceDN w:val="0"/>
        <w:adjustRightInd w:val="0"/>
        <w:spacing w:line="360" w:lineRule="auto"/>
        <w:contextualSpacing/>
        <w:jc w:val="both"/>
        <w:rPr>
          <w:rFonts w:ascii="Palatino Linotype" w:eastAsia="Calibri" w:hAnsi="Palatino Linotype" w:cs="Tahoma"/>
          <w:b/>
          <w:color w:val="000000" w:themeColor="text1"/>
        </w:rPr>
      </w:pPr>
    </w:p>
    <w:p w14:paraId="6D53089D" w14:textId="77777777" w:rsidR="00D77AD4" w:rsidRDefault="00D77AD4" w:rsidP="00D77AD4">
      <w:pPr>
        <w:spacing w:line="360" w:lineRule="auto"/>
        <w:contextualSpacing/>
        <w:jc w:val="both"/>
        <w:rPr>
          <w:rFonts w:ascii="Palatino Linotype" w:hAnsi="Palatino Linotype" w:cs="Tahoma"/>
          <w:i/>
          <w:iCs/>
          <w:color w:val="FF0000"/>
          <w:sz w:val="20"/>
          <w:szCs w:val="20"/>
        </w:rPr>
      </w:pPr>
      <w:r>
        <w:rPr>
          <w:rFonts w:ascii="Palatino Linotype" w:hAnsi="Palatino Linotype" w:cs="Tahoma"/>
        </w:rPr>
        <w:t>i) Oficio número SGT/O/116/2022, de fecha siete de noviembre de dos mil veintidós, suscrito por el Subgerente de Transparencia, a través del cual refirió lo siguiente:</w:t>
      </w:r>
    </w:p>
    <w:p w14:paraId="257E6EDD" w14:textId="77777777" w:rsidR="00D77AD4" w:rsidRDefault="00D77AD4" w:rsidP="00D77AD4">
      <w:pPr>
        <w:spacing w:line="360" w:lineRule="auto"/>
        <w:ind w:left="567" w:right="567"/>
        <w:contextualSpacing/>
        <w:jc w:val="both"/>
        <w:rPr>
          <w:rFonts w:ascii="Palatino Linotype" w:hAnsi="Palatino Linotype" w:cs="Tahoma"/>
          <w:i/>
          <w:sz w:val="20"/>
          <w:szCs w:val="20"/>
        </w:rPr>
      </w:pPr>
      <w:r>
        <w:rPr>
          <w:rFonts w:ascii="Palatino Linotype" w:hAnsi="Palatino Linotype" w:cs="Tahoma"/>
          <w:i/>
          <w:sz w:val="20"/>
          <w:szCs w:val="20"/>
        </w:rPr>
        <w:lastRenderedPageBreak/>
        <w:t>“…Al respecto; derivado del análisis realizado a las líneas contenidas de su solicitud, una vez realizado el proceso de consulta y pesquisa interna para la obtención de la información, siendo ésta proporcionada por la Dirección Jurídica quienes se pronuncian al respecto de la siguiente manera:</w:t>
      </w:r>
    </w:p>
    <w:p w14:paraId="7E6FE9A0" w14:textId="77777777" w:rsidR="00D77AD4" w:rsidRDefault="00D77AD4" w:rsidP="00D77AD4">
      <w:pPr>
        <w:spacing w:line="360" w:lineRule="auto"/>
        <w:ind w:left="567" w:right="567"/>
        <w:contextualSpacing/>
        <w:jc w:val="both"/>
        <w:rPr>
          <w:rFonts w:ascii="Palatino Linotype" w:hAnsi="Palatino Linotype" w:cs="Tahoma"/>
          <w:i/>
          <w:sz w:val="20"/>
          <w:szCs w:val="20"/>
        </w:rPr>
      </w:pPr>
      <w:r>
        <w:rPr>
          <w:rFonts w:ascii="Palatino Linotype" w:hAnsi="Palatino Linotype" w:cs="Tahoma"/>
          <w:i/>
          <w:sz w:val="20"/>
          <w:szCs w:val="20"/>
        </w:rPr>
        <w:t>Derivado de lo anterior, me fue remitida la información por parte de la Subgerencia Penal, Civil y Laboral quien es el área facultada para atender esa materia informando lo siguiente:</w:t>
      </w:r>
    </w:p>
    <w:p w14:paraId="26629B0F" w14:textId="77777777" w:rsidR="00D77AD4" w:rsidRDefault="00D77AD4" w:rsidP="00D77AD4">
      <w:pPr>
        <w:spacing w:line="360" w:lineRule="auto"/>
        <w:ind w:left="567" w:right="567"/>
        <w:contextualSpacing/>
        <w:jc w:val="both"/>
        <w:rPr>
          <w:rFonts w:ascii="Palatino Linotype" w:hAnsi="Palatino Linotype" w:cs="Tahoma"/>
          <w:i/>
          <w:sz w:val="20"/>
          <w:szCs w:val="20"/>
        </w:rPr>
      </w:pPr>
    </w:p>
    <w:p w14:paraId="2FE352B6" w14:textId="77777777" w:rsidR="00D77AD4" w:rsidRDefault="00D77AD4" w:rsidP="00D77AD4">
      <w:pPr>
        <w:spacing w:line="360" w:lineRule="auto"/>
        <w:ind w:left="567" w:right="567"/>
        <w:contextualSpacing/>
        <w:jc w:val="both"/>
        <w:rPr>
          <w:rFonts w:ascii="Palatino Linotype" w:hAnsi="Palatino Linotype" w:cs="Tahoma"/>
          <w:i/>
          <w:sz w:val="20"/>
          <w:szCs w:val="20"/>
        </w:rPr>
      </w:pPr>
      <w:r>
        <w:rPr>
          <w:rFonts w:ascii="Palatino Linotype" w:hAnsi="Palatino Linotype" w:cs="Tahoma"/>
          <w:i/>
          <w:sz w:val="20"/>
          <w:szCs w:val="20"/>
        </w:rPr>
        <w:t xml:space="preserve">*Por el ejercicio 2021, se tiene registrado </w:t>
      </w:r>
      <w:r>
        <w:rPr>
          <w:rFonts w:ascii="Palatino Linotype" w:hAnsi="Palatino Linotype" w:cs="Tahoma"/>
          <w:b/>
          <w:i/>
          <w:sz w:val="20"/>
          <w:szCs w:val="20"/>
        </w:rPr>
        <w:t xml:space="preserve">01 laudo </w:t>
      </w:r>
      <w:r>
        <w:rPr>
          <w:rFonts w:ascii="Palatino Linotype" w:hAnsi="Palatino Linotype" w:cs="Tahoma"/>
          <w:i/>
          <w:sz w:val="20"/>
          <w:szCs w:val="20"/>
        </w:rPr>
        <w:t>pagado el día once de noviembre del año 2021, laudo de fecha treinta de septiembre de dos mil diecinueve por la cantidad de $154,518.57 (ciento cincuenta y cuatro mil quinientos dieciocho pesos 57/100 M.N.)</w:t>
      </w:r>
    </w:p>
    <w:p w14:paraId="3EE8D5CD" w14:textId="77777777" w:rsidR="00D77AD4" w:rsidRDefault="00D77AD4" w:rsidP="00D77AD4">
      <w:pPr>
        <w:spacing w:line="360" w:lineRule="auto"/>
        <w:ind w:left="567" w:right="567"/>
        <w:contextualSpacing/>
        <w:jc w:val="both"/>
        <w:rPr>
          <w:rFonts w:ascii="Palatino Linotype" w:hAnsi="Palatino Linotype" w:cs="Tahoma"/>
          <w:i/>
          <w:sz w:val="20"/>
          <w:szCs w:val="20"/>
        </w:rPr>
      </w:pPr>
    </w:p>
    <w:p w14:paraId="055EF078" w14:textId="77777777" w:rsidR="00D77AD4" w:rsidRDefault="00D77AD4" w:rsidP="00D77AD4">
      <w:pPr>
        <w:spacing w:line="360" w:lineRule="auto"/>
        <w:ind w:left="567" w:right="567"/>
        <w:contextualSpacing/>
        <w:jc w:val="both"/>
        <w:rPr>
          <w:rFonts w:ascii="Palatino Linotype" w:hAnsi="Palatino Linotype" w:cs="Tahoma"/>
          <w:i/>
          <w:sz w:val="20"/>
          <w:szCs w:val="20"/>
        </w:rPr>
      </w:pPr>
      <w:r>
        <w:rPr>
          <w:rFonts w:ascii="Palatino Linotype" w:hAnsi="Palatino Linotype" w:cs="Tahoma"/>
          <w:i/>
          <w:sz w:val="20"/>
          <w:szCs w:val="20"/>
        </w:rPr>
        <w:t xml:space="preserve">*Del año </w:t>
      </w:r>
      <w:r>
        <w:rPr>
          <w:rFonts w:ascii="Palatino Linotype" w:hAnsi="Palatino Linotype" w:cs="Tahoma"/>
          <w:b/>
          <w:i/>
          <w:sz w:val="20"/>
          <w:szCs w:val="20"/>
        </w:rPr>
        <w:t xml:space="preserve">2022 a esta fecha no se tiene registro de haberse pagado </w:t>
      </w:r>
      <w:r>
        <w:rPr>
          <w:rFonts w:ascii="Palatino Linotype" w:hAnsi="Palatino Linotype" w:cs="Tahoma"/>
          <w:i/>
          <w:sz w:val="20"/>
          <w:szCs w:val="20"/>
        </w:rPr>
        <w:t>laudo alguno.</w:t>
      </w:r>
    </w:p>
    <w:p w14:paraId="263BDAA7" w14:textId="77777777" w:rsidR="00D77AD4" w:rsidRDefault="00D77AD4" w:rsidP="00D77AD4">
      <w:pPr>
        <w:spacing w:line="360" w:lineRule="auto"/>
        <w:ind w:left="567" w:right="567"/>
        <w:contextualSpacing/>
        <w:jc w:val="both"/>
        <w:rPr>
          <w:rFonts w:ascii="Palatino Linotype" w:hAnsi="Palatino Linotype" w:cs="Tahoma"/>
          <w:i/>
          <w:sz w:val="20"/>
          <w:szCs w:val="20"/>
        </w:rPr>
      </w:pPr>
    </w:p>
    <w:p w14:paraId="613FEED7" w14:textId="77777777" w:rsidR="00D77AD4" w:rsidRDefault="00D77AD4" w:rsidP="00D77AD4">
      <w:pPr>
        <w:spacing w:line="360" w:lineRule="auto"/>
        <w:ind w:left="567" w:right="567"/>
        <w:contextualSpacing/>
        <w:jc w:val="both"/>
        <w:rPr>
          <w:rFonts w:ascii="Palatino Linotype" w:hAnsi="Palatino Linotype" w:cs="Tahoma"/>
          <w:i/>
          <w:iCs/>
          <w:color w:val="FF0000"/>
          <w:sz w:val="20"/>
          <w:szCs w:val="20"/>
        </w:rPr>
      </w:pPr>
      <w:r>
        <w:rPr>
          <w:rFonts w:ascii="Palatino Linotype" w:hAnsi="Palatino Linotype" w:cs="Tahoma"/>
          <w:i/>
          <w:sz w:val="20"/>
          <w:szCs w:val="20"/>
        </w:rPr>
        <w:t xml:space="preserve">*Ahora bien, lo que hace </w:t>
      </w:r>
      <w:r>
        <w:rPr>
          <w:rFonts w:ascii="Palatino Linotype" w:hAnsi="Palatino Linotype" w:cs="Tahoma"/>
          <w:b/>
          <w:i/>
          <w:sz w:val="20"/>
          <w:szCs w:val="20"/>
        </w:rPr>
        <w:t xml:space="preserve">al nombre del actor del juicio del laudo pagado, en el ejercicio 2021 al tratarse de un dato personal, no es posible proporcionarlo, </w:t>
      </w:r>
      <w:r>
        <w:rPr>
          <w:rFonts w:ascii="Palatino Linotype" w:hAnsi="Palatino Linotype" w:cs="Tahoma"/>
          <w:i/>
          <w:sz w:val="20"/>
          <w:szCs w:val="20"/>
        </w:rPr>
        <w:t>lo anterior de conformidad con lo dispuesto en los artículos 1 y 6 inciso a fracción  de la Carta Magna, asimismo los artículos1, 3 fracción V, 4 fracción XI, 15 Y 18 de la Ley de Protección de Datos Personales en Posesión de los Sujetos Obligados del Estado de México y Municipios…”. (Sic)</w:t>
      </w:r>
    </w:p>
    <w:p w14:paraId="6CBA9475" w14:textId="77777777" w:rsidR="00D77AD4" w:rsidRDefault="00D77AD4" w:rsidP="00D77AD4">
      <w:pPr>
        <w:autoSpaceDE w:val="0"/>
        <w:autoSpaceDN w:val="0"/>
        <w:adjustRightInd w:val="0"/>
        <w:spacing w:line="360" w:lineRule="auto"/>
        <w:contextualSpacing/>
        <w:jc w:val="both"/>
        <w:rPr>
          <w:rFonts w:ascii="Palatino Linotype" w:hAnsi="Palatino Linotype" w:cs="Tahoma"/>
          <w:b/>
          <w:bCs/>
          <w:sz w:val="22"/>
          <w:szCs w:val="22"/>
          <w:lang w:val="es-ES_tradnl"/>
        </w:rPr>
      </w:pPr>
    </w:p>
    <w:p w14:paraId="4CDE2AFD" w14:textId="77777777" w:rsidR="00D77AD4" w:rsidRDefault="00D77AD4" w:rsidP="00D77AD4">
      <w:pPr>
        <w:autoSpaceDE w:val="0"/>
        <w:autoSpaceDN w:val="0"/>
        <w:adjustRightInd w:val="0"/>
        <w:spacing w:line="360" w:lineRule="auto"/>
        <w:contextualSpacing/>
        <w:jc w:val="both"/>
        <w:rPr>
          <w:rFonts w:ascii="Palatino Linotype" w:eastAsia="Calibri" w:hAnsi="Palatino Linotype" w:cs="Tahoma"/>
          <w:b/>
          <w:color w:val="000000" w:themeColor="text1"/>
          <w:lang w:val="es-MX" w:eastAsia="en-US"/>
        </w:rPr>
      </w:pPr>
      <w:r>
        <w:rPr>
          <w:rFonts w:ascii="Palatino Linotype" w:hAnsi="Palatino Linotype" w:cs="Tahoma"/>
          <w:b/>
          <w:bCs/>
          <w:lang w:val="es-ES_tradnl"/>
        </w:rPr>
        <w:t xml:space="preserve">SOLICITUD DE INFORMACIÓN </w:t>
      </w:r>
      <w:r>
        <w:rPr>
          <w:rFonts w:ascii="Palatino Linotype" w:eastAsia="Calibri" w:hAnsi="Palatino Linotype" w:cs="Tahoma"/>
          <w:b/>
          <w:color w:val="000000" w:themeColor="text1"/>
        </w:rPr>
        <w:t>00158/OASNAUCAL/IP/2022</w:t>
      </w:r>
    </w:p>
    <w:p w14:paraId="022407B4" w14:textId="77777777" w:rsidR="00D77AD4" w:rsidRDefault="00D77AD4" w:rsidP="00D77AD4">
      <w:pPr>
        <w:autoSpaceDE w:val="0"/>
        <w:autoSpaceDN w:val="0"/>
        <w:adjustRightInd w:val="0"/>
        <w:spacing w:line="360" w:lineRule="auto"/>
        <w:contextualSpacing/>
        <w:jc w:val="both"/>
        <w:rPr>
          <w:rFonts w:ascii="Palatino Linotype" w:eastAsia="Calibri" w:hAnsi="Palatino Linotype" w:cs="Tahoma"/>
          <w:b/>
          <w:color w:val="000000" w:themeColor="text1"/>
        </w:rPr>
      </w:pPr>
    </w:p>
    <w:p w14:paraId="3B48250F" w14:textId="77777777" w:rsidR="00D77AD4" w:rsidRDefault="00D77AD4" w:rsidP="00D77AD4">
      <w:pPr>
        <w:spacing w:line="360" w:lineRule="auto"/>
        <w:contextualSpacing/>
        <w:jc w:val="both"/>
        <w:rPr>
          <w:rFonts w:ascii="Palatino Linotype" w:hAnsi="Palatino Linotype" w:cs="Tahoma"/>
        </w:rPr>
      </w:pPr>
      <w:r>
        <w:rPr>
          <w:rFonts w:ascii="Palatino Linotype" w:hAnsi="Palatino Linotype" w:cs="Tahoma"/>
        </w:rPr>
        <w:t>Oficio número SGT/O/109/2022, de fecha siete de noviembre de dos mil veintidós, suscrito por el Subgerente de Transparencia, a través del cual refirió lo siguiente:</w:t>
      </w:r>
    </w:p>
    <w:p w14:paraId="59C291C8" w14:textId="77777777" w:rsidR="00D77AD4" w:rsidRDefault="00D77AD4" w:rsidP="00D77AD4">
      <w:pPr>
        <w:spacing w:line="360" w:lineRule="auto"/>
        <w:ind w:left="567" w:right="567"/>
        <w:contextualSpacing/>
        <w:jc w:val="both"/>
        <w:rPr>
          <w:rFonts w:ascii="Palatino Linotype" w:hAnsi="Palatino Linotype" w:cs="Tahoma"/>
          <w:sz w:val="20"/>
          <w:szCs w:val="20"/>
        </w:rPr>
      </w:pPr>
    </w:p>
    <w:p w14:paraId="185F94A1" w14:textId="77777777" w:rsidR="00D77AD4" w:rsidRDefault="00D77AD4" w:rsidP="00D77AD4">
      <w:pPr>
        <w:pStyle w:val="Prrafodelista"/>
        <w:spacing w:line="360" w:lineRule="auto"/>
        <w:ind w:left="567" w:right="567"/>
        <w:rPr>
          <w:rFonts w:ascii="Palatino Linotype" w:hAnsi="Palatino Linotype" w:cs="Tahoma"/>
          <w:i/>
          <w:iCs/>
          <w:color w:val="FF0000"/>
          <w:sz w:val="20"/>
          <w:szCs w:val="20"/>
        </w:rPr>
      </w:pPr>
      <w:r>
        <w:rPr>
          <w:rFonts w:cs="Tahoma"/>
          <w:i/>
          <w:sz w:val="20"/>
          <w:szCs w:val="20"/>
        </w:rPr>
        <w:lastRenderedPageBreak/>
        <w:t>“…Este sujeto obligado, no cuenta con consentimiento expreso para poder proporcionar la información que obrase en los archivos y/o contenga información relativa a la que usted requiere; conforme a lo establecido en el Artículo 5 de la Constitución Política del Estado Libre y Soberano de México, Artículo 38 y 40 de la Ley de Protección de Datos Personales en Posesión de Sujetos Obligados del Estado de México y Municipios….</w:t>
      </w:r>
      <w:proofErr w:type="gramStart"/>
      <w:r>
        <w:rPr>
          <w:rFonts w:cs="Tahoma"/>
          <w:i/>
          <w:sz w:val="20"/>
          <w:szCs w:val="20"/>
        </w:rPr>
        <w:t>”(</w:t>
      </w:r>
      <w:proofErr w:type="gramEnd"/>
      <w:r>
        <w:rPr>
          <w:rFonts w:cs="Tahoma"/>
          <w:i/>
          <w:sz w:val="20"/>
          <w:szCs w:val="20"/>
        </w:rPr>
        <w:t>Sic)</w:t>
      </w:r>
    </w:p>
    <w:p w14:paraId="562B235E" w14:textId="77777777" w:rsidR="00D77AD4" w:rsidRDefault="00D77AD4" w:rsidP="006F5ED9">
      <w:pPr>
        <w:spacing w:line="360" w:lineRule="auto"/>
        <w:jc w:val="both"/>
        <w:rPr>
          <w:rFonts w:ascii="Palatino Linotype" w:eastAsia="Palatino Linotype" w:hAnsi="Palatino Linotype" w:cs="Palatino Linotype"/>
        </w:rPr>
      </w:pPr>
    </w:p>
    <w:p w14:paraId="29436D8F" w14:textId="4D8896B0" w:rsidR="006F5ED9" w:rsidRDefault="006F5ED9" w:rsidP="006F5ED9">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en el cual manifestó, lo siguiente:</w:t>
      </w:r>
    </w:p>
    <w:p w14:paraId="5D816ABB" w14:textId="77777777" w:rsidR="00D77AD4" w:rsidRDefault="00D77AD4" w:rsidP="00D77AD4">
      <w:pPr>
        <w:spacing w:line="360" w:lineRule="auto"/>
        <w:ind w:left="567" w:right="567"/>
        <w:contextualSpacing/>
        <w:jc w:val="both"/>
        <w:rPr>
          <w:rFonts w:ascii="Palatino Linotype" w:hAnsi="Palatino Linotype" w:cs="Tahoma"/>
          <w:b/>
          <w:bCs/>
          <w:iCs/>
          <w:sz w:val="20"/>
          <w:szCs w:val="20"/>
          <w:lang w:val="es-MX"/>
        </w:rPr>
      </w:pPr>
      <w:r>
        <w:rPr>
          <w:rFonts w:ascii="Palatino Linotype" w:hAnsi="Palatino Linotype" w:cs="Tahoma"/>
          <w:b/>
          <w:bCs/>
          <w:iCs/>
          <w:sz w:val="20"/>
          <w:szCs w:val="20"/>
        </w:rPr>
        <w:t xml:space="preserve">RECURSO DE REVISIÓN </w:t>
      </w:r>
      <w:r>
        <w:rPr>
          <w:rFonts w:ascii="Palatino Linotype" w:eastAsia="Calibri" w:hAnsi="Palatino Linotype" w:cs="Tahoma"/>
          <w:b/>
          <w:color w:val="000000" w:themeColor="text1"/>
        </w:rPr>
        <w:t>16321/INFOEM/IP/RR/22</w:t>
      </w:r>
    </w:p>
    <w:p w14:paraId="48E861C6" w14:textId="77777777" w:rsidR="00D77AD4" w:rsidRDefault="00D77AD4" w:rsidP="00D77AD4">
      <w:pPr>
        <w:spacing w:line="360" w:lineRule="auto"/>
        <w:ind w:left="567" w:right="567"/>
        <w:contextualSpacing/>
        <w:jc w:val="both"/>
        <w:rPr>
          <w:rFonts w:ascii="Palatino Linotype" w:eastAsiaTheme="minorHAnsi" w:hAnsi="Palatino Linotype" w:cstheme="minorBidi"/>
          <w:b/>
          <w:i/>
          <w:sz w:val="20"/>
          <w:szCs w:val="20"/>
          <w:lang w:eastAsia="en-US"/>
        </w:rPr>
      </w:pPr>
      <w:r>
        <w:rPr>
          <w:rFonts w:ascii="Palatino Linotype" w:hAnsi="Palatino Linotype"/>
          <w:b/>
          <w:i/>
          <w:sz w:val="20"/>
          <w:szCs w:val="20"/>
        </w:rPr>
        <w:t>“ACTO IMPUGNADO</w:t>
      </w:r>
    </w:p>
    <w:p w14:paraId="15FBBA9B" w14:textId="77777777" w:rsidR="00D77AD4" w:rsidRDefault="00D77AD4" w:rsidP="00D77AD4">
      <w:pPr>
        <w:spacing w:line="360" w:lineRule="auto"/>
        <w:ind w:left="567" w:right="567"/>
        <w:contextualSpacing/>
        <w:jc w:val="both"/>
        <w:rPr>
          <w:rFonts w:ascii="Palatino Linotype" w:hAnsi="Palatino Linotype"/>
          <w:i/>
          <w:sz w:val="20"/>
          <w:szCs w:val="20"/>
        </w:rPr>
      </w:pPr>
      <w:r>
        <w:rPr>
          <w:rFonts w:ascii="Palatino Linotype" w:hAnsi="Palatino Linotype"/>
          <w:i/>
          <w:sz w:val="20"/>
          <w:szCs w:val="20"/>
        </w:rPr>
        <w:t>NO ME PROPORCIONARON EL NOMBRE DE LA PERSONA QUE LE PAGARON EL LAUDO. NO ES UN DATO PERSONAL YA QUE AL RECIBIR RECURSOS PUBLICOS, RESULTA IMPROCEDENTE NO ENTREGAR LA INFORMACION,” (Sic)</w:t>
      </w:r>
    </w:p>
    <w:p w14:paraId="2D4BD478" w14:textId="77777777" w:rsidR="00D77AD4" w:rsidRDefault="00D77AD4" w:rsidP="00D77AD4">
      <w:pPr>
        <w:spacing w:line="360" w:lineRule="auto"/>
        <w:ind w:left="567" w:right="567"/>
        <w:contextualSpacing/>
        <w:jc w:val="both"/>
        <w:rPr>
          <w:rFonts w:ascii="Palatino Linotype" w:hAnsi="Palatino Linotype"/>
          <w:b/>
          <w:i/>
          <w:sz w:val="20"/>
          <w:szCs w:val="20"/>
        </w:rPr>
      </w:pPr>
      <w:r>
        <w:rPr>
          <w:rFonts w:ascii="Palatino Linotype" w:hAnsi="Palatino Linotype"/>
          <w:b/>
          <w:i/>
          <w:sz w:val="20"/>
          <w:szCs w:val="20"/>
        </w:rPr>
        <w:t>“RAZONES O MOTIVOS DE LA INCONFORMIDAD</w:t>
      </w:r>
    </w:p>
    <w:p w14:paraId="5122CB58" w14:textId="77777777" w:rsidR="00D77AD4" w:rsidRDefault="00D77AD4" w:rsidP="00D77AD4">
      <w:pPr>
        <w:spacing w:line="360" w:lineRule="auto"/>
        <w:ind w:left="567" w:right="567"/>
        <w:contextualSpacing/>
        <w:jc w:val="both"/>
        <w:rPr>
          <w:rFonts w:ascii="Palatino Linotype" w:hAnsi="Palatino Linotype"/>
          <w:i/>
          <w:sz w:val="20"/>
          <w:szCs w:val="20"/>
        </w:rPr>
      </w:pPr>
      <w:r>
        <w:rPr>
          <w:rFonts w:ascii="Palatino Linotype" w:hAnsi="Palatino Linotype"/>
          <w:i/>
          <w:sz w:val="20"/>
          <w:szCs w:val="20"/>
        </w:rPr>
        <w:t>LA INFORMACION NO DEBE SER CONFIDENCIAL, YA QUE EL DINERO CON EL QUE SE LE PAGO A LA PERSONA PROVIENE DE LAS ARCAS DEL ORGANISMO.” (Sic)</w:t>
      </w:r>
    </w:p>
    <w:p w14:paraId="3EDFE14F" w14:textId="77777777" w:rsidR="00D77AD4" w:rsidRDefault="00D77AD4" w:rsidP="00D77AD4">
      <w:pPr>
        <w:spacing w:line="360" w:lineRule="auto"/>
        <w:ind w:left="567" w:right="567"/>
        <w:contextualSpacing/>
        <w:jc w:val="both"/>
        <w:rPr>
          <w:rFonts w:ascii="Palatino Linotype" w:hAnsi="Palatino Linotype"/>
          <w:i/>
          <w:sz w:val="20"/>
          <w:szCs w:val="20"/>
        </w:rPr>
      </w:pPr>
    </w:p>
    <w:p w14:paraId="2DD37495" w14:textId="77777777" w:rsidR="00D77AD4" w:rsidRDefault="00D77AD4" w:rsidP="00D77AD4">
      <w:pPr>
        <w:spacing w:line="360" w:lineRule="auto"/>
        <w:ind w:left="567" w:right="567"/>
        <w:contextualSpacing/>
        <w:jc w:val="both"/>
        <w:rPr>
          <w:rFonts w:ascii="Palatino Linotype" w:hAnsi="Palatino Linotype"/>
          <w:b/>
          <w:i/>
          <w:sz w:val="20"/>
          <w:szCs w:val="20"/>
        </w:rPr>
      </w:pPr>
      <w:r>
        <w:rPr>
          <w:rFonts w:ascii="Palatino Linotype" w:hAnsi="Palatino Linotype"/>
          <w:b/>
          <w:sz w:val="20"/>
          <w:szCs w:val="20"/>
        </w:rPr>
        <w:t xml:space="preserve">RECURSO DE REVISIÓN </w:t>
      </w:r>
      <w:r>
        <w:rPr>
          <w:rFonts w:ascii="Palatino Linotype" w:eastAsia="Calibri" w:hAnsi="Palatino Linotype" w:cs="Tahoma"/>
          <w:b/>
          <w:color w:val="000000" w:themeColor="text1"/>
        </w:rPr>
        <w:t>16321/INFOEM/IP/RR/22</w:t>
      </w:r>
    </w:p>
    <w:p w14:paraId="242C4CA6" w14:textId="77777777" w:rsidR="00D77AD4" w:rsidRDefault="00D77AD4" w:rsidP="00D77AD4">
      <w:pPr>
        <w:spacing w:line="360" w:lineRule="auto"/>
        <w:ind w:left="567" w:right="567"/>
        <w:contextualSpacing/>
        <w:jc w:val="both"/>
        <w:rPr>
          <w:rFonts w:ascii="Palatino Linotype" w:hAnsi="Palatino Linotype"/>
          <w:b/>
          <w:i/>
          <w:sz w:val="20"/>
          <w:szCs w:val="20"/>
        </w:rPr>
      </w:pPr>
      <w:r>
        <w:rPr>
          <w:rFonts w:ascii="Palatino Linotype" w:hAnsi="Palatino Linotype"/>
          <w:b/>
          <w:i/>
          <w:sz w:val="20"/>
          <w:szCs w:val="20"/>
        </w:rPr>
        <w:t>“ACTO IMPUGNADO</w:t>
      </w:r>
    </w:p>
    <w:p w14:paraId="528551F2" w14:textId="77777777" w:rsidR="00D77AD4" w:rsidRDefault="00D77AD4" w:rsidP="00D77AD4">
      <w:pPr>
        <w:spacing w:line="360" w:lineRule="auto"/>
        <w:ind w:left="567" w:right="567"/>
        <w:contextualSpacing/>
        <w:jc w:val="both"/>
        <w:rPr>
          <w:rFonts w:ascii="Palatino Linotype" w:hAnsi="Palatino Linotype"/>
          <w:i/>
          <w:sz w:val="20"/>
          <w:szCs w:val="20"/>
        </w:rPr>
      </w:pPr>
      <w:r>
        <w:rPr>
          <w:rFonts w:ascii="Palatino Linotype" w:hAnsi="Palatino Linotype"/>
          <w:i/>
          <w:sz w:val="20"/>
          <w:szCs w:val="20"/>
        </w:rPr>
        <w:t>NEGATIVA DE EJERCER MI DERECHO DE ACCESO A LA INFORMACION” (Sic)</w:t>
      </w:r>
    </w:p>
    <w:p w14:paraId="7052570B" w14:textId="77777777" w:rsidR="00D77AD4" w:rsidRDefault="00D77AD4" w:rsidP="00D77AD4">
      <w:pPr>
        <w:spacing w:line="360" w:lineRule="auto"/>
        <w:ind w:left="567" w:right="567"/>
        <w:contextualSpacing/>
        <w:jc w:val="both"/>
        <w:rPr>
          <w:rFonts w:ascii="Palatino Linotype" w:hAnsi="Palatino Linotype"/>
          <w:b/>
          <w:i/>
          <w:sz w:val="20"/>
          <w:szCs w:val="20"/>
        </w:rPr>
      </w:pPr>
      <w:r>
        <w:rPr>
          <w:rFonts w:ascii="Palatino Linotype" w:hAnsi="Palatino Linotype"/>
          <w:b/>
          <w:i/>
          <w:sz w:val="20"/>
          <w:szCs w:val="20"/>
        </w:rPr>
        <w:t>“RAZONES O MOTIVOS DE LA INCONFORMIDAD</w:t>
      </w:r>
    </w:p>
    <w:p w14:paraId="21E246F8" w14:textId="77777777" w:rsidR="00D77AD4" w:rsidRDefault="00D77AD4" w:rsidP="00D77AD4">
      <w:pPr>
        <w:spacing w:line="360" w:lineRule="auto"/>
        <w:ind w:left="567" w:right="567"/>
        <w:contextualSpacing/>
        <w:jc w:val="both"/>
        <w:rPr>
          <w:rFonts w:ascii="Palatino Linotype" w:hAnsi="Palatino Linotype"/>
          <w:i/>
          <w:sz w:val="20"/>
          <w:szCs w:val="20"/>
        </w:rPr>
      </w:pPr>
      <w:r>
        <w:rPr>
          <w:rFonts w:ascii="Palatino Linotype" w:hAnsi="Palatino Linotype"/>
          <w:i/>
          <w:sz w:val="20"/>
          <w:szCs w:val="20"/>
        </w:rPr>
        <w:t xml:space="preserve">EL SUJETO OBLIGADO MANIFIESTA QUE NO EXISTE CONSENTIMIENTO DE LA PERSONA, SIN EMBARGO, DE ACUERDO CON LA LEY GENERAL DE </w:t>
      </w:r>
      <w:r>
        <w:rPr>
          <w:rFonts w:ascii="Palatino Linotype" w:hAnsi="Palatino Linotype"/>
          <w:i/>
          <w:sz w:val="20"/>
          <w:szCs w:val="20"/>
        </w:rPr>
        <w:lastRenderedPageBreak/>
        <w:t>RESPONSABILIDADES ADMINISTRATIVAS, LA INFORMACION DE LAS SANCIONES DE SERVIDORES PUBLICOS DEBE SER PUBLICA” (Sic)</w:t>
      </w:r>
    </w:p>
    <w:p w14:paraId="058CCA7E" w14:textId="5F7FA724" w:rsidR="00D77AD4" w:rsidRPr="00D77AD4" w:rsidRDefault="00BB071F" w:rsidP="00D77AD4">
      <w:pPr>
        <w:spacing w:before="240" w:after="240" w:line="360" w:lineRule="auto"/>
        <w:jc w:val="both"/>
        <w:rPr>
          <w:rFonts w:ascii="Palatino Linotype" w:hAnsi="Palatino Linotype" w:cs="Arial"/>
          <w:color w:val="000000"/>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sidR="00D77AD4">
        <w:rPr>
          <w:rFonts w:ascii="Palatino Linotype" w:hAnsi="Palatino Linotype"/>
          <w:b/>
        </w:rPr>
        <w:t>REVOCAR</w:t>
      </w:r>
      <w:r w:rsidR="00971AD6">
        <w:rPr>
          <w:rFonts w:ascii="Palatino Linotype" w:eastAsia="Calibri" w:hAnsi="Palatino Linotype" w:cs="Arial"/>
        </w:rPr>
        <w:t xml:space="preserve"> la respuesta emitida por el </w:t>
      </w:r>
      <w:r w:rsidR="00D77AD4" w:rsidRPr="00D77AD4">
        <w:rPr>
          <w:rFonts w:ascii="Palatino Linotype" w:eastAsia="Calibri" w:hAnsi="Palatino Linotype" w:cs="Tahoma"/>
          <w:b/>
        </w:rPr>
        <w:t>Organismo Público Descentralizado para la prestación de los servicios de Agua Potable, Alcantarillado y Saneamiento del Municipio de Naucalpan de Juárez</w:t>
      </w:r>
      <w:r w:rsidR="00971AD6">
        <w:rPr>
          <w:rFonts w:ascii="Palatino Linotype" w:eastAsia="Calibri" w:hAnsi="Palatino Linotype" w:cs="Arial"/>
          <w:bCs/>
        </w:rPr>
        <w:t xml:space="preserve"> </w:t>
      </w:r>
      <w:r w:rsidR="00971AD6">
        <w:rPr>
          <w:rFonts w:ascii="Palatino Linotype" w:eastAsia="Calibri" w:hAnsi="Palatino Linotype" w:cs="Arial"/>
        </w:rPr>
        <w:t xml:space="preserve">y se </w:t>
      </w:r>
      <w:r w:rsidR="00971AD6">
        <w:rPr>
          <w:rFonts w:ascii="Palatino Linotype" w:eastAsia="Calibri" w:hAnsi="Palatino Linotype" w:cs="Arial"/>
          <w:b/>
        </w:rPr>
        <w:t xml:space="preserve">ORDENA </w:t>
      </w:r>
      <w:r w:rsidR="00971AD6">
        <w:rPr>
          <w:rFonts w:ascii="Palatino Linotype" w:eastAsia="Calibri" w:hAnsi="Palatino Linotype" w:cs="Arial"/>
        </w:rPr>
        <w:t>entregar, vía Sistema de Acceso a la Información Pública Mexiquense (SAIMEX)</w:t>
      </w:r>
      <w:r w:rsidR="00D77AD4">
        <w:rPr>
          <w:rFonts w:ascii="Palatino Linotype" w:hAnsi="Palatino Linotype" w:cs="Arial"/>
          <w:color w:val="000000"/>
        </w:rPr>
        <w:t xml:space="preserve">, </w:t>
      </w:r>
      <w:r w:rsidR="00D77AD4">
        <w:rPr>
          <w:rFonts w:ascii="Palatino Linotype" w:hAnsi="Palatino Linotype"/>
        </w:rPr>
        <w:t>respecto a los procedimientos de responsabilidad administrativa instaurados en contra del servidor público referido en la solicitud de información, del catorce de octubre de dos mil veintiuno al catorce de octubre de dos mil veintidós, en su caso en versión pública, lo siguiente:</w:t>
      </w:r>
    </w:p>
    <w:p w14:paraId="0541087D" w14:textId="77777777" w:rsidR="00D77AD4" w:rsidRDefault="00D77AD4" w:rsidP="00D77AD4">
      <w:pPr>
        <w:pStyle w:val="Prrafodelista"/>
      </w:pPr>
    </w:p>
    <w:p w14:paraId="2AEF462E" w14:textId="77777777" w:rsidR="00D77AD4" w:rsidRPr="00D77AD4" w:rsidRDefault="00D77AD4" w:rsidP="00D77AD4">
      <w:pPr>
        <w:pStyle w:val="Prrafodelista"/>
        <w:numPr>
          <w:ilvl w:val="0"/>
          <w:numId w:val="41"/>
        </w:numPr>
        <w:tabs>
          <w:tab w:val="left" w:pos="3962"/>
        </w:tabs>
        <w:spacing w:line="360" w:lineRule="auto"/>
        <w:jc w:val="both"/>
        <w:rPr>
          <w:rFonts w:eastAsia="Calibri" w:cs="Tahoma"/>
          <w:b/>
          <w:bCs/>
        </w:rPr>
      </w:pPr>
      <w:r w:rsidRPr="00D77AD4">
        <w:rPr>
          <w:rFonts w:eastAsia="Calibri" w:cs="Tahoma"/>
          <w:b/>
          <w:bCs/>
        </w:rPr>
        <w:t>Los expedientes de los procedimientos que al catorce de octubre de dos mil veintidós, se encontrara concluido y se haya determinado una responsabilidad grave.</w:t>
      </w:r>
    </w:p>
    <w:p w14:paraId="386410FA" w14:textId="77777777" w:rsidR="00D77AD4" w:rsidRPr="00D77AD4" w:rsidRDefault="00D77AD4" w:rsidP="00D77AD4">
      <w:pPr>
        <w:pStyle w:val="Prrafodelista"/>
        <w:tabs>
          <w:tab w:val="left" w:pos="3962"/>
        </w:tabs>
        <w:spacing w:line="360" w:lineRule="auto"/>
        <w:ind w:left="1276"/>
        <w:rPr>
          <w:rFonts w:eastAsia="Calibri" w:cs="Tahoma"/>
          <w:b/>
          <w:bCs/>
        </w:rPr>
      </w:pPr>
    </w:p>
    <w:p w14:paraId="71EC1E7C" w14:textId="77777777" w:rsidR="00D77AD4" w:rsidRPr="00D77AD4" w:rsidRDefault="00D77AD4" w:rsidP="00D77AD4">
      <w:pPr>
        <w:pStyle w:val="Prrafodelista"/>
        <w:numPr>
          <w:ilvl w:val="0"/>
          <w:numId w:val="41"/>
        </w:numPr>
        <w:tabs>
          <w:tab w:val="left" w:pos="3962"/>
        </w:tabs>
        <w:spacing w:line="360" w:lineRule="auto"/>
        <w:jc w:val="both"/>
        <w:rPr>
          <w:rFonts w:cs="Tahoma"/>
          <w:b/>
          <w:iCs/>
          <w:lang w:eastAsia="es-MX"/>
        </w:rPr>
      </w:pPr>
      <w:r w:rsidRPr="00D77AD4">
        <w:rPr>
          <w:rFonts w:eastAsia="Calibri" w:cs="Tahoma"/>
          <w:b/>
          <w:bCs/>
        </w:rPr>
        <w:t xml:space="preserve">Los documentos donde conste el número de procedimientos, que al catorce de octubre de dos mil veintidós, se encontraran en trámite y se relacionen con </w:t>
      </w:r>
      <w:r w:rsidRPr="00D77AD4">
        <w:rPr>
          <w:rFonts w:cs="Tahoma"/>
          <w:b/>
          <w:iCs/>
          <w:lang w:eastAsia="es-MX"/>
        </w:rPr>
        <w:t>actos de corrupción o posibles violaciones graves a derechos humanos, de conformidad con el artículo 142, de la Ley de la materia.</w:t>
      </w:r>
    </w:p>
    <w:p w14:paraId="0A5A68D2" w14:textId="77777777" w:rsidR="00D77AD4" w:rsidRPr="00D77AD4" w:rsidRDefault="00D77AD4" w:rsidP="00D77AD4">
      <w:pPr>
        <w:pStyle w:val="Prrafodelista"/>
        <w:spacing w:line="360" w:lineRule="auto"/>
        <w:rPr>
          <w:rFonts w:eastAsiaTheme="minorHAnsi" w:cstheme="minorBidi"/>
          <w:b/>
          <w:lang w:eastAsia="en-US"/>
        </w:rPr>
      </w:pPr>
    </w:p>
    <w:p w14:paraId="4973F7D0" w14:textId="77777777" w:rsidR="00D77AD4" w:rsidRDefault="00D77AD4" w:rsidP="00D77AD4">
      <w:pPr>
        <w:pStyle w:val="Prrafodelista"/>
        <w:numPr>
          <w:ilvl w:val="0"/>
          <w:numId w:val="41"/>
        </w:numPr>
        <w:tabs>
          <w:tab w:val="left" w:pos="3962"/>
        </w:tabs>
        <w:spacing w:line="360" w:lineRule="auto"/>
        <w:jc w:val="both"/>
        <w:rPr>
          <w:rFonts w:eastAsia="Calibri" w:cs="Tahoma"/>
          <w:b/>
          <w:bCs/>
        </w:rPr>
      </w:pPr>
      <w:r w:rsidRPr="00D77AD4">
        <w:rPr>
          <w:rFonts w:eastAsia="Calibri" w:cs="Tahoma"/>
          <w:b/>
          <w:bCs/>
        </w:rPr>
        <w:t>El Acuerdo emitido por el Comité de Transparencia</w:t>
      </w:r>
      <w:r w:rsidRPr="00D77AD4">
        <w:rPr>
          <w:rFonts w:eastAsia="Calibri" w:cs="Tahoma"/>
          <w:b/>
          <w:bCs/>
          <w:iCs/>
        </w:rPr>
        <w:t>, en donde de manera fundada y motivada, confirme la clasificación</w:t>
      </w:r>
      <w:r w:rsidRPr="00D77AD4">
        <w:rPr>
          <w:rFonts w:eastAsia="Calibri" w:cs="Tahoma"/>
          <w:b/>
          <w:bCs/>
        </w:rPr>
        <w:t xml:space="preserve"> del pronunciamiento en sentido </w:t>
      </w:r>
      <w:r w:rsidRPr="00D77AD4">
        <w:rPr>
          <w:rFonts w:eastAsia="Calibri" w:cs="Tahoma"/>
          <w:b/>
          <w:bCs/>
        </w:rPr>
        <w:lastRenderedPageBreak/>
        <w:t xml:space="preserve">afirmativo o negativo, sobre la existencia de algún procedimiento de responsabilidad que se encuentre en trámite, o bien, se encuentre concluido y se haya determinado alguna responsabilidad no grave o la absolución, así como, los datos testados en las versiones públicas de los puntos 1 y 2, en términos de los </w:t>
      </w:r>
      <w:r w:rsidRPr="00D77AD4">
        <w:rPr>
          <w:rFonts w:eastAsia="Calibri" w:cs="Tahoma"/>
          <w:b/>
          <w:bCs/>
          <w:iCs/>
        </w:rPr>
        <w:t>artículos 49, fracción II y 132, fracción II, de la Ley de Transparencia y Acceso a la Información Pública del Estado de México y Municipios.</w:t>
      </w:r>
      <w:r w:rsidRPr="00D77AD4">
        <w:rPr>
          <w:rFonts w:eastAsia="Calibri" w:cs="Tahoma"/>
          <w:b/>
          <w:bCs/>
        </w:rPr>
        <w:t xml:space="preserve"> </w:t>
      </w:r>
    </w:p>
    <w:p w14:paraId="726DE00B" w14:textId="77777777" w:rsidR="00D77AD4" w:rsidRPr="00D77AD4" w:rsidRDefault="00D77AD4" w:rsidP="00D77AD4">
      <w:pPr>
        <w:pStyle w:val="Prrafodelista"/>
        <w:rPr>
          <w:rFonts w:eastAsia="Calibri" w:cs="Tahoma"/>
          <w:b/>
          <w:bCs/>
        </w:rPr>
      </w:pPr>
    </w:p>
    <w:p w14:paraId="4AC493FB" w14:textId="77777777" w:rsidR="00D77AD4" w:rsidRPr="00D77AD4" w:rsidRDefault="00D77AD4" w:rsidP="00D77AD4">
      <w:pPr>
        <w:pStyle w:val="Prrafodelista"/>
        <w:tabs>
          <w:tab w:val="left" w:pos="3962"/>
        </w:tabs>
        <w:spacing w:line="360" w:lineRule="auto"/>
        <w:jc w:val="both"/>
        <w:rPr>
          <w:rFonts w:eastAsia="Calibri" w:cs="Tahoma"/>
          <w:b/>
          <w:bCs/>
        </w:rPr>
      </w:pPr>
    </w:p>
    <w:p w14:paraId="3562CA26" w14:textId="77777777" w:rsidR="00D77AD4" w:rsidRPr="00D77AD4" w:rsidRDefault="00D77AD4" w:rsidP="00D77AD4">
      <w:pPr>
        <w:spacing w:line="360" w:lineRule="auto"/>
        <w:ind w:left="360"/>
        <w:rPr>
          <w:rFonts w:ascii="Palatino Linotype" w:hAnsi="Palatino Linotype"/>
          <w:lang w:val="es-MX"/>
        </w:rPr>
      </w:pPr>
      <w:r w:rsidRPr="00D77AD4">
        <w:rPr>
          <w:rFonts w:ascii="Palatino Linotype" w:hAnsi="Palatino Linotype"/>
        </w:rPr>
        <w:t>Para el supuesto, de que no cuente con la información, de los numerales 1 y 2, al no existir, deberá hacerlo del conocimiento del ahora Recurrente, de manera clara y precisa.</w:t>
      </w:r>
    </w:p>
    <w:p w14:paraId="29F1E807" w14:textId="77777777" w:rsidR="00D77AD4" w:rsidRPr="00D77AD4" w:rsidRDefault="00D77AD4" w:rsidP="00D77AD4">
      <w:pPr>
        <w:pStyle w:val="Prrafodelista"/>
        <w:spacing w:line="360" w:lineRule="auto"/>
        <w:jc w:val="both"/>
        <w:rPr>
          <w:rFonts w:ascii="Palatino Linotype" w:hAnsi="Palatino Linotype"/>
          <w:color w:val="000000" w:themeColor="text1"/>
        </w:rPr>
      </w:pPr>
    </w:p>
    <w:p w14:paraId="6C4FC206" w14:textId="19391F4E" w:rsidR="00EF3513" w:rsidRPr="00105578" w:rsidRDefault="003F0929" w:rsidP="00F47FB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Sin embargo contrario al criterio mayoritario, </w:t>
      </w:r>
      <w:r w:rsidR="00A7532A">
        <w:rPr>
          <w:rFonts w:ascii="Palatino Linotype" w:eastAsia="Palatino Linotype" w:hAnsi="Palatino Linotype" w:cs="Palatino Linotype"/>
          <w:color w:val="000000"/>
        </w:rPr>
        <w:t>no</w:t>
      </w:r>
      <w:r w:rsidR="00A7532A">
        <w:rPr>
          <w:rFonts w:ascii="Palatino Linotype" w:eastAsia="Palatino Linotype" w:hAnsi="Palatino Linotype" w:cs="Palatino Linotype"/>
        </w:rPr>
        <w:t xml:space="preserve"> </w:t>
      </w:r>
      <w:r w:rsidR="0083108D">
        <w:rPr>
          <w:rFonts w:ascii="Palatino Linotype" w:eastAsia="Palatino Linotype" w:hAnsi="Palatino Linotype" w:cs="Palatino Linotype"/>
        </w:rPr>
        <w:t xml:space="preserve">se </w:t>
      </w:r>
      <w:r w:rsidR="00A7532A">
        <w:rPr>
          <w:rFonts w:ascii="Palatino Linotype" w:eastAsia="Palatino Linotype" w:hAnsi="Palatino Linotype" w:cs="Palatino Linotype"/>
        </w:rPr>
        <w:t xml:space="preserve">comparte </w:t>
      </w:r>
      <w:r w:rsidR="00A561C5" w:rsidRPr="00A561C5">
        <w:rPr>
          <w:rFonts w:ascii="Palatino Linotype" w:eastAsia="Palatino Linotype" w:hAnsi="Palatino Linotype" w:cs="Palatino Linotype"/>
          <w:color w:val="000000"/>
        </w:rPr>
        <w:t xml:space="preserve">la clasificación </w:t>
      </w:r>
      <w:r w:rsidR="00E37AE3">
        <w:rPr>
          <w:rFonts w:ascii="Palatino Linotype" w:eastAsia="Palatino Linotype" w:hAnsi="Palatino Linotype" w:cs="Palatino Linotype"/>
        </w:rPr>
        <w:t>como confidencial del nombre y cargo del servidor público</w:t>
      </w:r>
      <w:r w:rsidR="006F5ED9">
        <w:rPr>
          <w:rFonts w:ascii="Palatino Linotype" w:eastAsia="Palatino Linotype" w:hAnsi="Palatino Linotype" w:cs="Palatino Linotype"/>
        </w:rPr>
        <w:t xml:space="preserve"> absuelto</w:t>
      </w:r>
      <w:r w:rsidR="00A7532A">
        <w:rPr>
          <w:rFonts w:ascii="Palatino Linotype" w:eastAsia="Palatino Linotype" w:hAnsi="Palatino Linotype" w:cs="Palatino Linotype"/>
        </w:rPr>
        <w:t>, ya que no se aprecia que</w:t>
      </w:r>
      <w:r w:rsidR="00EF3513" w:rsidRPr="00105578">
        <w:rPr>
          <w:rFonts w:ascii="Palatino Linotype" w:eastAsia="Palatino Linotype" w:hAnsi="Palatino Linotype" w:cs="Palatino Linotype"/>
        </w:rPr>
        <w:t xml:space="preserve"> la información solicitada afecte la esfera privada de</w:t>
      </w:r>
      <w:r w:rsidR="00A7532A">
        <w:rPr>
          <w:rFonts w:ascii="Palatino Linotype" w:eastAsia="Palatino Linotype" w:hAnsi="Palatino Linotype" w:cs="Palatino Linotype"/>
        </w:rPr>
        <w:t>l servidor público</w:t>
      </w:r>
      <w:r w:rsidR="00EF3513" w:rsidRPr="00105578">
        <w:rPr>
          <w:rFonts w:ascii="Palatino Linotype" w:eastAsia="Palatino Linotype" w:hAnsi="Palatino Linotype" w:cs="Palatino Linotype"/>
        </w:rPr>
        <w:t xml:space="preserve">, </w:t>
      </w:r>
      <w:r w:rsidR="00A7532A">
        <w:rPr>
          <w:rFonts w:ascii="Palatino Linotype" w:eastAsia="Palatino Linotype" w:hAnsi="Palatino Linotype" w:cs="Palatino Linotype"/>
        </w:rPr>
        <w:t>genere</w:t>
      </w:r>
      <w:r w:rsidR="00EF3513"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3133754C" w14:textId="29D55948" w:rsidR="00D96441" w:rsidRDefault="00A7532A" w:rsidP="00D964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w:t>
      </w:r>
      <w:r w:rsidR="00445879" w:rsidRPr="004B2706">
        <w:rPr>
          <w:rFonts w:ascii="Palatino Linotype" w:hAnsi="Palatino Linotype" w:cs="Arial"/>
        </w:rPr>
        <w:t xml:space="preserve">sostiene tal criterio, toda vez que las determinaciones en donde la conducta investigada no fue contraria </w:t>
      </w:r>
      <w:r w:rsidR="00484F6F">
        <w:rPr>
          <w:rFonts w:ascii="Palatino Linotype" w:hAnsi="Palatino Linotype" w:cs="Arial"/>
        </w:rPr>
        <w:t>a</w:t>
      </w:r>
      <w:r w:rsidR="00445879" w:rsidRPr="004B2706">
        <w:rPr>
          <w:rFonts w:ascii="Palatino Linotype" w:hAnsi="Palatino Linotype" w:cs="Arial"/>
        </w:rPr>
        <w:t xml:space="preserve"> derecho; en las que se logra apreciar los elementos y las circunstancias que llevaron a concluir que a los servidores públicos, no le</w:t>
      </w:r>
      <w:r w:rsidR="00BF358F">
        <w:rPr>
          <w:rFonts w:ascii="Palatino Linotype" w:hAnsi="Palatino Linotype" w:cs="Arial"/>
        </w:rPr>
        <w:t>s</w:t>
      </w:r>
      <w:r w:rsidR="00445879" w:rsidRPr="004B2706">
        <w:rPr>
          <w:rFonts w:ascii="Palatino Linotype" w:hAnsi="Palatino Linotype" w:cs="Arial"/>
        </w:rPr>
        <w:t xml:space="preserve"> eran imputables las conductas que se le atribuían, permite la rendición de cuentas del </w:t>
      </w:r>
      <w:r w:rsidR="00445879" w:rsidRPr="004B2706">
        <w:rPr>
          <w:rFonts w:ascii="Palatino Linotype" w:hAnsi="Palatino Linotype" w:cs="Arial"/>
        </w:rPr>
        <w:lastRenderedPageBreak/>
        <w:t xml:space="preserve">servidor público, pues se podría observar, que dicho servidor público, ha cumplido con sus obligaciones y no ha cometido actos irregulares y ha actuado conforme a las normatividad aplicable. </w:t>
      </w:r>
    </w:p>
    <w:p w14:paraId="750FDB77"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0A0B5F5A" w14:textId="77777777" w:rsidR="00D96441" w:rsidRDefault="00D03369"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02B2CF09"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49B07B45" w14:textId="7155C6A6" w:rsidR="00B703D7" w:rsidRDefault="00B703D7"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20BD4225" w14:textId="77777777" w:rsidR="00D96441" w:rsidRPr="004B2706" w:rsidRDefault="00D96441" w:rsidP="00D96441">
      <w:pPr>
        <w:autoSpaceDE w:val="0"/>
        <w:autoSpaceDN w:val="0"/>
        <w:adjustRightInd w:val="0"/>
        <w:spacing w:line="360" w:lineRule="auto"/>
        <w:ind w:right="49"/>
        <w:jc w:val="both"/>
        <w:rPr>
          <w:rFonts w:ascii="Palatino Linotype" w:hAnsi="Palatino Linotype" w:cs="Arial"/>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lastRenderedPageBreak/>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lastRenderedPageBreak/>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3CE4C507" w14:textId="77777777" w:rsidR="006F5ED9" w:rsidRDefault="006F5ED9" w:rsidP="00D03369">
      <w:pPr>
        <w:pStyle w:val="NormalWeb"/>
        <w:spacing w:before="0" w:beforeAutospacing="0" w:after="0" w:afterAutospacing="0" w:line="360" w:lineRule="auto"/>
        <w:jc w:val="both"/>
        <w:rPr>
          <w:rFonts w:ascii="Palatino Linotype" w:hAnsi="Palatino Linotype"/>
        </w:rPr>
      </w:pPr>
    </w:p>
    <w:p w14:paraId="05986A67" w14:textId="77777777" w:rsidR="006F5ED9" w:rsidRDefault="006F5ED9" w:rsidP="006F5ED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acoso sexual y por razón de sexo es un problema que ha asumido, desafortunadamente, una creciente importancia en los últimos años. Las connotaciones de poder propias de la conducta del agresor y su posición dominante, sumados a la invisibilidad de este tipo de fenómenos como consecuencia de una desigualdad de género, reducen las posibilidades de enfrentarse frontalmente a la situación por parte de la víctima, en la mayoría de los casos, por temor a reprimendas. En el terreno de las relaciones laborales la cuestión es aún más importante si cabe, toda vez que las circunstancias propias de dirección de la actividad por parte del superior jerárquico constituyen un escenario asimétrico perfecto en el que actuar con impunidad. Así pues, </w:t>
      </w:r>
      <w:r w:rsidRPr="0019740B">
        <w:rPr>
          <w:rFonts w:ascii="Palatino Linotype" w:eastAsia="Palatino Linotype" w:hAnsi="Palatino Linotype" w:cs="Palatino Linotype"/>
          <w:b/>
          <w:color w:val="000000"/>
        </w:rPr>
        <w:t xml:space="preserve">las conductas de acoso sexual </w:t>
      </w:r>
      <w:r w:rsidRPr="0019740B">
        <w:rPr>
          <w:rFonts w:ascii="Palatino Linotype" w:eastAsia="Palatino Linotype" w:hAnsi="Palatino Linotype" w:cs="Palatino Linotype"/>
          <w:b/>
          <w:color w:val="000000"/>
        </w:rPr>
        <w:lastRenderedPageBreak/>
        <w:t>constituyen actos de corrupción</w:t>
      </w:r>
      <w:r>
        <w:rPr>
          <w:rFonts w:ascii="Palatino Linotype" w:eastAsia="Palatino Linotype" w:hAnsi="Palatino Linotype" w:cs="Palatino Linotype"/>
          <w:color w:val="000000"/>
        </w:rPr>
        <w:t>, en los que la persona agresora se aprovecha de su posición de poder para obtener un beneficio particular.</w:t>
      </w:r>
      <w:r>
        <w:rPr>
          <w:rStyle w:val="Refdenotaalpie"/>
          <w:rFonts w:ascii="Palatino Linotype" w:eastAsia="Palatino Linotype" w:hAnsi="Palatino Linotype" w:cs="Palatino Linotype"/>
          <w:color w:val="000000"/>
        </w:rPr>
        <w:footnoteReference w:id="6"/>
      </w:r>
    </w:p>
    <w:p w14:paraId="4336A5A5" w14:textId="77777777" w:rsidR="006F5ED9" w:rsidRDefault="006F5ED9" w:rsidP="006F5ED9">
      <w:pPr>
        <w:spacing w:line="360" w:lineRule="auto"/>
        <w:jc w:val="both"/>
        <w:rPr>
          <w:rFonts w:ascii="Palatino Linotype" w:eastAsia="Palatino Linotype" w:hAnsi="Palatino Linotype" w:cs="Palatino Linotype"/>
          <w:color w:val="000000"/>
        </w:rPr>
      </w:pPr>
    </w:p>
    <w:p w14:paraId="227D7592" w14:textId="77777777"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ese tenor, debe puntualizarse que el acoso sexual puede considerarse un acto de corrupción</w:t>
      </w:r>
      <w:r>
        <w:rPr>
          <w:rFonts w:ascii="Palatino Linotype" w:eastAsia="Palatino Linotype" w:hAnsi="Palatino Linotype" w:cs="Palatino Linotype"/>
        </w:rPr>
        <w:t xml:space="preserve"> en ciertos contextos, especialmente cuando ocurre en el entorno laboral o en el ejercicio de funciones públicas. La corrupción implica el abuso de poder para obtener beneficios personales o perjudicar a otros, y el acoso sexual es una manifestación de abuso de poder y discriminación de género.</w:t>
      </w:r>
      <w:r>
        <w:rPr>
          <w:rStyle w:val="Refdenotaalpie"/>
          <w:rFonts w:ascii="Palatino Linotype" w:eastAsia="Palatino Linotype" w:hAnsi="Palatino Linotype" w:cs="Palatino Linotype"/>
        </w:rPr>
        <w:footnoteReference w:id="7"/>
      </w:r>
    </w:p>
    <w:p w14:paraId="42143895" w14:textId="77777777" w:rsidR="006F5ED9" w:rsidRPr="009459B0" w:rsidRDefault="006F5ED9" w:rsidP="006F5ED9">
      <w:pPr>
        <w:spacing w:line="360" w:lineRule="auto"/>
        <w:jc w:val="both"/>
        <w:rPr>
          <w:rFonts w:ascii="Palatino Linotype" w:eastAsia="Palatino Linotype" w:hAnsi="Palatino Linotype" w:cs="Palatino Linotype"/>
        </w:rPr>
      </w:pPr>
    </w:p>
    <w:p w14:paraId="1CCB7E1A" w14:textId="77777777" w:rsidR="006F5ED9" w:rsidRPr="009459B0"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w:t>
      </w:r>
      <w:r w:rsidRPr="009459B0">
        <w:rPr>
          <w:rFonts w:ascii="Palatino Linotype" w:eastAsia="Palatino Linotype" w:hAnsi="Palatino Linotype" w:cs="Palatino Linotype"/>
        </w:rPr>
        <w:t>uando una persona utiliza su posición de autoridad, influencia o jerarquía para acosar sexualmente a otra, está abusando de su poder y violando los principios éticos y de integridad que deberían regir en esos contextos. Además, el acoso sexual puede tener consecuencias negativas para la víctima, como afectar su bienestar emocional, su salud mental y su desempeño laboral.</w:t>
      </w:r>
    </w:p>
    <w:p w14:paraId="44AF6613" w14:textId="77777777" w:rsidR="006F5ED9" w:rsidRPr="009459B0" w:rsidRDefault="006F5ED9" w:rsidP="006F5ED9">
      <w:pPr>
        <w:spacing w:line="360" w:lineRule="auto"/>
        <w:jc w:val="both"/>
        <w:rPr>
          <w:rFonts w:ascii="Palatino Linotype" w:eastAsia="Palatino Linotype" w:hAnsi="Palatino Linotype" w:cs="Palatino Linotype"/>
        </w:rPr>
      </w:pPr>
      <w:r w:rsidRPr="009459B0">
        <w:rPr>
          <w:rFonts w:ascii="Palatino Linotype" w:eastAsia="Palatino Linotype" w:hAnsi="Palatino Linotype" w:cs="Palatino Linotype"/>
        </w:rPr>
        <w:t xml:space="preserve">En muchos países, existen leyes y regulaciones que prohíben el acoso sexual en el ámbito laboral y en otras esferas de la vida social. Estas normas buscan prevenir y </w:t>
      </w:r>
      <w:r w:rsidRPr="009459B0">
        <w:rPr>
          <w:rFonts w:ascii="Palatino Linotype" w:eastAsia="Palatino Linotype" w:hAnsi="Palatino Linotype" w:cs="Palatino Linotype"/>
        </w:rPr>
        <w:lastRenderedPageBreak/>
        <w:t xml:space="preserve">sancionar el acoso sexual, y también pueden abordar el acoso como una forma de corrupción. </w:t>
      </w:r>
      <w:r>
        <w:rPr>
          <w:rFonts w:ascii="Palatino Linotype" w:eastAsia="Palatino Linotype" w:hAnsi="Palatino Linotype" w:cs="Palatino Linotype"/>
        </w:rPr>
        <w:t>Por tanto,</w:t>
      </w:r>
      <w:r w:rsidRPr="009459B0">
        <w:rPr>
          <w:rFonts w:ascii="Palatino Linotype" w:eastAsia="Palatino Linotype" w:hAnsi="Palatino Linotype" w:cs="Palatino Linotype"/>
        </w:rPr>
        <w:t xml:space="preserve"> en el caso de funcionarios públicos que utilizan su posición para obtener favores sexuales o ejercer control indebido sobre otras personas, se considera una forma de corrupción.</w:t>
      </w:r>
    </w:p>
    <w:p w14:paraId="17EBB428" w14:textId="77777777" w:rsidR="006F5ED9" w:rsidRPr="009459B0" w:rsidRDefault="006F5ED9" w:rsidP="006F5ED9">
      <w:pPr>
        <w:spacing w:line="360" w:lineRule="auto"/>
        <w:jc w:val="both"/>
        <w:rPr>
          <w:rFonts w:ascii="Palatino Linotype" w:eastAsia="Palatino Linotype" w:hAnsi="Palatino Linotype" w:cs="Palatino Linotype"/>
        </w:rPr>
      </w:pPr>
    </w:p>
    <w:p w14:paraId="486B206C" w14:textId="77777777" w:rsidR="006F5ED9" w:rsidRDefault="006F5ED9" w:rsidP="006F5ED9">
      <w:pPr>
        <w:spacing w:line="360" w:lineRule="auto"/>
        <w:jc w:val="both"/>
        <w:rPr>
          <w:rFonts w:ascii="Palatino Linotype" w:eastAsia="Palatino Linotype" w:hAnsi="Palatino Linotype" w:cs="Palatino Linotype"/>
        </w:rPr>
      </w:pPr>
      <w:r w:rsidRPr="009459B0">
        <w:rPr>
          <w:rFonts w:ascii="Palatino Linotype" w:eastAsia="Palatino Linotype" w:hAnsi="Palatino Linotype" w:cs="Palatino Linotype"/>
        </w:rPr>
        <w:t>Es importante fomentar la conciencia sobre el acoso sexual y la corrupción en todos los niveles de la sociedad, promoviendo políticas y prácticas que prevengan y sancionen estos comportamientos. Esto incluye el fortalecimiento de mecanismos de denuncia, la capacitación en materia de igualdad de género y el fomento de entornos laborales seguros y libres de acoso; luego entonces es que –se insiste– si debió analizarse la actualización a las excepciones a la reserva, y ordenarse la entrega de los procedimientos en trámite, al tratarse de una falta grave relacionado con actos de corrupción.</w:t>
      </w:r>
    </w:p>
    <w:p w14:paraId="50C7AA6C" w14:textId="77777777" w:rsidR="006F5ED9" w:rsidRDefault="006F5ED9" w:rsidP="006F5ED9">
      <w:pPr>
        <w:spacing w:line="360" w:lineRule="auto"/>
        <w:jc w:val="both"/>
        <w:rPr>
          <w:rFonts w:ascii="Palatino Linotype" w:eastAsia="Palatino Linotype" w:hAnsi="Palatino Linotype" w:cs="Palatino Linotype"/>
        </w:rPr>
      </w:pPr>
    </w:p>
    <w:p w14:paraId="16E1CD40" w14:textId="77777777"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w:t>
      </w:r>
      <w:r w:rsidRPr="008A7670">
        <w:rPr>
          <w:rFonts w:ascii="Palatino Linotype" w:eastAsia="Palatino Linotype" w:hAnsi="Palatino Linotype" w:cs="Palatino Linotype"/>
        </w:rPr>
        <w:t>os encontramos ante un escenario en el que la lucha contra el acoso sexual y por razón de sexo en el puesto de trabajo se ha intensificado y su protección jurídica es imprescindible. Y más aún que sea efectiva, de tal manera que debe encaminarse a establecer mecanismos preventivos, visibilizar y monitorizar este tipo de comportamientos y en cualquier caso, garantizar que la denuncia de la conducta agresora no estigmatice a la víctima ni reduzca sus posibilidades de progreso económico y/o profesional.</w:t>
      </w:r>
    </w:p>
    <w:p w14:paraId="6F8BC5D2" w14:textId="77777777" w:rsidR="006F5ED9" w:rsidRPr="008A7670" w:rsidRDefault="006F5ED9" w:rsidP="006F5ED9">
      <w:pPr>
        <w:spacing w:line="360" w:lineRule="auto"/>
        <w:jc w:val="both"/>
        <w:rPr>
          <w:rFonts w:ascii="Palatino Linotype" w:eastAsia="Palatino Linotype" w:hAnsi="Palatino Linotype" w:cs="Palatino Linotype"/>
        </w:rPr>
      </w:pPr>
    </w:p>
    <w:p w14:paraId="6031049F" w14:textId="77777777" w:rsidR="006F5ED9" w:rsidRDefault="006F5ED9" w:rsidP="006F5ED9">
      <w:pPr>
        <w:spacing w:line="360" w:lineRule="auto"/>
        <w:jc w:val="both"/>
        <w:rPr>
          <w:rFonts w:ascii="Palatino Linotype" w:eastAsia="Palatino Linotype" w:hAnsi="Palatino Linotype" w:cs="Palatino Linotype"/>
        </w:rPr>
      </w:pPr>
      <w:r w:rsidRPr="008A7670">
        <w:rPr>
          <w:rFonts w:ascii="Palatino Linotype" w:eastAsia="Palatino Linotype" w:hAnsi="Palatino Linotype" w:cs="Palatino Linotype"/>
        </w:rPr>
        <w:t xml:space="preserve">Desde una perspectiva laboral-internacional, la Organización Internacional del Trabajo </w:t>
      </w:r>
      <w:r>
        <w:rPr>
          <w:rFonts w:ascii="Palatino Linotype" w:eastAsia="Palatino Linotype" w:hAnsi="Palatino Linotype" w:cs="Palatino Linotype"/>
        </w:rPr>
        <w:t xml:space="preserve">ha sentado </w:t>
      </w:r>
      <w:r w:rsidRPr="008A7670">
        <w:rPr>
          <w:rFonts w:ascii="Palatino Linotype" w:eastAsia="Palatino Linotype" w:hAnsi="Palatino Linotype" w:cs="Palatino Linotype"/>
        </w:rPr>
        <w:t xml:space="preserve"> las bases de la lucha contra la violencia en el trabajo, y concretamente, respecto al acoso sexual y por razón de sexo. En este sentido, el último Convenio adoptado en el seno de la citada institución sobre esta materia, a saber, el Convenio núm. 190 sobre la violencia y el acoso (2019) es aparentemente relevante</w:t>
      </w:r>
      <w:r>
        <w:rPr>
          <w:rFonts w:ascii="Palatino Linotype" w:eastAsia="Palatino Linotype" w:hAnsi="Palatino Linotype" w:cs="Palatino Linotype"/>
        </w:rPr>
        <w:t>.</w:t>
      </w:r>
    </w:p>
    <w:p w14:paraId="538B2100" w14:textId="77777777" w:rsidR="006F5ED9" w:rsidRPr="000C6EE3" w:rsidRDefault="006F5ED9" w:rsidP="006F5ED9">
      <w:pPr>
        <w:spacing w:line="360" w:lineRule="auto"/>
        <w:jc w:val="both"/>
        <w:rPr>
          <w:rFonts w:ascii="Palatino Linotype" w:eastAsia="Palatino Linotype" w:hAnsi="Palatino Linotype" w:cs="Palatino Linotype"/>
        </w:rPr>
      </w:pPr>
      <w:r w:rsidRPr="008A7670">
        <w:rPr>
          <w:rFonts w:ascii="Palatino Linotype" w:eastAsia="Palatino Linotype" w:hAnsi="Palatino Linotype" w:cs="Palatino Linotype"/>
        </w:rPr>
        <w:t xml:space="preserve"> </w:t>
      </w:r>
    </w:p>
    <w:p w14:paraId="1B7DE3A8"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 xml:space="preserve">En este tenor la Organización Internacional del Trabajo (OIT) define el acoso laboral como “Cualquier incidente en el cual la persona es abusada, maltratada en circunstancias relacionadas con su trabajo.” Pudiéndose presentar como maltrato, persecución, discriminación, entorpecimiento e inequidad laboral, limitar canales de comunicación o desprotección laboral y atenta contra la estabilidad laboral, contra el derecho al trabajo digno, contra la integridad y la dignidad. </w:t>
      </w:r>
    </w:p>
    <w:p w14:paraId="479351AA" w14:textId="77777777" w:rsidR="006F5ED9" w:rsidRPr="000C6EE3" w:rsidRDefault="006F5ED9" w:rsidP="006F5ED9">
      <w:pPr>
        <w:spacing w:line="360" w:lineRule="auto"/>
        <w:jc w:val="both"/>
        <w:rPr>
          <w:rFonts w:ascii="Palatino Linotype" w:eastAsia="Palatino Linotype" w:hAnsi="Palatino Linotype" w:cs="Palatino Linotype"/>
        </w:rPr>
      </w:pPr>
    </w:p>
    <w:p w14:paraId="79B0B1FC"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Respecto a la afectación a la dignidad, las conductas hostiles, humillantes y discriminatorias lesionan la dignidad humana y constituyen formas de agresión  que no solo deteriora el clima de trabajo, sino que son formas disimuladas pero altamente eficaces de despido o destitución sin causas sobre las víctimas.</w:t>
      </w:r>
    </w:p>
    <w:p w14:paraId="0AA8F87A" w14:textId="77777777" w:rsidR="006F5ED9" w:rsidRPr="000C6EE3" w:rsidRDefault="006F5ED9" w:rsidP="006F5ED9">
      <w:pPr>
        <w:spacing w:line="360" w:lineRule="auto"/>
        <w:jc w:val="both"/>
        <w:rPr>
          <w:rFonts w:ascii="Palatino Linotype" w:eastAsia="Palatino Linotype" w:hAnsi="Palatino Linotype" w:cs="Palatino Linotype"/>
        </w:rPr>
      </w:pPr>
    </w:p>
    <w:p w14:paraId="0F511167"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lastRenderedPageBreak/>
        <w:t xml:space="preserve">Por su parte, la Corte Interamericana de Derechos Humanos se ha pronunciado en materia de estabilidad laboral tal cual se recoge en los instrumentos o corpus iuris interamericano en el Caso Lagos del Campo vs. Perú además de la especial de la libertad de expresión en el ámbito laboral, siendo este fallo sumamente relevante al establecer parámetros legales con respecto a los temas tratados de impacto directo para los sistemas normativos nacionales. </w:t>
      </w:r>
    </w:p>
    <w:p w14:paraId="34154EEC" w14:textId="77777777" w:rsidR="006F5ED9" w:rsidRPr="000C6EE3" w:rsidRDefault="006F5ED9" w:rsidP="006F5ED9">
      <w:pPr>
        <w:spacing w:line="360" w:lineRule="auto"/>
        <w:jc w:val="both"/>
        <w:rPr>
          <w:rFonts w:ascii="Palatino Linotype" w:eastAsia="Palatino Linotype" w:hAnsi="Palatino Linotype" w:cs="Palatino Linotype"/>
        </w:rPr>
      </w:pPr>
    </w:p>
    <w:p w14:paraId="3081778C"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 xml:space="preserve">En este tema se estarían vulnerando derecho a la estabilidad laboral (artículo 26 de la Convención Americana sobre Derechos Humanos - CADH) el derecho a la libertad de expresión (artículos 13 y 8 de la Convención), y el derecho al acceso a la justicia (artículos 8 y 25 de la Convención). Cabe señalar que los artículos 8 (Garantías Judiciales) y 25 (Protección Judicial) sientan las bases del denominado “debido proceso”, entendido como el derecho intrínseco que tiene todo ser humano a participar de manera efectiva y eficaz, en todas las decisiones que puedan afectar sus derechos; la eficacia y eficiencia mencionada denotan que no basta con el respeto de meras fórmulas rituales para tener por satisfecho este derecho, sino que se trata de una garantía que sólo se cumple cuando puede ejercerse el derecho de defensa de manera certera y efectiva. A este respecto, y atendiendo al caso que nos ocupa de que la vulneración no se dio únicamente en el rubro de acoso laboral, sin que trascendió a ser acoso sexual en donde además de lo mencionado anteriormente hay un ejercicio abusivo del poder, intimidación, amenaza o insinuación sexual, sin </w:t>
      </w:r>
      <w:r w:rsidRPr="000C6EE3">
        <w:rPr>
          <w:rFonts w:ascii="Palatino Linotype" w:eastAsia="Palatino Linotype" w:hAnsi="Palatino Linotype" w:cs="Palatino Linotype"/>
        </w:rPr>
        <w:lastRenderedPageBreak/>
        <w:t>consentimiento, que conlleva a la víctima a un estado de indefensión, riesgo, degradación o humillación, para hablar sobre debido proceso en la investigación se debe tomar en cuenta lo siguiente: el derecho a la presunción de inocencia (artículo 8.2 de la CADH) establece el derecho de toda persona a que “se presuma su inocencia hasta entonces no se establezca legalmente su culpabilidad” implica el que esta sea tratada en plena igualdad a las garantías mínimas de ser asistido, de tener comunicación previa y detallada sobre la acusación formulada, a contar con tiempo y los medios adecuados para su defensa, a interrogar a los testigos presentes, a no ser obligado a declarar contra sí misma, a recurrir el fallo; situación que no se vulnera al garantizar el derecho a la verdad de la víctima o posibles víctimas, además de que implica la posibilidad cierta de toda persona, para hacer valer una o más pretensiones para la protección de sus derechos.</w:t>
      </w:r>
    </w:p>
    <w:p w14:paraId="71D3F818" w14:textId="77777777" w:rsidR="006F5ED9" w:rsidRPr="000C6EE3" w:rsidRDefault="006F5ED9" w:rsidP="006F5ED9">
      <w:pPr>
        <w:spacing w:line="360" w:lineRule="auto"/>
        <w:jc w:val="both"/>
        <w:rPr>
          <w:rFonts w:ascii="Palatino Linotype" w:eastAsia="Palatino Linotype" w:hAnsi="Palatino Linotype" w:cs="Palatino Linotype"/>
        </w:rPr>
      </w:pPr>
    </w:p>
    <w:p w14:paraId="6BE1A06F"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Aunado a lo anterior, y como parte del debido proceso en la sustanciación de faltas graves a las Leyes y más aún cuando estas faltas pueden ser constitutivas de delito y establecidas como violaciones a los derechos humanos por leyes diversas o conforme a los estándares internacionales en la materia, lo relativo al plazo razonable al estar derechos humanos en juego no dependerá de  la complejidad de la causa, sino con la urgencia y la debida diligencia reforzada que debe estar presente cuando se trata de violencia contra las mujeres y más si es de índole sexual.</w:t>
      </w:r>
    </w:p>
    <w:p w14:paraId="49D4BBEF" w14:textId="77777777" w:rsidR="006F5ED9" w:rsidRPr="000C6EE3" w:rsidRDefault="006F5ED9" w:rsidP="006F5ED9">
      <w:pPr>
        <w:spacing w:line="360" w:lineRule="auto"/>
        <w:jc w:val="both"/>
        <w:rPr>
          <w:rFonts w:ascii="Palatino Linotype" w:eastAsia="Palatino Linotype" w:hAnsi="Palatino Linotype" w:cs="Palatino Linotype"/>
        </w:rPr>
      </w:pPr>
    </w:p>
    <w:p w14:paraId="013A922D"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lastRenderedPageBreak/>
        <w:t>Derivado de lo anterior y conforme a lo establecido en el Artículo 1º. Constitucional que en su segundo y tercer párrafo dice:</w:t>
      </w:r>
    </w:p>
    <w:p w14:paraId="3F066D5D" w14:textId="77777777" w:rsidR="006F5ED9" w:rsidRPr="000C6EE3" w:rsidRDefault="006F5ED9" w:rsidP="006F5ED9">
      <w:pPr>
        <w:spacing w:line="360" w:lineRule="auto"/>
        <w:jc w:val="both"/>
        <w:rPr>
          <w:rFonts w:ascii="Palatino Linotype" w:eastAsia="Palatino Linotype" w:hAnsi="Palatino Linotype" w:cs="Palatino Linotype"/>
        </w:rPr>
      </w:pPr>
    </w:p>
    <w:p w14:paraId="749E5848" w14:textId="77777777" w:rsidR="006F5ED9" w:rsidRPr="000C6EE3" w:rsidRDefault="006F5ED9" w:rsidP="006F5ED9">
      <w:pPr>
        <w:spacing w:line="360" w:lineRule="auto"/>
        <w:jc w:val="both"/>
        <w:rPr>
          <w:rFonts w:ascii="Palatino Linotype" w:eastAsia="Palatino Linotype" w:hAnsi="Palatino Linotype" w:cs="Palatino Linotype"/>
          <w:i/>
        </w:rPr>
      </w:pPr>
      <w:r w:rsidRPr="000C6EE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9ADC31B" w14:textId="77777777" w:rsidR="006F5ED9" w:rsidRPr="000C6EE3" w:rsidRDefault="006F5ED9" w:rsidP="006F5ED9">
      <w:pPr>
        <w:spacing w:line="360" w:lineRule="auto"/>
        <w:jc w:val="both"/>
        <w:rPr>
          <w:rFonts w:ascii="Palatino Linotype" w:eastAsia="Palatino Linotype" w:hAnsi="Palatino Linotype" w:cs="Palatino Linotype"/>
        </w:rPr>
      </w:pPr>
    </w:p>
    <w:p w14:paraId="1A22D3E1"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2715F6" w14:textId="77777777" w:rsidR="006F5ED9" w:rsidRPr="000C6EE3" w:rsidRDefault="006F5ED9" w:rsidP="006F5ED9">
      <w:pPr>
        <w:spacing w:line="360" w:lineRule="auto"/>
        <w:jc w:val="both"/>
        <w:rPr>
          <w:rFonts w:ascii="Palatino Linotype" w:eastAsia="Palatino Linotype" w:hAnsi="Palatino Linotype" w:cs="Palatino Linotype"/>
        </w:rPr>
      </w:pPr>
    </w:p>
    <w:p w14:paraId="07825331"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 xml:space="preserve">Y al ser la interpretación conforme o control de convencionalidad vinculante para todas las autoridades según lo establece la Corte Interamericana de Derechos Humanos debiendo ser realizado de oficio por todas las autoridades, se requiere ponderar y determinar que en este caso prevalece el derecho de la víctima al fallar las autoridades en la sustanciación, en la garantía de derechos, excediendo el plazo razonable, por lo cual la información debe ser entregada. </w:t>
      </w:r>
    </w:p>
    <w:p w14:paraId="2DBE2398" w14:textId="77777777" w:rsidR="006F5ED9" w:rsidRPr="000C6EE3" w:rsidRDefault="006F5ED9" w:rsidP="006F5ED9">
      <w:pPr>
        <w:spacing w:line="360" w:lineRule="auto"/>
        <w:jc w:val="both"/>
        <w:rPr>
          <w:rFonts w:ascii="Palatino Linotype" w:eastAsia="Palatino Linotype" w:hAnsi="Palatino Linotype" w:cs="Palatino Linotype"/>
        </w:rPr>
      </w:pPr>
    </w:p>
    <w:p w14:paraId="726838CF" w14:textId="77777777"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w:t>
      </w:r>
      <w:r w:rsidRPr="000C6EE3">
        <w:rPr>
          <w:rFonts w:ascii="Palatino Linotype" w:eastAsia="Palatino Linotype" w:hAnsi="Palatino Linotype" w:cs="Palatino Linotype"/>
        </w:rPr>
        <w:t>la Ley de Acceso de las Mujeres a una Vida Libre de Violencia se establece la violencia laboral en el capítulo II en donde se establece que esta es aquella ejercida por las personas que tienen un vínculo laboral, docente o análogo con la víctima, independientemente de la relación jerárquica; lo cual quiere decir que puede ser ejercida de forma vertical, horizontal, ascendente o descendente;  pudiendo consistir en un acto u omisión, abuso de poder, que provoque algún tipo de daño a la autoestima, salud, integridad, libertad y seguridad de la víctima, e impida el libre desarrollo de la personalidad y vulnere sus derechos humanos.</w:t>
      </w:r>
    </w:p>
    <w:p w14:paraId="23585F0D" w14:textId="77777777" w:rsidR="006F5ED9" w:rsidRDefault="006F5ED9" w:rsidP="006F5ED9">
      <w:pPr>
        <w:spacing w:line="360" w:lineRule="auto"/>
        <w:jc w:val="both"/>
        <w:rPr>
          <w:rFonts w:ascii="Palatino Linotype" w:eastAsia="Palatino Linotype" w:hAnsi="Palatino Linotype" w:cs="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w:t>
      </w:r>
      <w:r w:rsidRPr="00CF3F65">
        <w:rPr>
          <w:rFonts w:ascii="Palatino Linotype" w:hAnsi="Palatino Linotype"/>
        </w:rPr>
        <w:lastRenderedPageBreak/>
        <w:t xml:space="preserve">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410172ED" w14:textId="67DB0533"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1"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1"/>
    </w:p>
    <w:p w14:paraId="0B338AC4" w14:textId="4B1DB6FD" w:rsidR="00CF3F65" w:rsidRDefault="00A7532A" w:rsidP="00A561C5">
      <w:pPr>
        <w:spacing w:before="240" w:after="240" w:line="360" w:lineRule="auto"/>
        <w:jc w:val="both"/>
        <w:rPr>
          <w:rFonts w:ascii="Palatino Linotype" w:hAnsi="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w:t>
      </w:r>
      <w:r w:rsidR="00A561C5" w:rsidRPr="00A561C5">
        <w:rPr>
          <w:rFonts w:ascii="Palatino Linotype" w:hAnsi="Palatino Linotype"/>
        </w:rPr>
        <w:t xml:space="preserve">clasificación  </w:t>
      </w:r>
      <w:r w:rsidR="00615B7E">
        <w:rPr>
          <w:rFonts w:ascii="Palatino Linotype" w:eastAsia="Palatino Linotype" w:hAnsi="Palatino Linotype" w:cs="Palatino Linotype"/>
        </w:rPr>
        <w:t xml:space="preserve">como confidencial del </w:t>
      </w:r>
      <w:r w:rsidR="00615B7E" w:rsidRPr="00615B7E">
        <w:rPr>
          <w:rFonts w:ascii="Palatino Linotype" w:eastAsia="Palatino Linotype" w:hAnsi="Palatino Linotype" w:cs="Palatino Linotype"/>
          <w:u w:val="single"/>
        </w:rPr>
        <w:t>nombre y cargo, área de</w:t>
      </w:r>
      <w:r w:rsidR="00615B7E">
        <w:rPr>
          <w:rFonts w:ascii="Palatino Linotype" w:eastAsia="Palatino Linotype" w:hAnsi="Palatino Linotype" w:cs="Palatino Linotype"/>
          <w:u w:val="single"/>
        </w:rPr>
        <w:t xml:space="preserve"> adscripción</w:t>
      </w:r>
      <w:r w:rsidR="00615B7E" w:rsidRPr="00615B7E">
        <w:rPr>
          <w:rFonts w:ascii="Palatino Linotype" w:eastAsia="Palatino Linotype" w:hAnsi="Palatino Linotype" w:cs="Palatino Linotype"/>
          <w:u w:val="single"/>
        </w:rPr>
        <w:t xml:space="preserve"> </w:t>
      </w:r>
      <w:r w:rsidR="00615B7E">
        <w:rPr>
          <w:rFonts w:ascii="Palatino Linotype" w:eastAsia="Palatino Linotype" w:hAnsi="Palatino Linotype" w:cs="Palatino Linotype"/>
          <w:u w:val="single"/>
        </w:rPr>
        <w:t>y aquellos datos personales que hagan identificable a una persona de los Servidores Públicos absueltos en el caso de procedimientos administrativos iniciados por faltas graves</w:t>
      </w:r>
      <w:r w:rsidR="00615B7E" w:rsidRPr="00615B7E">
        <w:rPr>
          <w:rFonts w:ascii="Palatino Linotype" w:eastAsia="Palatino Linotype" w:hAnsi="Palatino Linotype" w:cs="Palatino Linotype"/>
        </w:rPr>
        <w:t>, a</w:t>
      </w:r>
      <w:r w:rsidR="00A561C5" w:rsidRPr="00615B7E">
        <w:rPr>
          <w:rFonts w:ascii="Palatino Linotype" w:hAnsi="Palatino Linotype"/>
        </w:rPr>
        <w:t>l</w:t>
      </w:r>
      <w:r w:rsidR="00A561C5" w:rsidRPr="00A561C5">
        <w:rPr>
          <w:rFonts w:ascii="Palatino Linotype" w:hAnsi="Palatino Linotype"/>
        </w:rPr>
        <w:t xml:space="preserve">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67BB056C" w14:textId="77777777" w:rsidR="00CF3F65" w:rsidRPr="00CF3F65" w:rsidRDefault="00CF3F65" w:rsidP="00CF3F65">
      <w:pPr>
        <w:spacing w:line="360" w:lineRule="auto"/>
        <w:rPr>
          <w:rFonts w:ascii="Palatino Linotype" w:hAnsi="Palatino Linotype"/>
        </w:rPr>
      </w:pPr>
      <w:bookmarkStart w:id="2" w:name="_GoBack"/>
      <w:bookmarkEnd w:id="2"/>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CF097" w14:textId="77777777" w:rsidR="00A512A0" w:rsidRDefault="00A512A0" w:rsidP="00C80F8C">
      <w:r>
        <w:separator/>
      </w:r>
    </w:p>
  </w:endnote>
  <w:endnote w:type="continuationSeparator" w:id="0">
    <w:p w14:paraId="5FA53716" w14:textId="77777777" w:rsidR="00A512A0" w:rsidRDefault="00A512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C14D6" w14:textId="77777777" w:rsidR="00A512A0" w:rsidRDefault="00A512A0" w:rsidP="00C80F8C">
      <w:r>
        <w:separator/>
      </w:r>
    </w:p>
  </w:footnote>
  <w:footnote w:type="continuationSeparator" w:id="0">
    <w:p w14:paraId="6D9177F7" w14:textId="77777777" w:rsidR="00A512A0" w:rsidRDefault="00A512A0"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http://dle.rae.es/srv/fetch?id=B0dY4l3 .</w:t>
      </w:r>
    </w:p>
  </w:footnote>
  <w:footnote w:id="2">
    <w:p w14:paraId="3059BB03" w14:textId="108484BA" w:rsidR="00B05E5A" w:rsidRDefault="00B05E5A">
      <w:pPr>
        <w:pStyle w:val="Textonotapie"/>
      </w:pPr>
      <w:r>
        <w:rPr>
          <w:rStyle w:val="Refdenotaalpie"/>
        </w:rPr>
        <w:footnoteRef/>
      </w:r>
      <w:r>
        <w:t xml:space="preserve"> </w:t>
      </w:r>
      <w:proofErr w:type="spellStart"/>
      <w:r>
        <w:t>Ibidem</w:t>
      </w:r>
      <w:proofErr w:type="spellEnd"/>
      <w:r>
        <w:t>,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https://www.oecd.org/corruption/ethics/estudio-integridad-mexico-aspectos-claves.p</w:t>
      </w:r>
      <w:r w:rsidR="00B05E5A">
        <w:t xml:space="preserve">df, p.3. </w:t>
      </w:r>
    </w:p>
  </w:footnote>
  <w:footnote w:id="5">
    <w:p w14:paraId="0B030E72" w14:textId="3129FDD7" w:rsidR="00B703D7" w:rsidRPr="00147CD4" w:rsidRDefault="00B703D7" w:rsidP="00B703D7">
      <w:pPr>
        <w:pStyle w:val="Textonotapie"/>
        <w:jc w:val="both"/>
        <w:rPr>
          <w:lang w:val="en-US"/>
        </w:rPr>
      </w:pPr>
      <w:r>
        <w:rPr>
          <w:rStyle w:val="Refdenotaalpie"/>
        </w:rPr>
        <w:footnoteRef/>
      </w:r>
      <w:r w:rsidRPr="00147CD4">
        <w:rPr>
          <w:lang w:val="en-US"/>
        </w:rPr>
        <w:t>Transparency International, Corruption perceptions index 2017, https://www.transparency.org/news/feature/corruption_perceptions_index_2017.</w:t>
      </w:r>
    </w:p>
  </w:footnote>
  <w:footnote w:id="6">
    <w:p w14:paraId="0013E737" w14:textId="77777777" w:rsidR="006F5ED9" w:rsidRDefault="006F5ED9" w:rsidP="006F5ED9">
      <w:pPr>
        <w:shd w:val="clear" w:color="auto" w:fill="FFFFFF"/>
        <w:jc w:val="both"/>
        <w:rPr>
          <w:rFonts w:ascii="Palatino Linotype" w:eastAsia="Palatino Linotype" w:hAnsi="Palatino Linotype" w:cstheme="majorHAnsi"/>
          <w:color w:val="000000"/>
          <w:sz w:val="18"/>
          <w:szCs w:val="18"/>
        </w:rPr>
      </w:pPr>
      <w:r>
        <w:rPr>
          <w:rFonts w:ascii="Palatino Linotype" w:eastAsia="Palatino Linotype" w:hAnsi="Palatino Linotype"/>
          <w:color w:val="000000"/>
        </w:rPr>
        <w:footnoteRef/>
      </w:r>
      <w:r>
        <w:rPr>
          <w:rFonts w:ascii="Palatino Linotype" w:eastAsia="Palatino Linotype" w:hAnsi="Palatino Linotype" w:cstheme="majorHAnsi"/>
          <w:color w:val="000000"/>
          <w:sz w:val="18"/>
          <w:szCs w:val="18"/>
        </w:rPr>
        <w:t xml:space="preserve"> La eficacia de las políticas frente al acoso sexual y sexista en la universidad marco teórico", ALVAREZ DEL CLVILLO, Antonio (</w:t>
      </w:r>
      <w:proofErr w:type="spellStart"/>
      <w:r>
        <w:rPr>
          <w:rFonts w:ascii="Palatino Linotype" w:eastAsia="Palatino Linotype" w:hAnsi="Palatino Linotype" w:cstheme="majorHAnsi"/>
          <w:color w:val="000000"/>
          <w:sz w:val="18"/>
          <w:szCs w:val="18"/>
        </w:rPr>
        <w:t>coord</w:t>
      </w:r>
      <w:proofErr w:type="spellEnd"/>
      <w:r>
        <w:rPr>
          <w:rFonts w:ascii="Palatino Linotype" w:eastAsia="Palatino Linotype" w:hAnsi="Palatino Linotype" w:cstheme="majorHAnsi"/>
          <w:color w:val="000000"/>
          <w:sz w:val="18"/>
          <w:szCs w:val="18"/>
        </w:rPr>
        <w:t xml:space="preserve"> Análisis de la realidad del acoso sexual y sexista en la universidad y propuestos de mejora un estudio de caso.), Valencia, Tirant lo Blanch, 2020, pp. 22-23</w:t>
      </w:r>
    </w:p>
  </w:footnote>
  <w:footnote w:id="7">
    <w:p w14:paraId="1699D4F7" w14:textId="77777777" w:rsidR="006F5ED9" w:rsidRDefault="006F5ED9" w:rsidP="006F5ED9">
      <w:pPr>
        <w:shd w:val="clear" w:color="auto" w:fill="FFFFFF"/>
        <w:jc w:val="both"/>
        <w:rPr>
          <w:rFonts w:ascii="Palatino Linotype" w:eastAsia="Palatino Linotype" w:hAnsi="Palatino Linotype" w:cstheme="majorHAnsi"/>
          <w:color w:val="000000"/>
          <w:sz w:val="18"/>
          <w:szCs w:val="18"/>
        </w:rPr>
      </w:pPr>
      <w:r>
        <w:rPr>
          <w:rFonts w:ascii="Palatino Linotype" w:eastAsia="Palatino Linotype" w:hAnsi="Palatino Linotype" w:cstheme="majorHAnsi"/>
          <w:color w:val="000000"/>
          <w:sz w:val="18"/>
          <w:szCs w:val="18"/>
        </w:rPr>
        <w:footnoteRef/>
      </w:r>
      <w:r>
        <w:rPr>
          <w:rFonts w:ascii="Palatino Linotype" w:eastAsia="Palatino Linotype" w:hAnsi="Palatino Linotype" w:cstheme="majorHAnsi"/>
          <w:color w:val="000000"/>
          <w:sz w:val="18"/>
          <w:szCs w:val="18"/>
        </w:rPr>
        <w:t xml:space="preserve"> “Derecho, historia y corrupción con perspectiva de género”, </w:t>
      </w:r>
      <w:proofErr w:type="spellStart"/>
      <w:r>
        <w:rPr>
          <w:rFonts w:ascii="Palatino Linotype" w:eastAsia="Palatino Linotype" w:hAnsi="Palatino Linotype" w:cstheme="majorHAnsi"/>
          <w:color w:val="000000"/>
          <w:sz w:val="18"/>
          <w:szCs w:val="18"/>
        </w:rPr>
        <w:t>Espuny</w:t>
      </w:r>
      <w:proofErr w:type="spellEnd"/>
      <w:r>
        <w:rPr>
          <w:rFonts w:ascii="Palatino Linotype" w:eastAsia="Palatino Linotype" w:hAnsi="Palatino Linotype" w:cstheme="majorHAnsi"/>
          <w:color w:val="000000"/>
          <w:sz w:val="18"/>
          <w:szCs w:val="18"/>
        </w:rPr>
        <w:t xml:space="preserve"> </w:t>
      </w:r>
      <w:proofErr w:type="spellStart"/>
      <w:r>
        <w:rPr>
          <w:rFonts w:ascii="Palatino Linotype" w:eastAsia="Palatino Linotype" w:hAnsi="Palatino Linotype" w:cstheme="majorHAnsi"/>
          <w:color w:val="000000"/>
          <w:sz w:val="18"/>
          <w:szCs w:val="18"/>
        </w:rPr>
        <w:t>Tomàs</w:t>
      </w:r>
      <w:proofErr w:type="spellEnd"/>
      <w:r>
        <w:rPr>
          <w:rFonts w:ascii="Palatino Linotype" w:eastAsia="Palatino Linotype" w:hAnsi="Palatino Linotype" w:cstheme="majorHAnsi"/>
          <w:color w:val="000000"/>
          <w:sz w:val="18"/>
          <w:szCs w:val="18"/>
        </w:rPr>
        <w:t xml:space="preserve">, María Jesús,  </w:t>
      </w:r>
      <w:proofErr w:type="spellStart"/>
      <w:r>
        <w:rPr>
          <w:rFonts w:ascii="Palatino Linotype" w:eastAsia="Palatino Linotype" w:hAnsi="Palatino Linotype" w:cstheme="majorHAnsi"/>
          <w:color w:val="000000"/>
          <w:sz w:val="18"/>
          <w:szCs w:val="18"/>
        </w:rPr>
        <w:t>Vallès</w:t>
      </w:r>
      <w:proofErr w:type="spellEnd"/>
      <w:r>
        <w:rPr>
          <w:rFonts w:ascii="Palatino Linotype" w:eastAsia="Palatino Linotype" w:hAnsi="Palatino Linotype" w:cstheme="majorHAnsi"/>
          <w:color w:val="000000"/>
          <w:sz w:val="18"/>
          <w:szCs w:val="18"/>
        </w:rPr>
        <w:t xml:space="preserve"> </w:t>
      </w:r>
      <w:proofErr w:type="spellStart"/>
      <w:r>
        <w:rPr>
          <w:rFonts w:ascii="Palatino Linotype" w:eastAsia="Palatino Linotype" w:hAnsi="Palatino Linotype" w:cstheme="majorHAnsi"/>
          <w:color w:val="000000"/>
          <w:sz w:val="18"/>
          <w:szCs w:val="18"/>
        </w:rPr>
        <w:t>Muñío</w:t>
      </w:r>
      <w:proofErr w:type="spellEnd"/>
      <w:r>
        <w:rPr>
          <w:rFonts w:ascii="Palatino Linotype" w:eastAsia="Palatino Linotype" w:hAnsi="Palatino Linotype" w:cstheme="majorHAnsi"/>
          <w:color w:val="000000"/>
          <w:sz w:val="18"/>
          <w:szCs w:val="18"/>
        </w:rPr>
        <w:t xml:space="preserve"> Daniel y Velo i Fabregat </w:t>
      </w:r>
      <w:proofErr w:type="spellStart"/>
      <w:r>
        <w:rPr>
          <w:rFonts w:ascii="Palatino Linotype" w:eastAsia="Palatino Linotype" w:hAnsi="Palatino Linotype" w:cstheme="majorHAnsi"/>
          <w:color w:val="000000"/>
          <w:sz w:val="18"/>
          <w:szCs w:val="18"/>
        </w:rPr>
        <w:t>Elisabet</w:t>
      </w:r>
      <w:proofErr w:type="spellEnd"/>
      <w:r>
        <w:rPr>
          <w:rFonts w:ascii="Palatino Linotype" w:eastAsia="Palatino Linotype" w:hAnsi="Palatino Linotype" w:cstheme="majorHAnsi"/>
          <w:color w:val="000000"/>
          <w:sz w:val="18"/>
          <w:szCs w:val="18"/>
        </w:rPr>
        <w:t xml:space="preserve"> (coordinadores), El acoso sexual como acto corrupto en clave de género: Una visión internacional de su protección en el empleo / David Gutiérrez </w:t>
      </w:r>
      <w:proofErr w:type="spellStart"/>
      <w:r>
        <w:rPr>
          <w:rFonts w:ascii="Palatino Linotype" w:eastAsia="Palatino Linotype" w:hAnsi="Palatino Linotype" w:cstheme="majorHAnsi"/>
          <w:color w:val="000000"/>
          <w:sz w:val="18"/>
          <w:szCs w:val="18"/>
        </w:rPr>
        <w:t>Colominas</w:t>
      </w:r>
      <w:proofErr w:type="spellEnd"/>
      <w:r>
        <w:rPr>
          <w:rFonts w:ascii="Palatino Linotype" w:eastAsia="Palatino Linotype" w:hAnsi="Palatino Linotype" w:cstheme="majorHAnsi"/>
          <w:color w:val="000000"/>
          <w:sz w:val="18"/>
          <w:szCs w:val="18"/>
        </w:rPr>
        <w:t xml:space="preserve"> (pp. 219-234). Editorial: </w:t>
      </w:r>
      <w:proofErr w:type="spellStart"/>
      <w:r>
        <w:rPr>
          <w:rFonts w:ascii="Palatino Linotype" w:eastAsia="Palatino Linotype" w:hAnsi="Palatino Linotype" w:cstheme="majorHAnsi"/>
          <w:color w:val="000000"/>
          <w:sz w:val="18"/>
          <w:szCs w:val="18"/>
        </w:rPr>
        <w:t>Dykinson</w:t>
      </w:r>
      <w:proofErr w:type="spellEnd"/>
      <w:r>
        <w:rPr>
          <w:rFonts w:ascii="Palatino Linotype" w:eastAsia="Palatino Linotype" w:hAnsi="Palatino Linotype" w:cstheme="majorHAnsi"/>
          <w:color w:val="000000"/>
          <w:sz w:val="18"/>
          <w:szCs w:val="18"/>
        </w:rPr>
        <w:t>,  Madrid, España, fecha de la edición: 2021, Edición: 1ª 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A512A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A512A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4C52CF5" w14:textId="35317C78" w:rsidR="00D77AD4" w:rsidRDefault="00F47FB5" w:rsidP="00971AD6">
    <w:pPr>
      <w:pStyle w:val="Encabezado"/>
      <w:ind w:left="2835" w:right="-250"/>
      <w:rPr>
        <w:rFonts w:ascii="Palatino Linotype" w:hAnsi="Palatino Linotype"/>
        <w:b/>
        <w:bCs/>
        <w:color w:val="000000" w:themeColor="text1"/>
      </w:rPr>
    </w:pPr>
    <w:r>
      <w:rPr>
        <w:rFonts w:ascii="Palatino Linotype" w:hAnsi="Palatino Linotype" w:cs="Tahoma"/>
        <w:b/>
      </w:rPr>
      <w:t xml:space="preserve">Recurso de Revisión: </w:t>
    </w:r>
    <w:r w:rsidR="00971AD6">
      <w:rPr>
        <w:rFonts w:ascii="Palatino Linotype" w:hAnsi="Palatino Linotype"/>
        <w:b/>
        <w:bCs/>
        <w:color w:val="000000" w:themeColor="text1"/>
      </w:rPr>
      <w:t>1</w:t>
    </w:r>
    <w:r w:rsidR="00D77AD4">
      <w:rPr>
        <w:rFonts w:ascii="Palatino Linotype" w:hAnsi="Palatino Linotype"/>
        <w:b/>
        <w:bCs/>
        <w:color w:val="000000" w:themeColor="text1"/>
      </w:rPr>
      <w:t>632</w:t>
    </w:r>
    <w:r w:rsidR="00971AD6">
      <w:rPr>
        <w:rFonts w:ascii="Palatino Linotype" w:hAnsi="Palatino Linotype"/>
        <w:b/>
        <w:bCs/>
        <w:color w:val="000000" w:themeColor="text1"/>
      </w:rPr>
      <w:t>1/INFOEM/IP/RR/2022</w:t>
    </w:r>
    <w:r w:rsidR="00D77AD4">
      <w:rPr>
        <w:rFonts w:ascii="Palatino Linotype" w:hAnsi="Palatino Linotype"/>
        <w:b/>
        <w:bCs/>
        <w:color w:val="000000" w:themeColor="text1"/>
      </w:rPr>
      <w:t xml:space="preserve"> y acumulado</w:t>
    </w:r>
  </w:p>
  <w:p w14:paraId="71104997" w14:textId="013CD2D9" w:rsidR="00634485" w:rsidRDefault="00F47FB5" w:rsidP="00D77AD4">
    <w:pPr>
      <w:pStyle w:val="Encabezado"/>
      <w:ind w:left="2835" w:right="-250"/>
      <w:jc w:val="both"/>
      <w:rPr>
        <w:rFonts w:ascii="Palatino Linotype" w:hAnsi="Palatino Linotype" w:cs="Tahoma"/>
        <w:b/>
      </w:rPr>
    </w:pPr>
    <w:r>
      <w:rPr>
        <w:rFonts w:ascii="Palatino Linotype" w:hAnsi="Palatino Linotype" w:cs="Tahoma"/>
        <w:b/>
      </w:rPr>
      <w:t>Sujeto Obligado:</w:t>
    </w:r>
    <w:r>
      <w:rPr>
        <w:rFonts w:ascii="Palatino Linotype" w:eastAsia="Palatino Linotype" w:hAnsi="Palatino Linotype" w:cs="Palatino Linotype"/>
        <w:b/>
      </w:rPr>
      <w:t xml:space="preserve"> </w:t>
    </w:r>
    <w:r w:rsidR="00D77AD4" w:rsidRPr="00D77AD4">
      <w:rPr>
        <w:rFonts w:ascii="Palatino Linotype" w:eastAsia="Calibri" w:hAnsi="Palatino Linotype" w:cs="Tahoma"/>
        <w:b/>
      </w:rPr>
      <w:t>Organismo Público Descentralizado para la prestación de los servicios de Agua Potable, Alcantarillado y Saneamiento del Municipio de Naucalpan de Juárez</w:t>
    </w:r>
  </w:p>
  <w:p w14:paraId="1401F8A4" w14:textId="77777777" w:rsidR="00893474" w:rsidRDefault="00893474" w:rsidP="00F47FB5">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A512A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8F71DD5"/>
    <w:multiLevelType w:val="hybridMultilevel"/>
    <w:tmpl w:val="BDC0F498"/>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69308F"/>
    <w:multiLevelType w:val="multilevel"/>
    <w:tmpl w:val="5AE219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D00FE9"/>
    <w:multiLevelType w:val="hybridMultilevel"/>
    <w:tmpl w:val="39AAA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9"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5"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8" w15:restartNumberingAfterBreak="0">
    <w:nsid w:val="6CDD3ABB"/>
    <w:multiLevelType w:val="hybridMultilevel"/>
    <w:tmpl w:val="C3F8B1E8"/>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1"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D43404F"/>
    <w:multiLevelType w:val="multilevel"/>
    <w:tmpl w:val="BE98689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7"/>
  </w:num>
  <w:num w:numId="3">
    <w:abstractNumId w:val="9"/>
  </w:num>
  <w:num w:numId="4">
    <w:abstractNumId w:val="14"/>
  </w:num>
  <w:num w:numId="5">
    <w:abstractNumId w:val="29"/>
  </w:num>
  <w:num w:numId="6">
    <w:abstractNumId w:val="26"/>
  </w:num>
  <w:num w:numId="7">
    <w:abstractNumId w:val="22"/>
  </w:num>
  <w:num w:numId="8">
    <w:abstractNumId w:val="3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0"/>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802DC"/>
    <w:rsid w:val="0008542A"/>
    <w:rsid w:val="000B37D9"/>
    <w:rsid w:val="000B3FFD"/>
    <w:rsid w:val="000C43E5"/>
    <w:rsid w:val="000C4453"/>
    <w:rsid w:val="000D656A"/>
    <w:rsid w:val="00105578"/>
    <w:rsid w:val="001112E6"/>
    <w:rsid w:val="00115E7A"/>
    <w:rsid w:val="00135555"/>
    <w:rsid w:val="00147CD4"/>
    <w:rsid w:val="0018216B"/>
    <w:rsid w:val="001960A5"/>
    <w:rsid w:val="001B3D11"/>
    <w:rsid w:val="001C7B07"/>
    <w:rsid w:val="0020666A"/>
    <w:rsid w:val="00216C06"/>
    <w:rsid w:val="002378AC"/>
    <w:rsid w:val="00266831"/>
    <w:rsid w:val="00284217"/>
    <w:rsid w:val="00294490"/>
    <w:rsid w:val="002A4C3F"/>
    <w:rsid w:val="002D5B21"/>
    <w:rsid w:val="002E7D97"/>
    <w:rsid w:val="003026CE"/>
    <w:rsid w:val="00312863"/>
    <w:rsid w:val="00326EEA"/>
    <w:rsid w:val="003338BC"/>
    <w:rsid w:val="003448FB"/>
    <w:rsid w:val="003D1F47"/>
    <w:rsid w:val="003F0929"/>
    <w:rsid w:val="003F528B"/>
    <w:rsid w:val="00411692"/>
    <w:rsid w:val="00430304"/>
    <w:rsid w:val="0043105B"/>
    <w:rsid w:val="00435FF9"/>
    <w:rsid w:val="004437F7"/>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C0271"/>
    <w:rsid w:val="005C481C"/>
    <w:rsid w:val="005C4ADA"/>
    <w:rsid w:val="005D1946"/>
    <w:rsid w:val="005F3A48"/>
    <w:rsid w:val="00615B7E"/>
    <w:rsid w:val="00621357"/>
    <w:rsid w:val="00634485"/>
    <w:rsid w:val="00665800"/>
    <w:rsid w:val="0067340C"/>
    <w:rsid w:val="00676638"/>
    <w:rsid w:val="0068101D"/>
    <w:rsid w:val="00685B0E"/>
    <w:rsid w:val="006A7AB7"/>
    <w:rsid w:val="006B2674"/>
    <w:rsid w:val="006D2786"/>
    <w:rsid w:val="006E6389"/>
    <w:rsid w:val="006F0A6E"/>
    <w:rsid w:val="006F30F8"/>
    <w:rsid w:val="006F5ED9"/>
    <w:rsid w:val="00701B9E"/>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31AD"/>
    <w:rsid w:val="007E70F8"/>
    <w:rsid w:val="00812F10"/>
    <w:rsid w:val="00820022"/>
    <w:rsid w:val="00820034"/>
    <w:rsid w:val="0083108D"/>
    <w:rsid w:val="00861117"/>
    <w:rsid w:val="00861A61"/>
    <w:rsid w:val="00892AFC"/>
    <w:rsid w:val="00893474"/>
    <w:rsid w:val="008B0A68"/>
    <w:rsid w:val="008C19BE"/>
    <w:rsid w:val="008C2C2F"/>
    <w:rsid w:val="008C3C4B"/>
    <w:rsid w:val="008D1526"/>
    <w:rsid w:val="008F67BC"/>
    <w:rsid w:val="00956B18"/>
    <w:rsid w:val="00961995"/>
    <w:rsid w:val="00971AD6"/>
    <w:rsid w:val="00975EB9"/>
    <w:rsid w:val="00996DCB"/>
    <w:rsid w:val="00997CD5"/>
    <w:rsid w:val="009D10D2"/>
    <w:rsid w:val="009E155A"/>
    <w:rsid w:val="009F0D8D"/>
    <w:rsid w:val="00A16950"/>
    <w:rsid w:val="00A303B0"/>
    <w:rsid w:val="00A512A0"/>
    <w:rsid w:val="00A53363"/>
    <w:rsid w:val="00A561C5"/>
    <w:rsid w:val="00A610D3"/>
    <w:rsid w:val="00A618BA"/>
    <w:rsid w:val="00A74BB7"/>
    <w:rsid w:val="00A7532A"/>
    <w:rsid w:val="00A81140"/>
    <w:rsid w:val="00AB78CF"/>
    <w:rsid w:val="00AC0680"/>
    <w:rsid w:val="00AE7763"/>
    <w:rsid w:val="00B014D8"/>
    <w:rsid w:val="00B05E5A"/>
    <w:rsid w:val="00B343D6"/>
    <w:rsid w:val="00B53290"/>
    <w:rsid w:val="00B64CFB"/>
    <w:rsid w:val="00B703D7"/>
    <w:rsid w:val="00B7360E"/>
    <w:rsid w:val="00B868A5"/>
    <w:rsid w:val="00BB071F"/>
    <w:rsid w:val="00BB11DB"/>
    <w:rsid w:val="00BB2AD1"/>
    <w:rsid w:val="00BC1756"/>
    <w:rsid w:val="00BD07E6"/>
    <w:rsid w:val="00BD7483"/>
    <w:rsid w:val="00BF358F"/>
    <w:rsid w:val="00BF68F0"/>
    <w:rsid w:val="00BF6974"/>
    <w:rsid w:val="00BF6E14"/>
    <w:rsid w:val="00C156E5"/>
    <w:rsid w:val="00C27236"/>
    <w:rsid w:val="00C33F62"/>
    <w:rsid w:val="00C65950"/>
    <w:rsid w:val="00C75CBC"/>
    <w:rsid w:val="00C80F8C"/>
    <w:rsid w:val="00C85F1D"/>
    <w:rsid w:val="00C8760D"/>
    <w:rsid w:val="00CE0FA6"/>
    <w:rsid w:val="00CF3F65"/>
    <w:rsid w:val="00D03369"/>
    <w:rsid w:val="00D20156"/>
    <w:rsid w:val="00D36ABC"/>
    <w:rsid w:val="00D77AD4"/>
    <w:rsid w:val="00D96441"/>
    <w:rsid w:val="00DC2CB7"/>
    <w:rsid w:val="00DC3082"/>
    <w:rsid w:val="00DD45AC"/>
    <w:rsid w:val="00DD5CD5"/>
    <w:rsid w:val="00DE1629"/>
    <w:rsid w:val="00DE5C27"/>
    <w:rsid w:val="00E2587C"/>
    <w:rsid w:val="00E37AE3"/>
    <w:rsid w:val="00E429BA"/>
    <w:rsid w:val="00EF3513"/>
    <w:rsid w:val="00F05A30"/>
    <w:rsid w:val="00F47FB5"/>
    <w:rsid w:val="00F60F49"/>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C3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qFormat/>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9843">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20502714">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57898271">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76318348">
      <w:bodyDiv w:val="1"/>
      <w:marLeft w:val="0"/>
      <w:marRight w:val="0"/>
      <w:marTop w:val="0"/>
      <w:marBottom w:val="0"/>
      <w:divBdr>
        <w:top w:val="none" w:sz="0" w:space="0" w:color="auto"/>
        <w:left w:val="none" w:sz="0" w:space="0" w:color="auto"/>
        <w:bottom w:val="none" w:sz="0" w:space="0" w:color="auto"/>
        <w:right w:val="none" w:sz="0" w:space="0" w:color="auto"/>
      </w:divBdr>
    </w:div>
    <w:div w:id="392386341">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1288626">
      <w:bodyDiv w:val="1"/>
      <w:marLeft w:val="0"/>
      <w:marRight w:val="0"/>
      <w:marTop w:val="0"/>
      <w:marBottom w:val="0"/>
      <w:divBdr>
        <w:top w:val="none" w:sz="0" w:space="0" w:color="auto"/>
        <w:left w:val="none" w:sz="0" w:space="0" w:color="auto"/>
        <w:bottom w:val="none" w:sz="0" w:space="0" w:color="auto"/>
        <w:right w:val="none" w:sz="0" w:space="0" w:color="auto"/>
      </w:divBdr>
    </w:div>
    <w:div w:id="45698874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8086837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593405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2886783">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09688740">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7783239">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6563373">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71360686">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89591068">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6257203">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77630398">
      <w:bodyDiv w:val="1"/>
      <w:marLeft w:val="0"/>
      <w:marRight w:val="0"/>
      <w:marTop w:val="0"/>
      <w:marBottom w:val="0"/>
      <w:divBdr>
        <w:top w:val="none" w:sz="0" w:space="0" w:color="auto"/>
        <w:left w:val="none" w:sz="0" w:space="0" w:color="auto"/>
        <w:bottom w:val="none" w:sz="0" w:space="0" w:color="auto"/>
        <w:right w:val="none" w:sz="0" w:space="0" w:color="auto"/>
      </w:divBdr>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42060781">
      <w:bodyDiv w:val="1"/>
      <w:marLeft w:val="0"/>
      <w:marRight w:val="0"/>
      <w:marTop w:val="0"/>
      <w:marBottom w:val="0"/>
      <w:divBdr>
        <w:top w:val="none" w:sz="0" w:space="0" w:color="auto"/>
        <w:left w:val="none" w:sz="0" w:space="0" w:color="auto"/>
        <w:bottom w:val="none" w:sz="0" w:space="0" w:color="auto"/>
        <w:right w:val="none" w:sz="0" w:space="0" w:color="auto"/>
      </w:divBdr>
    </w:div>
    <w:div w:id="194380546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5960782">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17752495">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53290-EDFA-49F7-B157-2A902C6C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3557</Words>
  <Characters>19569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2023-02-07T21:56:00Z</cp:lastPrinted>
  <dcterms:created xsi:type="dcterms:W3CDTF">2024-03-21T20:42:00Z</dcterms:created>
  <dcterms:modified xsi:type="dcterms:W3CDTF">2024-03-21T20:42:00Z</dcterms:modified>
</cp:coreProperties>
</file>