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AFC39" w14:textId="21D1AECB" w:rsidR="00F47FB5" w:rsidRPr="00C62C95" w:rsidRDefault="00F47FB5" w:rsidP="00F01B6C">
      <w:pPr>
        <w:spacing w:line="360" w:lineRule="auto"/>
        <w:jc w:val="both"/>
        <w:rPr>
          <w:rFonts w:ascii="Palatino Linotype" w:hAnsi="Palatino Linotype" w:cs="Tahoma"/>
          <w:b/>
        </w:rPr>
      </w:pPr>
      <w:r w:rsidRPr="00C62C95">
        <w:rPr>
          <w:rFonts w:ascii="Palatino Linotype" w:hAnsi="Palatino Linotype" w:cs="Tahoma"/>
          <w:b/>
        </w:rPr>
        <w:t xml:space="preserve">VOTO PARTICULAR QUE FORMULA DE LA COMISIONADA MARÍA DEL ROSARIO MEJÍA AYALA, CON RELACIÓN A LA RESOLUCIÓN EMITIDA POR EL PLENO DEL INSTITUTO DE TRANSPARENCIA, ACCESO A LA INFORMACIÓN </w:t>
      </w:r>
      <w:r w:rsidR="00FA363C" w:rsidRPr="00C62C95">
        <w:rPr>
          <w:rFonts w:ascii="Palatino Linotype" w:hAnsi="Palatino Linotype" w:cs="Tahoma"/>
          <w:b/>
        </w:rPr>
        <w:t xml:space="preserve">PÚBLICA Y </w:t>
      </w:r>
      <w:r w:rsidR="00E00BE5" w:rsidRPr="00C62C95">
        <w:rPr>
          <w:rFonts w:ascii="Palatino Linotype" w:hAnsi="Palatino Linotype" w:cs="Tahoma"/>
          <w:b/>
        </w:rPr>
        <w:t xml:space="preserve">PROTECCIÓN DE DATOS PERSONALES DEL ESTADO DE MÉXICO Y MUNICIPIOS AL RECURSO DE REVISIÓN </w:t>
      </w:r>
      <w:r w:rsidR="00F01B6C" w:rsidRPr="00C62C95">
        <w:rPr>
          <w:rFonts w:ascii="Palatino Linotype" w:eastAsia="Calibri" w:hAnsi="Palatino Linotype" w:cs="Tahoma"/>
          <w:b/>
          <w:color w:val="000000"/>
          <w:lang w:val="es-MX" w:eastAsia="en-US"/>
        </w:rPr>
        <w:t>12231/INFOEM/IP/RR/2022 Y ACUMULADO</w:t>
      </w:r>
      <w:r w:rsidR="00E00BE5" w:rsidRPr="00C62C95">
        <w:rPr>
          <w:rFonts w:ascii="Palatino Linotype" w:hAnsi="Palatino Linotype" w:cs="Arial"/>
          <w:b/>
          <w:bCs/>
          <w:color w:val="000000" w:themeColor="text1"/>
        </w:rPr>
        <w:t>,</w:t>
      </w:r>
      <w:r w:rsidR="00E00BE5" w:rsidRPr="00C62C95">
        <w:rPr>
          <w:rFonts w:ascii="Palatino Linotype" w:hAnsi="Palatino Linotype" w:cs="Tahoma"/>
          <w:b/>
        </w:rPr>
        <w:t xml:space="preserve"> PROMOVIDO EN CONTRA DEL </w:t>
      </w:r>
      <w:r w:rsidR="00E00BE5" w:rsidRPr="00C62C95">
        <w:rPr>
          <w:rFonts w:ascii="Palatino Linotype" w:hAnsi="Palatino Linotype" w:cs="Arial"/>
          <w:b/>
          <w:bCs/>
        </w:rPr>
        <w:t>AYUNTAMIENTO DE</w:t>
      </w:r>
      <w:r w:rsidR="00887C41" w:rsidRPr="00C62C95">
        <w:rPr>
          <w:rFonts w:ascii="Palatino Linotype" w:hAnsi="Palatino Linotype" w:cs="Arial"/>
          <w:b/>
          <w:bCs/>
        </w:rPr>
        <w:t xml:space="preserve"> </w:t>
      </w:r>
      <w:r w:rsidR="003D05C3" w:rsidRPr="00C62C95">
        <w:rPr>
          <w:rFonts w:ascii="Palatino Linotype" w:hAnsi="Palatino Linotype" w:cs="Arial"/>
          <w:b/>
          <w:bCs/>
        </w:rPr>
        <w:t>TLALMANALCO</w:t>
      </w:r>
      <w:r w:rsidR="003D05C3">
        <w:rPr>
          <w:rFonts w:ascii="Palatino Linotype" w:hAnsi="Palatino Linotype" w:cs="Arial"/>
          <w:b/>
          <w:bCs/>
        </w:rPr>
        <w:t>.</w:t>
      </w:r>
    </w:p>
    <w:p w14:paraId="4B300B03" w14:textId="77777777" w:rsidR="00326EEA" w:rsidRPr="00C62C95" w:rsidRDefault="00326EEA" w:rsidP="00F01B6C">
      <w:pPr>
        <w:spacing w:line="360" w:lineRule="auto"/>
        <w:jc w:val="both"/>
        <w:rPr>
          <w:rFonts w:ascii="Palatino Linotype" w:hAnsi="Palatino Linotype" w:cs="Arial"/>
          <w:b/>
        </w:rPr>
      </w:pPr>
    </w:p>
    <w:p w14:paraId="51A10ACA" w14:textId="77777777" w:rsidR="007B1CFA" w:rsidRPr="00C62C95" w:rsidRDefault="007B1CFA" w:rsidP="00F01B6C">
      <w:pPr>
        <w:pStyle w:val="Ttulo1"/>
        <w:numPr>
          <w:ilvl w:val="0"/>
          <w:numId w:val="2"/>
        </w:numPr>
        <w:spacing w:before="0" w:line="360" w:lineRule="auto"/>
        <w:ind w:left="567" w:hanging="567"/>
        <w:rPr>
          <w:rFonts w:ascii="Palatino Linotype" w:hAnsi="Palatino Linotype"/>
          <w:color w:val="000000" w:themeColor="text1"/>
          <w:sz w:val="24"/>
          <w:szCs w:val="24"/>
        </w:rPr>
      </w:pPr>
      <w:bookmarkStart w:id="0" w:name="_Toc70345222"/>
      <w:r w:rsidRPr="00C62C95">
        <w:rPr>
          <w:rFonts w:ascii="Palatino Linotype" w:hAnsi="Palatino Linotype"/>
          <w:color w:val="000000" w:themeColor="text1"/>
          <w:sz w:val="24"/>
          <w:szCs w:val="24"/>
        </w:rPr>
        <w:t>Consideraciones Generales.</w:t>
      </w:r>
      <w:bookmarkEnd w:id="0"/>
    </w:p>
    <w:p w14:paraId="2A27C14C" w14:textId="77777777" w:rsidR="007B1CFA" w:rsidRPr="00C62C95" w:rsidRDefault="007B1CFA" w:rsidP="00F01B6C">
      <w:pPr>
        <w:spacing w:line="360" w:lineRule="auto"/>
        <w:rPr>
          <w:rFonts w:ascii="Palatino Linotype" w:hAnsi="Palatino Linotype"/>
        </w:rPr>
      </w:pPr>
    </w:p>
    <w:p w14:paraId="60F0E591" w14:textId="607BC116" w:rsidR="00530898" w:rsidRPr="00C62C95" w:rsidRDefault="00CF3F65" w:rsidP="00F01B6C">
      <w:pPr>
        <w:spacing w:line="360" w:lineRule="auto"/>
        <w:jc w:val="both"/>
        <w:rPr>
          <w:rFonts w:ascii="Palatino Linotype" w:hAnsi="Palatino Linotype" w:cs="Arial"/>
        </w:rPr>
      </w:pPr>
      <w:r w:rsidRPr="00C62C95">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las consideraciones</w:t>
      </w:r>
      <w:r w:rsidR="00EF3513" w:rsidRPr="00C62C95">
        <w:rPr>
          <w:rFonts w:ascii="Palatino Linotype" w:hAnsi="Palatino Linotype" w:cs="Arial"/>
        </w:rPr>
        <w:t xml:space="preserve"> que sustentan la Resolución del</w:t>
      </w:r>
      <w:r w:rsidR="006A7AB7" w:rsidRPr="00C62C95">
        <w:rPr>
          <w:rFonts w:ascii="Palatino Linotype" w:hAnsi="Palatino Linotype" w:cs="Arial"/>
        </w:rPr>
        <w:t xml:space="preserve"> </w:t>
      </w:r>
      <w:r w:rsidRPr="00C62C95">
        <w:rPr>
          <w:rFonts w:ascii="Palatino Linotype" w:hAnsi="Palatino Linotype" w:cs="Arial"/>
        </w:rPr>
        <w:t xml:space="preserve">Recurso de Revisión </w:t>
      </w:r>
      <w:r w:rsidR="00F01B6C" w:rsidRPr="00C62C95">
        <w:rPr>
          <w:rFonts w:ascii="Palatino Linotype" w:eastAsia="Calibri" w:hAnsi="Palatino Linotype" w:cs="Tahoma"/>
          <w:b/>
          <w:color w:val="000000"/>
          <w:lang w:val="es-MX" w:eastAsia="en-US"/>
        </w:rPr>
        <w:t>12231/INFOEM/IP/RR/2022 y cumulado</w:t>
      </w:r>
      <w:r w:rsidR="007B578D" w:rsidRPr="00C62C95">
        <w:rPr>
          <w:rFonts w:ascii="Palatino Linotype" w:hAnsi="Palatino Linotype" w:cs="Arial"/>
          <w:bCs/>
          <w:lang w:eastAsia="es-MX"/>
        </w:rPr>
        <w:t xml:space="preserve">, </w:t>
      </w:r>
      <w:r w:rsidR="008B0A68" w:rsidRPr="00C62C95">
        <w:rPr>
          <w:rFonts w:ascii="Palatino Linotype" w:hAnsi="Palatino Linotype" w:cs="Arial"/>
        </w:rPr>
        <w:t xml:space="preserve">presentado conforme al criterio mayoritario del Pleno, </w:t>
      </w:r>
      <w:r w:rsidRPr="00C62C95">
        <w:rPr>
          <w:rFonts w:ascii="Palatino Linotype" w:hAnsi="Palatino Linotype" w:cs="Arial"/>
        </w:rPr>
        <w:t>promovido en contra de</w:t>
      </w:r>
      <w:r w:rsidR="0068101D" w:rsidRPr="00C62C95">
        <w:rPr>
          <w:rFonts w:ascii="Palatino Linotype" w:hAnsi="Palatino Linotype" w:cs="Arial"/>
        </w:rPr>
        <w:t xml:space="preserve">l </w:t>
      </w:r>
      <w:r w:rsidR="00BC1756" w:rsidRPr="00C62C95">
        <w:rPr>
          <w:rFonts w:ascii="Palatino Linotype" w:hAnsi="Palatino Linotype" w:cs="Arial"/>
        </w:rPr>
        <w:t xml:space="preserve"> </w:t>
      </w:r>
      <w:r w:rsidR="00E00BE5" w:rsidRPr="00C62C95">
        <w:rPr>
          <w:rFonts w:ascii="Palatino Linotype" w:hAnsi="Palatino Linotype" w:cs="Arial"/>
          <w:b/>
          <w:bCs/>
        </w:rPr>
        <w:t xml:space="preserve">Ayuntamiento de </w:t>
      </w:r>
      <w:r w:rsidR="00F01B6C" w:rsidRPr="00C62C95">
        <w:rPr>
          <w:rFonts w:ascii="Palatino Linotype" w:hAnsi="Palatino Linotype" w:cs="Arial"/>
          <w:b/>
          <w:bCs/>
        </w:rPr>
        <w:t xml:space="preserve">Tlalmanalco. </w:t>
      </w:r>
    </w:p>
    <w:p w14:paraId="66D32CD4" w14:textId="77777777" w:rsidR="00EF3513" w:rsidRPr="00C62C95" w:rsidRDefault="00EF3513" w:rsidP="00F01B6C">
      <w:pPr>
        <w:spacing w:line="360" w:lineRule="auto"/>
        <w:jc w:val="both"/>
        <w:rPr>
          <w:rFonts w:ascii="Palatino Linotype" w:eastAsia="Palatino Linotype" w:hAnsi="Palatino Linotype" w:cs="Palatino Linotype"/>
          <w:b/>
        </w:rPr>
      </w:pPr>
    </w:p>
    <w:p w14:paraId="17AEA9F0" w14:textId="77777777" w:rsidR="0039131A" w:rsidRPr="00C62C95" w:rsidRDefault="00EF3513" w:rsidP="00F01B6C">
      <w:pPr>
        <w:spacing w:line="360" w:lineRule="auto"/>
        <w:jc w:val="both"/>
        <w:rPr>
          <w:rFonts w:ascii="Palatino Linotype" w:hAnsi="Palatino Linotype" w:cs="Arial"/>
        </w:rPr>
      </w:pPr>
      <w:r w:rsidRPr="00C62C95">
        <w:rPr>
          <w:rFonts w:ascii="Palatino Linotype" w:eastAsia="Calibri" w:hAnsi="Palatino Linotype"/>
          <w:bCs/>
        </w:rPr>
        <w:t>El</w:t>
      </w:r>
      <w:r w:rsidRPr="00C62C95">
        <w:rPr>
          <w:rFonts w:ascii="Palatino Linotype" w:eastAsia="Calibri" w:hAnsi="Palatino Linotype"/>
          <w:b/>
        </w:rPr>
        <w:t xml:space="preserve"> RECURRENTE </w:t>
      </w:r>
      <w:r w:rsidRPr="00C62C95">
        <w:rPr>
          <w:rFonts w:ascii="Palatino Linotype" w:eastAsia="Calibri" w:hAnsi="Palatino Linotype"/>
          <w:bCs/>
        </w:rPr>
        <w:t>presentó</w:t>
      </w:r>
      <w:r w:rsidRPr="00C62C95">
        <w:rPr>
          <w:rFonts w:ascii="Palatino Linotype" w:eastAsia="Calibri" w:hAnsi="Palatino Linotype" w:cs="Arial"/>
        </w:rPr>
        <w:t xml:space="preserve"> vía Sistema de Acceso a la Información Mexiquense (</w:t>
      </w:r>
      <w:r w:rsidRPr="00C62C95">
        <w:rPr>
          <w:rFonts w:ascii="Palatino Linotype" w:eastAsia="Calibri" w:hAnsi="Palatino Linotype" w:cs="Arial"/>
          <w:b/>
        </w:rPr>
        <w:t>SAIMEX)</w:t>
      </w:r>
      <w:r w:rsidRPr="00C62C95">
        <w:rPr>
          <w:rFonts w:ascii="Palatino Linotype" w:eastAsia="Calibri" w:hAnsi="Palatino Linotype" w:cs="Arial"/>
        </w:rPr>
        <w:t xml:space="preserve">, </w:t>
      </w:r>
      <w:r w:rsidR="00BF358F" w:rsidRPr="00C62C95">
        <w:rPr>
          <w:rFonts w:ascii="Palatino Linotype" w:eastAsia="Calibri" w:hAnsi="Palatino Linotype" w:cs="Arial"/>
        </w:rPr>
        <w:t>la</w:t>
      </w:r>
      <w:r w:rsidR="00E00BE5" w:rsidRPr="00C62C95">
        <w:rPr>
          <w:rFonts w:ascii="Palatino Linotype" w:eastAsia="Calibri" w:hAnsi="Palatino Linotype" w:cs="Arial"/>
        </w:rPr>
        <w:t>s</w:t>
      </w:r>
      <w:r w:rsidR="008C19BE" w:rsidRPr="00C62C95">
        <w:rPr>
          <w:rFonts w:ascii="Palatino Linotype" w:eastAsia="Calibri" w:hAnsi="Palatino Linotype" w:cs="Arial"/>
        </w:rPr>
        <w:t xml:space="preserve"> solicitud</w:t>
      </w:r>
      <w:r w:rsidR="00E00BE5" w:rsidRPr="00C62C95">
        <w:rPr>
          <w:rFonts w:ascii="Palatino Linotype" w:eastAsia="Calibri" w:hAnsi="Palatino Linotype" w:cs="Arial"/>
        </w:rPr>
        <w:t>es</w:t>
      </w:r>
      <w:r w:rsidR="00BF358F" w:rsidRPr="00C62C95">
        <w:rPr>
          <w:rFonts w:ascii="Palatino Linotype" w:eastAsia="Calibri" w:hAnsi="Palatino Linotype" w:cs="Arial"/>
        </w:rPr>
        <w:t xml:space="preserve"> de información pública</w:t>
      </w:r>
      <w:r w:rsidR="00B64C7A" w:rsidRPr="00C62C95">
        <w:rPr>
          <w:rFonts w:ascii="Palatino Linotype" w:hAnsi="Palatino Linotype"/>
          <w:b/>
          <w:bCs/>
        </w:rPr>
        <w:t>,</w:t>
      </w:r>
      <w:r w:rsidR="00BF358F" w:rsidRPr="00C62C95">
        <w:rPr>
          <w:rFonts w:ascii="Palatino Linotype" w:hAnsi="Palatino Linotype" w:cs="Arial"/>
          <w:b/>
          <w:lang w:eastAsia="es-MX"/>
        </w:rPr>
        <w:t xml:space="preserve"> </w:t>
      </w:r>
      <w:r w:rsidR="00E00BE5" w:rsidRPr="00C62C95">
        <w:rPr>
          <w:rFonts w:ascii="Palatino Linotype" w:hAnsi="Palatino Linotype" w:cs="Arial"/>
        </w:rPr>
        <w:t>mediante la</w:t>
      </w:r>
      <w:r w:rsidR="00B64C7A" w:rsidRPr="00C62C95">
        <w:rPr>
          <w:rFonts w:ascii="Palatino Linotype" w:hAnsi="Palatino Linotype" w:cs="Arial"/>
        </w:rPr>
        <w:t>s</w:t>
      </w:r>
      <w:r w:rsidR="00BF358F" w:rsidRPr="00C62C95">
        <w:rPr>
          <w:rFonts w:ascii="Palatino Linotype" w:hAnsi="Palatino Linotype" w:cs="Arial"/>
        </w:rPr>
        <w:t xml:space="preserve"> cual</w:t>
      </w:r>
      <w:r w:rsidR="00B64C7A" w:rsidRPr="00C62C95">
        <w:rPr>
          <w:rFonts w:ascii="Palatino Linotype" w:hAnsi="Palatino Linotype" w:cs="Arial"/>
        </w:rPr>
        <w:t>es</w:t>
      </w:r>
      <w:r w:rsidR="00BF358F" w:rsidRPr="00C62C95">
        <w:rPr>
          <w:rFonts w:ascii="Palatino Linotype" w:hAnsi="Palatino Linotype" w:cs="Arial"/>
        </w:rPr>
        <w:t xml:space="preserve"> </w:t>
      </w:r>
      <w:r w:rsidR="0039131A" w:rsidRPr="00C62C95">
        <w:rPr>
          <w:rFonts w:ascii="Palatino Linotype" w:hAnsi="Palatino Linotype" w:cs="Arial"/>
        </w:rPr>
        <w:t>se solicita:</w:t>
      </w:r>
    </w:p>
    <w:p w14:paraId="52CCE3F4" w14:textId="77777777" w:rsidR="0039131A" w:rsidRPr="00C62C95" w:rsidRDefault="0039131A" w:rsidP="00F01B6C">
      <w:pPr>
        <w:spacing w:line="360" w:lineRule="auto"/>
        <w:jc w:val="both"/>
        <w:rPr>
          <w:rFonts w:ascii="Palatino Linotype" w:hAnsi="Palatino Linotype" w:cs="Arial"/>
        </w:rPr>
      </w:pPr>
    </w:p>
    <w:p w14:paraId="24283FD7" w14:textId="77777777" w:rsidR="00887C41" w:rsidRPr="00C62C95" w:rsidRDefault="00887C41" w:rsidP="00F01B6C">
      <w:pPr>
        <w:spacing w:line="360" w:lineRule="auto"/>
        <w:ind w:right="864"/>
        <w:jc w:val="both"/>
        <w:rPr>
          <w:rFonts w:ascii="Palatino Linotype" w:hAnsi="Palatino Linotype" w:cs="Arial"/>
        </w:rPr>
      </w:pPr>
    </w:p>
    <w:p w14:paraId="3725EDE7" w14:textId="77777777" w:rsidR="00887C41" w:rsidRPr="00C62C95" w:rsidRDefault="00887C41" w:rsidP="00F01B6C">
      <w:pPr>
        <w:spacing w:line="360" w:lineRule="auto"/>
        <w:ind w:right="864"/>
        <w:jc w:val="both"/>
        <w:rPr>
          <w:rFonts w:ascii="Palatino Linotype" w:eastAsia="Palatino Linotype" w:hAnsi="Palatino Linotype"/>
          <w:i/>
          <w:iCs/>
          <w:color w:val="404040" w:themeColor="text1" w:themeTint="BF"/>
          <w:lang w:eastAsia="es-MX"/>
        </w:rPr>
      </w:pPr>
    </w:p>
    <w:p w14:paraId="65CF47FE" w14:textId="7C94FFB1" w:rsidR="00F01B6C" w:rsidRPr="00C62C95" w:rsidRDefault="0039131A" w:rsidP="00F01B6C">
      <w:pPr>
        <w:tabs>
          <w:tab w:val="left" w:pos="4667"/>
        </w:tabs>
        <w:spacing w:line="360" w:lineRule="auto"/>
        <w:ind w:left="567" w:right="567"/>
        <w:rPr>
          <w:rFonts w:ascii="Palatino Linotype" w:hAnsi="Palatino Linotype" w:cs="Tahoma"/>
          <w:b/>
          <w:lang w:val="es-MX"/>
        </w:rPr>
      </w:pPr>
      <w:r w:rsidRPr="00C62C95">
        <w:rPr>
          <w:rFonts w:ascii="Palatino Linotype" w:eastAsia="Palatino Linotype" w:hAnsi="Palatino Linotype"/>
          <w:i/>
          <w:iCs/>
          <w:color w:val="404040" w:themeColor="text1" w:themeTint="BF"/>
          <w:lang w:eastAsia="es-MX"/>
        </w:rPr>
        <w:t xml:space="preserve"> </w:t>
      </w:r>
      <w:bookmarkStart w:id="1" w:name="_heading=h.gjdgxs" w:colFirst="0" w:colLast="0"/>
      <w:bookmarkEnd w:id="1"/>
      <w:r w:rsidR="00F01B6C" w:rsidRPr="00C62C95">
        <w:rPr>
          <w:rFonts w:ascii="Palatino Linotype" w:hAnsi="Palatino Linotype" w:cs="Tahoma"/>
          <w:b/>
          <w:lang w:val="es-MX"/>
        </w:rPr>
        <w:t>Solicitud 00120/TLALMANA/IP/2022:</w:t>
      </w:r>
    </w:p>
    <w:p w14:paraId="7B222E12" w14:textId="77777777" w:rsidR="00F01B6C" w:rsidRPr="00C62C95" w:rsidRDefault="00F01B6C" w:rsidP="00F01B6C">
      <w:pPr>
        <w:tabs>
          <w:tab w:val="left" w:pos="4667"/>
        </w:tabs>
        <w:spacing w:line="360" w:lineRule="auto"/>
        <w:ind w:left="567" w:right="567"/>
        <w:rPr>
          <w:rFonts w:ascii="Palatino Linotype" w:hAnsi="Palatino Linotype" w:cs="Tahoma"/>
          <w:b/>
          <w:lang w:val="es-MX"/>
        </w:rPr>
      </w:pPr>
    </w:p>
    <w:p w14:paraId="006F51EB" w14:textId="6A60FA58" w:rsidR="00F01B6C" w:rsidRPr="00C62C95" w:rsidRDefault="00F01B6C" w:rsidP="00F01B6C">
      <w:pPr>
        <w:tabs>
          <w:tab w:val="left" w:pos="4667"/>
        </w:tabs>
        <w:spacing w:line="360" w:lineRule="auto"/>
        <w:ind w:left="567" w:right="567"/>
        <w:jc w:val="both"/>
        <w:rPr>
          <w:rFonts w:ascii="Palatino Linotype" w:hAnsi="Palatino Linotype" w:cs="Tahoma"/>
          <w:bCs/>
          <w:i/>
          <w:iCs/>
          <w:lang w:val="es-MX"/>
        </w:rPr>
      </w:pPr>
      <w:r w:rsidRPr="00C62C95">
        <w:rPr>
          <w:rFonts w:ascii="Palatino Linotype" w:hAnsi="Palatino Linotype" w:cs="Tahoma"/>
          <w:b/>
          <w:i/>
          <w:iCs/>
          <w:lang w:val="es-MX"/>
        </w:rPr>
        <w:t>“</w:t>
      </w:r>
      <w:r w:rsidRPr="00C62C95">
        <w:rPr>
          <w:rFonts w:ascii="Palatino Linotype" w:hAnsi="Palatino Linotype" w:cs="Tahoma"/>
          <w:bCs/>
          <w:i/>
          <w:iCs/>
          <w:lang w:val="es-MX"/>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PÚBLICA DEL ESTADO DE MÉXICO Y MUNICIPIOS, Y MUNICIPIOS, 135 DEL CÓDIGO DE PROCEDIMIENTOS ADMINISTRATIVOS DEL ESTADO DE MÉXICO, PIDO LO SIGUIENTES: .Cuanto es el presupuesto total asignado para el ejercicio fiscal 2022 a la dirección de seguridad pública en el municipio Numero de cámaras de vigilancia del Centro de mando y monitoreo y si cuantas tienen botón de pánico dentro del territorio municipal. Y de ellas cuantas funcionan y cuantas necesitan reparación, así como ¿cuál es el tiempo normal en que se reparan? ¿Personal municipal, estatal o privado las reparan?, Numero de las unidades de patrullas en funcionamiento con las que cuenta el municipio ¿Cuántos elementos de seguridad por cada 1000 habitantes tiene el municipio?, ¿Cuántos elementos son en total?, ¿Cuántos elementos se </w:t>
      </w:r>
      <w:r w:rsidRPr="00C62C95">
        <w:rPr>
          <w:rFonts w:ascii="Palatino Linotype" w:hAnsi="Palatino Linotype" w:cs="Tahoma"/>
          <w:bCs/>
          <w:i/>
          <w:iCs/>
          <w:lang w:val="es-MX"/>
        </w:rPr>
        <w:lastRenderedPageBreak/>
        <w:t xml:space="preserve">encuentran comisionados a labores distintas a la prevención del delito y seguridad pública? ¿Cuántos tienen función de escolta y cuantos están comisionados al resguardo de instalaciones municipales? Y, ¿Cuentan los elementos de seguridad con el equipo básico y en qué consiste? ¿El municipio está implementando el Servicio Profesional de Carrera Policial?, ¿Lleva a cabo el municipio acciones tendientes al cumplimiento de los exámenes de control de confianza? Y ¿Cuándo se realizaron los últimos? ¿Existe y se opera una Comisión de Honor y Justicia de los cuerpos de Seguridad Pública?, ¿Quiénes la integran? Solicito para esto: Acta de la Instalación de la comisión, y Acta de la última sesión. ¿Se cuenta con indicadores de medición y seguimiento del personal de policía municipal con participación de instancias ciudadanas?, ¿El municipio ha gestionado la incorporación de sus elementos de seguridad a la licencia colectiva para la portación de armamento? ¿Información referente a la incidencia delictiva de delitos y de faltas administrativas? Favor de anexar información desde 2019 al 2022 a la fecha de recepción de la presente. ¿Se operan programas para la prevención de conductas antisociales?, ¿Se tiene coordinación interinstitucional con otros órdenes de gobierno en materia de seguridad pública y de qué forma?, ¿Se cuenta con índices e identificación de zonas conflictivas y cuál es la metodología?, ¿Se cuenta con un programa de atención especializada para zonas conflictivas?, ¿Existen vínculos de coparticipación con la sociedad y cuáles son ?, ¿Se operan programas para medir el nivel de denuncias ciudadanas, cuáles?, ¿Se reportan sus incidencias a través del Informe Policial Homologado y cuantos tienen reportados en el periodo 2019, 2020, 2021 y 2022 ? Solicito El </w:t>
      </w:r>
      <w:r w:rsidRPr="00C62C95">
        <w:rPr>
          <w:rFonts w:ascii="Palatino Linotype" w:hAnsi="Palatino Linotype" w:cs="Tahoma"/>
          <w:bCs/>
          <w:i/>
          <w:iCs/>
          <w:lang w:val="es-MX"/>
        </w:rPr>
        <w:lastRenderedPageBreak/>
        <w:t xml:space="preserve">análisis delictivo para la prevención y combate del delito, y El Atlas de incidencia delictiva Municipal.” (Sic) </w:t>
      </w:r>
    </w:p>
    <w:p w14:paraId="49A66735" w14:textId="77777777" w:rsidR="00F01B6C" w:rsidRPr="00C62C95" w:rsidRDefault="00F01B6C" w:rsidP="00F01B6C">
      <w:pPr>
        <w:tabs>
          <w:tab w:val="left" w:pos="4667"/>
        </w:tabs>
        <w:spacing w:line="360" w:lineRule="auto"/>
        <w:ind w:left="567" w:right="567"/>
        <w:jc w:val="both"/>
        <w:rPr>
          <w:rFonts w:ascii="Palatino Linotype" w:hAnsi="Palatino Linotype" w:cs="Tahoma"/>
          <w:b/>
          <w:bCs/>
          <w:i/>
          <w:iCs/>
          <w:lang w:val="es-MX"/>
        </w:rPr>
      </w:pPr>
    </w:p>
    <w:p w14:paraId="0FD236FF" w14:textId="75DC27D1" w:rsidR="00F01B6C" w:rsidRPr="00C62C95" w:rsidRDefault="00F01B6C" w:rsidP="00F01B6C">
      <w:pPr>
        <w:tabs>
          <w:tab w:val="left" w:pos="4667"/>
        </w:tabs>
        <w:spacing w:line="360" w:lineRule="auto"/>
        <w:ind w:left="567" w:right="567"/>
        <w:jc w:val="both"/>
        <w:rPr>
          <w:rFonts w:ascii="Palatino Linotype" w:hAnsi="Palatino Linotype" w:cs="Tahoma"/>
          <w:b/>
          <w:bCs/>
          <w:lang w:val="es-MX"/>
        </w:rPr>
      </w:pPr>
      <w:r w:rsidRPr="00C62C95">
        <w:rPr>
          <w:rFonts w:ascii="Palatino Linotype" w:hAnsi="Palatino Linotype" w:cs="Tahoma"/>
          <w:b/>
          <w:lang w:val="es-MX"/>
        </w:rPr>
        <w:t xml:space="preserve">Solicitud </w:t>
      </w:r>
      <w:r w:rsidRPr="00C62C95">
        <w:rPr>
          <w:rFonts w:ascii="Palatino Linotype" w:hAnsi="Palatino Linotype" w:cs="Tahoma"/>
          <w:b/>
          <w:bCs/>
          <w:lang w:val="es-MX"/>
        </w:rPr>
        <w:t>00125/TLALMANA/IP/2022</w:t>
      </w:r>
    </w:p>
    <w:p w14:paraId="0E94924E" w14:textId="01F60725" w:rsidR="00F01B6C" w:rsidRPr="00C62C95" w:rsidRDefault="00F01B6C" w:rsidP="00F01B6C">
      <w:pPr>
        <w:tabs>
          <w:tab w:val="left" w:pos="4667"/>
        </w:tabs>
        <w:spacing w:line="360" w:lineRule="auto"/>
        <w:ind w:right="567"/>
        <w:jc w:val="both"/>
        <w:rPr>
          <w:rFonts w:ascii="Palatino Linotype" w:hAnsi="Palatino Linotype" w:cs="Tahoma"/>
          <w:b/>
          <w:i/>
          <w:iCs/>
          <w:lang w:val="es-MX"/>
        </w:rPr>
      </w:pPr>
    </w:p>
    <w:p w14:paraId="74BD809E" w14:textId="4F5D6D8C" w:rsidR="00F01B6C" w:rsidRPr="00C62C95" w:rsidRDefault="00F01B6C" w:rsidP="00F01B6C">
      <w:pPr>
        <w:tabs>
          <w:tab w:val="left" w:pos="4667"/>
        </w:tabs>
        <w:spacing w:line="360" w:lineRule="auto"/>
        <w:ind w:left="567" w:right="567"/>
        <w:jc w:val="both"/>
        <w:rPr>
          <w:rFonts w:ascii="Palatino Linotype" w:hAnsi="Palatino Linotype" w:cs="Tahoma"/>
          <w:b/>
          <w:bCs/>
          <w:i/>
          <w:iCs/>
          <w:lang w:val="es-MX"/>
        </w:rPr>
      </w:pPr>
      <w:r w:rsidRPr="00C62C95">
        <w:rPr>
          <w:rFonts w:ascii="Palatino Linotype" w:hAnsi="Palatino Linotype" w:cs="Tahoma"/>
          <w:bCs/>
          <w:i/>
          <w:iCs/>
          <w:lang w:val="es-MX"/>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En torno a los procedimientos de licitación pública, así como los contratos correspondientes, de conformidad a los dispuesto en la Ley de Contratación Pública del Estado de México y Municipios, así como los costos totales (IVA incluido) en moneda nacional así como su entrega en versión pública de los Convenios celebrados, facturas, contratos celebrados, Pólizas de cheques de los siguientes conceptos: 1.- Por concepto del costo total de la adquisición y/o arrendamiento de las Patrullas para la Dirección de Seguridad Pública y Tránsito Municipal adquiridas en la presente administración 2022-2024 y si se trata de arredramiento solicito el costo total y los Convenios celebrados, facturas, </w:t>
      </w:r>
      <w:r w:rsidRPr="00C62C95">
        <w:rPr>
          <w:rFonts w:ascii="Palatino Linotype" w:hAnsi="Palatino Linotype" w:cs="Tahoma"/>
          <w:bCs/>
          <w:i/>
          <w:iCs/>
          <w:lang w:val="es-MX"/>
        </w:rPr>
        <w:lastRenderedPageBreak/>
        <w:t>contratos celebrados Pólizas de cheques . 2.- Por concepto del costo total de la adquisición y/o arrendamiento de las Ambulancias adquiridas en la presente administración 2022-2024 y si se trata de arredramiento solicito los Convenios celebrados, facturas, contratos celebrados Pólizas de cheques. 3.- Por concepto del costo total de la construcción del Arco de la entrada a Tlalmanalco sobre la carretera federal México- Cuautla a la altura de Santa solicito los Convenios celebrados, facturas, contratos celebrados Pólizas de cheques.” (Sic)</w:t>
      </w:r>
    </w:p>
    <w:p w14:paraId="171DDD28" w14:textId="27BBB8DF" w:rsidR="00F10A06" w:rsidRPr="00C62C95" w:rsidRDefault="00F10A06" w:rsidP="00F01B6C">
      <w:pPr>
        <w:spacing w:line="360" w:lineRule="auto"/>
        <w:jc w:val="both"/>
        <w:rPr>
          <w:rFonts w:ascii="Palatino Linotype" w:eastAsia="Calibri" w:hAnsi="Palatino Linotype" w:cs="Arial"/>
          <w:color w:val="000000" w:themeColor="text1"/>
        </w:rPr>
      </w:pPr>
    </w:p>
    <w:p w14:paraId="52673A2D" w14:textId="34EDBD4F" w:rsidR="00887C41" w:rsidRPr="00C62C95" w:rsidRDefault="006F62BA" w:rsidP="00F01B6C">
      <w:pPr>
        <w:spacing w:before="100" w:beforeAutospacing="1" w:after="100" w:afterAutospacing="1" w:line="360" w:lineRule="auto"/>
        <w:contextualSpacing/>
        <w:jc w:val="both"/>
        <w:rPr>
          <w:rFonts w:ascii="Palatino Linotype" w:eastAsia="Palatino Linotype" w:hAnsi="Palatino Linotype"/>
          <w:lang w:eastAsia="es-MX"/>
        </w:rPr>
      </w:pPr>
      <w:r w:rsidRPr="00C62C95">
        <w:rPr>
          <w:rFonts w:ascii="Palatino Linotype" w:hAnsi="Palatino Linotype" w:cs="Arial"/>
          <w:b/>
          <w:bCs/>
          <w:color w:val="000000" w:themeColor="text1"/>
        </w:rPr>
        <w:t>EL SUJETO OBLIGADO</w:t>
      </w:r>
      <w:r w:rsidR="0039131A" w:rsidRPr="00C62C95">
        <w:rPr>
          <w:rFonts w:ascii="Palatino Linotype" w:hAnsi="Palatino Linotype" w:cs="Arial"/>
          <w:b/>
          <w:bCs/>
          <w:color w:val="000000" w:themeColor="text1"/>
        </w:rPr>
        <w:t xml:space="preserve"> en fecha</w:t>
      </w:r>
      <w:r w:rsidR="00F01B6C" w:rsidRPr="00C62C95">
        <w:rPr>
          <w:rFonts w:ascii="Palatino Linotype" w:hAnsi="Palatino Linotype" w:cs="Arial"/>
          <w:b/>
          <w:bCs/>
          <w:color w:val="000000" w:themeColor="text1"/>
        </w:rPr>
        <w:t xml:space="preserve"> veinticinco de junio y primero de julio de dos  mil veintidós </w:t>
      </w:r>
      <w:r w:rsidR="00887C41" w:rsidRPr="00C62C95">
        <w:rPr>
          <w:rFonts w:ascii="Palatino Linotype" w:hAnsi="Palatino Linotype" w:cs="Arial"/>
          <w:b/>
          <w:bCs/>
          <w:color w:val="000000" w:themeColor="text1"/>
        </w:rPr>
        <w:t xml:space="preserve"> </w:t>
      </w:r>
      <w:r w:rsidR="009F3BD0" w:rsidRPr="00C62C95">
        <w:rPr>
          <w:rFonts w:ascii="Palatino Linotype" w:eastAsia="Palatino Linotype" w:hAnsi="Palatino Linotype"/>
          <w:lang w:eastAsia="es-MX"/>
        </w:rPr>
        <w:t>remitió  respuesta a</w:t>
      </w:r>
      <w:r w:rsidR="00F01B6C" w:rsidRPr="00C62C95">
        <w:rPr>
          <w:rFonts w:ascii="Palatino Linotype" w:eastAsia="Palatino Linotype" w:hAnsi="Palatino Linotype"/>
          <w:lang w:eastAsia="es-MX"/>
        </w:rPr>
        <w:t xml:space="preserve"> las solicitudes de información en los siguientes términos:</w:t>
      </w:r>
    </w:p>
    <w:p w14:paraId="662152E5" w14:textId="77777777" w:rsidR="00F01B6C" w:rsidRPr="00C62C95" w:rsidRDefault="00F01B6C" w:rsidP="00F01B6C">
      <w:pPr>
        <w:spacing w:before="100" w:beforeAutospacing="1" w:after="100" w:afterAutospacing="1" w:line="360" w:lineRule="auto"/>
        <w:contextualSpacing/>
        <w:jc w:val="both"/>
        <w:rPr>
          <w:rFonts w:ascii="Palatino Linotype" w:hAnsi="Palatino Linotype"/>
        </w:rPr>
      </w:pPr>
    </w:p>
    <w:p w14:paraId="71A1D5BF" w14:textId="77777777" w:rsidR="00F01B6C" w:rsidRPr="00C62C95" w:rsidRDefault="00F01B6C" w:rsidP="00F01B6C">
      <w:pPr>
        <w:spacing w:line="360" w:lineRule="auto"/>
        <w:jc w:val="both"/>
        <w:rPr>
          <w:rFonts w:ascii="Palatino Linotype" w:eastAsia="Calibri" w:hAnsi="Palatino Linotype"/>
          <w:b/>
          <w:bCs/>
          <w:color w:val="000000"/>
          <w:lang w:val="es-MX" w:eastAsia="en-US"/>
        </w:rPr>
      </w:pPr>
      <w:r w:rsidRPr="00C62C95">
        <w:rPr>
          <w:rFonts w:ascii="Palatino Linotype" w:eastAsia="Calibri" w:hAnsi="Palatino Linotype"/>
          <w:b/>
          <w:bCs/>
          <w:color w:val="000000"/>
          <w:lang w:val="es-MX" w:eastAsia="en-US"/>
        </w:rPr>
        <w:t>Respuesta de la solicitud de información: 00120/TLALMANA/IP/2022.</w:t>
      </w:r>
    </w:p>
    <w:p w14:paraId="689206CE" w14:textId="77777777" w:rsidR="00F01B6C" w:rsidRPr="00C62C95" w:rsidRDefault="00F01B6C" w:rsidP="00F01B6C">
      <w:pPr>
        <w:spacing w:line="360" w:lineRule="auto"/>
        <w:jc w:val="both"/>
        <w:rPr>
          <w:rFonts w:ascii="Palatino Linotype" w:eastAsia="Calibri" w:hAnsi="Palatino Linotype"/>
          <w:color w:val="000000"/>
          <w:lang w:val="es-MX" w:eastAsia="en-US"/>
        </w:rPr>
      </w:pPr>
    </w:p>
    <w:p w14:paraId="451C07F1" w14:textId="77777777" w:rsidR="00F01B6C" w:rsidRPr="00C62C95" w:rsidRDefault="00F01B6C" w:rsidP="00F01B6C">
      <w:pPr>
        <w:spacing w:line="360" w:lineRule="auto"/>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i) Oficio con número de referencia: TLA/DSPYTM/1147/2022, de fecha veintidós, rubricado por el Comisario de Seguridad Pública y Tránsito, el cual es dirigido al Titular de la Unidad de Transparencia en los términos siguientes:</w:t>
      </w:r>
    </w:p>
    <w:p w14:paraId="5F699319"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703D0B28" w14:textId="17049320"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w:t>
      </w:r>
    </w:p>
    <w:p w14:paraId="70E1FF0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Presupuesto asignado total para el ejercicio fiscal 2022 de la Dirección de Seguridad Pública y Tránsito.</w:t>
      </w:r>
    </w:p>
    <w:p w14:paraId="2900C4C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35,932,710.32</w:t>
      </w:r>
    </w:p>
    <w:p w14:paraId="1D8999B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42DA4397"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Número de las unidades de patrullas en funcionamiento con las que cuenta el municipio:</w:t>
      </w:r>
    </w:p>
    <w:p w14:paraId="4A5FD05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044, 045, 057, 043, 054, 028, 040, 023, 025, 055, 038, 037, 047, 052, 056, 042, 058, 050, 041, 053, 03, 027, 026, 059, 064, 065, 066, 039, 048, 063.</w:t>
      </w:r>
    </w:p>
    <w:p w14:paraId="58C8ADA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25BB299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¿Cuántos elementos se seguridad por cada 1000 habitantes tiene el municipio?</w:t>
      </w:r>
    </w:p>
    <w:p w14:paraId="1837C06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2 elementos por cada mil habitantes.</w:t>
      </w:r>
    </w:p>
    <w:p w14:paraId="2DDDFA6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37DB1A7B"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¿Cuántos elementos son en total?</w:t>
      </w:r>
    </w:p>
    <w:p w14:paraId="6B939FD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103 elementos</w:t>
      </w:r>
    </w:p>
    <w:p w14:paraId="1968266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4B95AD2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¿Cuántos elementos se encuentran comisionados a labores distintas a la prevención del delito y seguridad pública?</w:t>
      </w:r>
    </w:p>
    <w:p w14:paraId="4820C7C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Ningún elemento.</w:t>
      </w:r>
    </w:p>
    <w:p w14:paraId="2C9CD48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1791A0C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¿Cuántos tienen funciones de escolta y cuantos están comisionados al resguardo de instalaciones municipales?</w:t>
      </w:r>
    </w:p>
    <w:p w14:paraId="48D1971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Ningún elemento se encuentra comisionado a escolta.</w:t>
      </w:r>
    </w:p>
    <w:p w14:paraId="2B9DE19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Cinco elementos se encuentran a resguardo de instalaciones municipales.</w:t>
      </w:r>
    </w:p>
    <w:p w14:paraId="62E412F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62B8F8B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¿Cuentan los elementos de seguridad con el equipo básico y en consiste?</w:t>
      </w:r>
    </w:p>
    <w:p w14:paraId="6D2A033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Chaleco balístico.</w:t>
      </w:r>
    </w:p>
    <w:p w14:paraId="7FC9DEB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Uniforme estándar.</w:t>
      </w:r>
    </w:p>
    <w:p w14:paraId="7E722A5B"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Calzado.</w:t>
      </w:r>
    </w:p>
    <w:p w14:paraId="7CCFEC7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Kit pie tierra primer respondiente.</w:t>
      </w:r>
    </w:p>
    <w:p w14:paraId="4FAF00AC"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07B99AE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¿El municipio tiene implementado el servicio profesional de carrera policial? </w:t>
      </w:r>
    </w:p>
    <w:p w14:paraId="76796B22"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2B0FECE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1D00A6B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¿Lleva a cabo el municipio acciones tendientes al cumplimiento de los exámenes de control de confianza?</w:t>
      </w:r>
    </w:p>
    <w:p w14:paraId="3D07E4C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72DFEE7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13CC657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¿Cuándo se realizaron los últimos?</w:t>
      </w:r>
    </w:p>
    <w:p w14:paraId="235C264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Año 2019</w:t>
      </w:r>
    </w:p>
    <w:p w14:paraId="213501D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0993F6E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¿Existe y se opera una Comisión de Honor y Justicia de los cuerpos de Seguridad Pública?</w:t>
      </w:r>
    </w:p>
    <w:p w14:paraId="0C741AC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5D33AE0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22A8917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¿Quiénes la integran?</w:t>
      </w:r>
    </w:p>
    <w:p w14:paraId="37E2832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Dicha información no se encuentra en poder de esta Dirección. </w:t>
      </w:r>
    </w:p>
    <w:p w14:paraId="07CDB2E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7956066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Acta de la instalación de la Comisión y acta de la última sesión.</w:t>
      </w:r>
    </w:p>
    <w:p w14:paraId="7441D67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La documentación solicitada no se encuentra en poder de esta Dirección.</w:t>
      </w:r>
    </w:p>
    <w:p w14:paraId="1CCCB2A7"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73EE5F0C"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¿Se cuenta con indicadores de medición y seguimiento del personal de la policía municipal con participación de instancias ciudadanas?</w:t>
      </w:r>
    </w:p>
    <w:p w14:paraId="1AC139E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01D75E8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3E518A47"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¿el municipio ha gestionado la incorporación de sus elementos de seguridad a la licencia colectiva de armamento?</w:t>
      </w:r>
    </w:p>
    <w:p w14:paraId="5932929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042EC90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11E2FC6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Información referente a la incidencia delictiva de los delitos y faltas administrativas de 2019 a 2022. </w:t>
      </w:r>
    </w:p>
    <w:p w14:paraId="4BF962EB"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Del año 2019 a 2022</w:t>
      </w:r>
    </w:p>
    <w:p w14:paraId="39549C0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224 delitos</w:t>
      </w:r>
    </w:p>
    <w:p w14:paraId="7DF1828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2781 faltas administrativas</w:t>
      </w:r>
    </w:p>
    <w:p w14:paraId="3529E07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22952AA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operan programas para la prevención de conductas antisociales?</w:t>
      </w:r>
    </w:p>
    <w:p w14:paraId="4F91C79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26A3E3C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7865E19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tiene coordinación interinstitucional con otros ordenas de gobierno en materia de seguridad pública?</w:t>
      </w:r>
    </w:p>
    <w:p w14:paraId="778B722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3BA84E5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En base a lo establecido en la Ley de Seguridad del Estado de México.</w:t>
      </w:r>
    </w:p>
    <w:p w14:paraId="42D139C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6FA2D55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 xml:space="preserve">¿se cuenta con índices e identificación de zonas conflictivas y cuál es su metodología? </w:t>
      </w:r>
    </w:p>
    <w:p w14:paraId="54DF7E7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 se cuenta con índices de identificación de zonas conflictivas.</w:t>
      </w:r>
    </w:p>
    <w:p w14:paraId="1D02771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Con base al territorio municipal se genera una división por delegaciones, se genera una subdivisión por barrios y colonias tomando en cuenta esta base como muestra de medición se tienen dos parámetros, uno es el número de reportes que realiza cada delegación, barrio o colonia y el segundo es el número de detenciones por faltas administrativas que se generan en cada unas de ellas, con base a estos números se toma en cuenta cual es la delegación, barrio o colonia que cuenta con mayor índice de acción antisocial que lo hace acreedor a una zona conflictiva.</w:t>
      </w:r>
    </w:p>
    <w:p w14:paraId="029E7BA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14F988A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cuenta con un programa de atención especializada para zonas conflictivas?</w:t>
      </w:r>
    </w:p>
    <w:p w14:paraId="43FC859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499D428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310D0A22"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¿Existen vínculos de coparticipación con la sociedad y cuales son? </w:t>
      </w:r>
    </w:p>
    <w:p w14:paraId="5C4A87D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3249A2D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Reuniones vecinales.</w:t>
      </w:r>
    </w:p>
    <w:p w14:paraId="4DF7D46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Platicas de prevención.</w:t>
      </w:r>
    </w:p>
    <w:p w14:paraId="379BB71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Grupos de WhatsApp.</w:t>
      </w:r>
    </w:p>
    <w:p w14:paraId="6BCC31D1"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Consejos Municipales de Seguridad Pública.</w:t>
      </w:r>
    </w:p>
    <w:p w14:paraId="13A002C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7C98779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¿Se operan programas para medir el nivel de denuncias ciudadanas, ¿Cuáles? </w:t>
      </w:r>
    </w:p>
    <w:p w14:paraId="0031DFFD"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Si</w:t>
      </w:r>
    </w:p>
    <w:p w14:paraId="146A9C7E"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Plataforma México</w:t>
      </w:r>
    </w:p>
    <w:p w14:paraId="59024E5D"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48851DA8"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reportan sus incidencias a través del Informe Policial Homologado y cuantos tiene en el periodo 2019, 2020, 2021 y 2022?</w:t>
      </w:r>
    </w:p>
    <w:p w14:paraId="35CF9A3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reportan únicamente a través del informe policial homologado lo que se acredita como una falta administrativa ante el oficial calificador o como hechos delictivos ante el ministerio público.</w:t>
      </w:r>
    </w:p>
    <w:p w14:paraId="785BDDD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Año 2019_ 54 delitos y 782 faltas administrativas.</w:t>
      </w:r>
    </w:p>
    <w:p w14:paraId="775A3AD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Año 2020: 76 delitos y 788 faltas administrativas</w:t>
      </w:r>
    </w:p>
    <w:p w14:paraId="5B917F0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Año 2021:65 delitos y 727 faltas administrativas</w:t>
      </w:r>
    </w:p>
    <w:p w14:paraId="77C2759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Año 2022: 29 delitos y 484 faltas administrativas </w:t>
      </w:r>
    </w:p>
    <w:p w14:paraId="7A27454D"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4F9A949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Solicito el análisis delictivo para la prevención y combate del delito y el atlas de incidencia delictiva municipal.</w:t>
      </w:r>
    </w:p>
    <w:p w14:paraId="7842EA7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Se anexa incidencia delictiva y atlas de incidencia delictiva municipal.</w:t>
      </w:r>
    </w:p>
    <w:p w14:paraId="3A2A15B3"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 (Sic) </w:t>
      </w:r>
    </w:p>
    <w:p w14:paraId="7B8F43AC"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422420E9"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 xml:space="preserve">Al oficio previamente referido, el Sujeto Obligado adjuntó la siguiente información: </w:t>
      </w:r>
    </w:p>
    <w:p w14:paraId="7F0F5532"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a)</w:t>
      </w:r>
    </w:p>
    <w:p w14:paraId="0A44551B" w14:textId="77777777" w:rsidR="00F01B6C" w:rsidRPr="00C62C95" w:rsidRDefault="00F01B6C" w:rsidP="00F01B6C">
      <w:pPr>
        <w:spacing w:line="360" w:lineRule="auto"/>
        <w:ind w:left="567" w:right="616"/>
        <w:jc w:val="center"/>
        <w:rPr>
          <w:rFonts w:ascii="Palatino Linotype" w:eastAsia="Calibri" w:hAnsi="Palatino Linotype"/>
          <w:color w:val="000000"/>
          <w:lang w:val="es-MX" w:eastAsia="en-US"/>
        </w:rPr>
      </w:pPr>
      <w:r w:rsidRPr="00C62C95">
        <w:rPr>
          <w:rFonts w:ascii="Palatino Linotype" w:eastAsia="Calibri" w:hAnsi="Palatino Linotype"/>
          <w:noProof/>
          <w:color w:val="000000"/>
          <w:lang w:val="es-MX" w:eastAsia="es-MX"/>
        </w:rPr>
        <w:lastRenderedPageBreak/>
        <w:drawing>
          <wp:inline distT="0" distB="0" distL="0" distR="0" wp14:anchorId="24D19F7A" wp14:editId="18DFCDA2">
            <wp:extent cx="4439838" cy="3305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93754" name="Imagen 1712693754"/>
                    <pic:cNvPicPr/>
                  </pic:nvPicPr>
                  <pic:blipFill>
                    <a:blip r:embed="rId8">
                      <a:extLst>
                        <a:ext uri="{28A0092B-C50C-407E-A947-70E740481C1C}">
                          <a14:useLocalDpi xmlns:a14="http://schemas.microsoft.com/office/drawing/2010/main" val="0"/>
                        </a:ext>
                      </a:extLst>
                    </a:blip>
                    <a:stretch>
                      <a:fillRect/>
                    </a:stretch>
                  </pic:blipFill>
                  <pic:spPr>
                    <a:xfrm>
                      <a:off x="0" y="0"/>
                      <a:ext cx="4442619" cy="3307246"/>
                    </a:xfrm>
                    <a:prstGeom prst="rect">
                      <a:avLst/>
                    </a:prstGeom>
                  </pic:spPr>
                </pic:pic>
              </a:graphicData>
            </a:graphic>
          </wp:inline>
        </w:drawing>
      </w:r>
    </w:p>
    <w:p w14:paraId="7A819CAF"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5964E866"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b) Dieciséis de documentos que contienen incidencia delictiva, de cuyo contenido, a efectos de su pronta referencia se inserta el siguiente extracto:</w:t>
      </w:r>
    </w:p>
    <w:p w14:paraId="0F347097"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69D01B08" w14:textId="77777777" w:rsidR="00F01B6C" w:rsidRPr="00C62C95" w:rsidRDefault="00F01B6C" w:rsidP="00F01B6C">
      <w:pPr>
        <w:spacing w:line="360" w:lineRule="auto"/>
        <w:ind w:left="567" w:right="616"/>
        <w:jc w:val="center"/>
        <w:rPr>
          <w:rFonts w:ascii="Palatino Linotype" w:eastAsia="Calibri" w:hAnsi="Palatino Linotype"/>
          <w:color w:val="000000"/>
          <w:lang w:val="es-MX" w:eastAsia="en-US"/>
        </w:rPr>
      </w:pPr>
      <w:r w:rsidRPr="00C62C95">
        <w:rPr>
          <w:rFonts w:ascii="Palatino Linotype" w:eastAsia="Calibri" w:hAnsi="Palatino Linotype"/>
          <w:noProof/>
          <w:color w:val="000000"/>
          <w:lang w:val="es-MX" w:eastAsia="es-MX"/>
        </w:rPr>
        <w:drawing>
          <wp:inline distT="0" distB="0" distL="0" distR="0" wp14:anchorId="5CE0902C" wp14:editId="2E07DD66">
            <wp:extent cx="5295900" cy="130641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98901" name="Imagen 667498901"/>
                    <pic:cNvPicPr/>
                  </pic:nvPicPr>
                  <pic:blipFill>
                    <a:blip r:embed="rId9">
                      <a:extLst>
                        <a:ext uri="{28A0092B-C50C-407E-A947-70E740481C1C}">
                          <a14:useLocalDpi xmlns:a14="http://schemas.microsoft.com/office/drawing/2010/main" val="0"/>
                        </a:ext>
                      </a:extLst>
                    </a:blip>
                    <a:stretch>
                      <a:fillRect/>
                    </a:stretch>
                  </pic:blipFill>
                  <pic:spPr>
                    <a:xfrm>
                      <a:off x="0" y="0"/>
                      <a:ext cx="5313140" cy="1310664"/>
                    </a:xfrm>
                    <a:prstGeom prst="rect">
                      <a:avLst/>
                    </a:prstGeom>
                  </pic:spPr>
                </pic:pic>
              </a:graphicData>
            </a:graphic>
          </wp:inline>
        </w:drawing>
      </w:r>
    </w:p>
    <w:p w14:paraId="6FA9FB5D"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671D097B"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lastRenderedPageBreak/>
        <w:t xml:space="preserve">ii) Oficio con número de referencia: C2/TLAL/020/2022, de fecha veinte de junio de dos mil veintidós, rubricado por el Titular del Centro de Mando y Comunicación C2, el cual es dirigido al Titular de la Unidad de Transparencia, en los términos siguientes: </w:t>
      </w:r>
    </w:p>
    <w:p w14:paraId="6001A6B2"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3A64F3E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w:t>
      </w:r>
    </w:p>
    <w:p w14:paraId="4DED945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En atención a su oficio TLAL/UT/SAIMEX/120/2022, turnado al Centro de Mando y Comunicación C2, por medio del cual solicita información de las cámaras de vigilancia, con las que cuenta nuestro municipio, informo al respecto, hago de su conocimiento lo siguiente:</w:t>
      </w:r>
    </w:p>
    <w:p w14:paraId="2E60F359"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58646F14"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1.- Número de cámaras de vigilancia del Centro de Mando y Monitoreo: 200 Cámaras de vigilancia distribuidas en todo el municipio.</w:t>
      </w:r>
    </w:p>
    <w:p w14:paraId="200632A0"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28D0EE3B"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2.- Cuentas tienen botón de pánico dentro del territorio municipal: 15 postes son los que cuentan con botón de pánico.</w:t>
      </w:r>
    </w:p>
    <w:p w14:paraId="7250198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05F171C6"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3.- Cuentas funcionan y cuantas necesitan reparación: las 200 cámaras se encuentran funcionando.</w:t>
      </w:r>
    </w:p>
    <w:p w14:paraId="1AA65EEC"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7B943ABA"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4.- Cual el tiempo normal en repararlas: de 3 a 4 días dependiendo la falla.</w:t>
      </w:r>
    </w:p>
    <w:p w14:paraId="009DFE37"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p>
    <w:p w14:paraId="482E3535"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 xml:space="preserve">5.- Personal municipal, estatal o privado las reparan: personal de municipio en conjunto con la empresa SEGURITECH, ya que es la empresa que contrata Gobierno del Estado. </w:t>
      </w:r>
    </w:p>
    <w:p w14:paraId="2FBC190F" w14:textId="77777777" w:rsidR="00F01B6C" w:rsidRPr="00C62C95" w:rsidRDefault="00F01B6C" w:rsidP="00F01B6C">
      <w:pPr>
        <w:spacing w:line="360" w:lineRule="auto"/>
        <w:ind w:left="567" w:right="616"/>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 (Sic) </w:t>
      </w:r>
    </w:p>
    <w:p w14:paraId="5E1A1B7B"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2A9D1F04" w14:textId="77777777" w:rsidR="00F01B6C" w:rsidRPr="00C62C95" w:rsidRDefault="00F01B6C" w:rsidP="00F01B6C">
      <w:pPr>
        <w:spacing w:line="360" w:lineRule="auto"/>
        <w:ind w:left="567" w:right="616"/>
        <w:jc w:val="both"/>
        <w:rPr>
          <w:rFonts w:ascii="Palatino Linotype" w:eastAsia="Calibri" w:hAnsi="Palatino Linotype"/>
          <w:b/>
          <w:bCs/>
          <w:color w:val="000000"/>
          <w:lang w:val="es-MX" w:eastAsia="en-US"/>
        </w:rPr>
      </w:pPr>
      <w:r w:rsidRPr="00C62C95">
        <w:rPr>
          <w:rFonts w:ascii="Palatino Linotype" w:eastAsia="Calibri" w:hAnsi="Palatino Linotype"/>
          <w:b/>
          <w:bCs/>
          <w:color w:val="000000"/>
          <w:lang w:val="es-MX" w:eastAsia="en-US"/>
        </w:rPr>
        <w:t>Respuesta a la solicitud de información: 00125/TLALMANA/IP/2022.</w:t>
      </w:r>
    </w:p>
    <w:p w14:paraId="68BBB46B"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04055028"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 xml:space="preserve">i) Oficio con número de referencia: TES-TAL-347-06/2022, de fecha veintitrés de junio de dos mil veintidós, rubricado por el Tesorero Municipal y dirigido al Titular de la Unidad de Transparencia, del cual, para su pronta referencia se inserta el siguiente extracto: </w:t>
      </w:r>
    </w:p>
    <w:p w14:paraId="5AE0B57E"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799F8DFE" w14:textId="77777777" w:rsidR="00F01B6C" w:rsidRPr="00C62C95" w:rsidRDefault="00F01B6C" w:rsidP="00F01B6C">
      <w:pPr>
        <w:spacing w:line="360" w:lineRule="auto"/>
        <w:ind w:left="567" w:right="616"/>
        <w:jc w:val="center"/>
        <w:rPr>
          <w:rFonts w:ascii="Palatino Linotype" w:eastAsia="Calibri" w:hAnsi="Palatino Linotype"/>
          <w:color w:val="000000"/>
          <w:lang w:val="es-MX" w:eastAsia="en-US"/>
        </w:rPr>
      </w:pPr>
      <w:r w:rsidRPr="00C62C95">
        <w:rPr>
          <w:rFonts w:ascii="Palatino Linotype" w:eastAsia="Calibri" w:hAnsi="Palatino Linotype"/>
          <w:noProof/>
          <w:color w:val="000000"/>
          <w:lang w:val="es-MX" w:eastAsia="es-MX"/>
        </w:rPr>
        <w:drawing>
          <wp:inline distT="0" distB="0" distL="0" distR="0" wp14:anchorId="7EC55DBB" wp14:editId="74A9BA4E">
            <wp:extent cx="4564925" cy="1353312"/>
            <wp:effectExtent l="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02478" name="Imagen 606402478"/>
                    <pic:cNvPicPr/>
                  </pic:nvPicPr>
                  <pic:blipFill>
                    <a:blip r:embed="rId10">
                      <a:extLst>
                        <a:ext uri="{28A0092B-C50C-407E-A947-70E740481C1C}">
                          <a14:useLocalDpi xmlns:a14="http://schemas.microsoft.com/office/drawing/2010/main" val="0"/>
                        </a:ext>
                      </a:extLst>
                    </a:blip>
                    <a:stretch>
                      <a:fillRect/>
                    </a:stretch>
                  </pic:blipFill>
                  <pic:spPr>
                    <a:xfrm>
                      <a:off x="0" y="0"/>
                      <a:ext cx="4602291" cy="1364390"/>
                    </a:xfrm>
                    <a:prstGeom prst="rect">
                      <a:avLst/>
                    </a:prstGeom>
                  </pic:spPr>
                </pic:pic>
              </a:graphicData>
            </a:graphic>
          </wp:inline>
        </w:drawing>
      </w:r>
    </w:p>
    <w:p w14:paraId="791746B3"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0D0043EE"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ii) Acta de acuerdos que se levanta con motivo de la primera sesión extraordinaria de 2022 del Comité de Arrendamientos, Adquisiciones de Inmuebles y Enajenaciones, de cuyo orden del día se destacan los siguientes puntos:</w:t>
      </w:r>
    </w:p>
    <w:p w14:paraId="5E3AC186"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0F1F1723" w14:textId="77777777" w:rsidR="00F01B6C" w:rsidRPr="00C62C95" w:rsidRDefault="00F01B6C" w:rsidP="00F01B6C">
      <w:pPr>
        <w:spacing w:line="360" w:lineRule="auto"/>
        <w:ind w:left="567" w:right="616"/>
        <w:jc w:val="center"/>
        <w:rPr>
          <w:rFonts w:ascii="Palatino Linotype" w:eastAsia="Calibri" w:hAnsi="Palatino Linotype"/>
          <w:color w:val="000000"/>
          <w:lang w:val="es-MX" w:eastAsia="en-US"/>
        </w:rPr>
      </w:pPr>
      <w:r w:rsidRPr="00C62C95">
        <w:rPr>
          <w:rFonts w:ascii="Palatino Linotype" w:eastAsia="Calibri" w:hAnsi="Palatino Linotype"/>
          <w:noProof/>
          <w:color w:val="000000"/>
          <w:lang w:val="es-MX" w:eastAsia="es-MX"/>
        </w:rPr>
        <w:lastRenderedPageBreak/>
        <w:drawing>
          <wp:inline distT="0" distB="0" distL="0" distR="0" wp14:anchorId="2E5D276A" wp14:editId="46BDE8B2">
            <wp:extent cx="3847795" cy="2042230"/>
            <wp:effectExtent l="0" t="0" r="63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37974" name="Imagen 1442437974"/>
                    <pic:cNvPicPr/>
                  </pic:nvPicPr>
                  <pic:blipFill>
                    <a:blip r:embed="rId11">
                      <a:extLst>
                        <a:ext uri="{28A0092B-C50C-407E-A947-70E740481C1C}">
                          <a14:useLocalDpi xmlns:a14="http://schemas.microsoft.com/office/drawing/2010/main" val="0"/>
                        </a:ext>
                      </a:extLst>
                    </a:blip>
                    <a:stretch>
                      <a:fillRect/>
                    </a:stretch>
                  </pic:blipFill>
                  <pic:spPr>
                    <a:xfrm>
                      <a:off x="0" y="0"/>
                      <a:ext cx="3858811" cy="2048077"/>
                    </a:xfrm>
                    <a:prstGeom prst="rect">
                      <a:avLst/>
                    </a:prstGeom>
                  </pic:spPr>
                </pic:pic>
              </a:graphicData>
            </a:graphic>
          </wp:inline>
        </w:drawing>
      </w:r>
    </w:p>
    <w:p w14:paraId="36C74AF2"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p>
    <w:p w14:paraId="1692E65B" w14:textId="77777777" w:rsidR="00F01B6C" w:rsidRPr="00C62C95" w:rsidRDefault="00F01B6C" w:rsidP="00F01B6C">
      <w:pPr>
        <w:spacing w:line="360" w:lineRule="auto"/>
        <w:ind w:left="567" w:right="616"/>
        <w:jc w:val="both"/>
        <w:rPr>
          <w:rFonts w:ascii="Palatino Linotype" w:eastAsia="Calibri" w:hAnsi="Palatino Linotype"/>
          <w:color w:val="000000"/>
          <w:lang w:val="es-MX" w:eastAsia="en-US"/>
        </w:rPr>
      </w:pPr>
      <w:r w:rsidRPr="00C62C95">
        <w:rPr>
          <w:rFonts w:ascii="Palatino Linotype" w:eastAsia="Calibri" w:hAnsi="Palatino Linotype"/>
          <w:color w:val="000000"/>
          <w:lang w:val="es-MX" w:eastAsia="en-US"/>
        </w:rPr>
        <w:t xml:space="preserve">iii) Contrato de arrendamiento puro: TLAL/CMTAR/03/01/2022 y anexos. </w:t>
      </w:r>
    </w:p>
    <w:p w14:paraId="735984DC" w14:textId="77777777" w:rsidR="00F01B6C" w:rsidRPr="00C62C95" w:rsidRDefault="00F01B6C" w:rsidP="00F01B6C">
      <w:pPr>
        <w:spacing w:before="100" w:beforeAutospacing="1" w:after="100" w:afterAutospacing="1" w:line="360" w:lineRule="auto"/>
        <w:contextualSpacing/>
        <w:jc w:val="both"/>
        <w:rPr>
          <w:rFonts w:ascii="Palatino Linotype" w:hAnsi="Palatino Linotype"/>
        </w:rPr>
      </w:pPr>
    </w:p>
    <w:p w14:paraId="20913250" w14:textId="44FBF2ED" w:rsidR="000F594E" w:rsidRPr="00C62C95" w:rsidRDefault="00700DF1" w:rsidP="00F01B6C">
      <w:pPr>
        <w:spacing w:line="360" w:lineRule="auto"/>
        <w:jc w:val="both"/>
        <w:rPr>
          <w:rFonts w:ascii="Palatino Linotype" w:hAnsi="Palatino Linotype"/>
          <w:color w:val="000000" w:themeColor="text1"/>
        </w:rPr>
      </w:pPr>
      <w:r w:rsidRPr="00C62C95">
        <w:rPr>
          <w:rFonts w:ascii="Palatino Linotype" w:hAnsi="Palatino Linotype"/>
          <w:color w:val="000000" w:themeColor="text1"/>
        </w:rPr>
        <w:t>Inconforme con la</w:t>
      </w:r>
      <w:r w:rsidR="009F3BD0" w:rsidRPr="00C62C95">
        <w:rPr>
          <w:rFonts w:ascii="Palatino Linotype" w:hAnsi="Palatino Linotype"/>
          <w:color w:val="000000" w:themeColor="text1"/>
        </w:rPr>
        <w:t>s</w:t>
      </w:r>
      <w:r w:rsidRPr="00C62C95">
        <w:rPr>
          <w:rFonts w:ascii="Palatino Linotype" w:hAnsi="Palatino Linotype"/>
          <w:color w:val="000000" w:themeColor="text1"/>
        </w:rPr>
        <w:t xml:space="preserve"> respuesta</w:t>
      </w:r>
      <w:r w:rsidR="009F3BD0" w:rsidRPr="00C62C95">
        <w:rPr>
          <w:rFonts w:ascii="Palatino Linotype" w:hAnsi="Palatino Linotype"/>
          <w:color w:val="000000" w:themeColor="text1"/>
        </w:rPr>
        <w:t>s</w:t>
      </w:r>
      <w:r w:rsidRPr="00C62C95">
        <w:rPr>
          <w:rFonts w:ascii="Palatino Linotype" w:hAnsi="Palatino Linotype"/>
          <w:color w:val="000000" w:themeColor="text1"/>
        </w:rPr>
        <w:t xml:space="preserve"> remitida</w:t>
      </w:r>
      <w:r w:rsidR="009F3BD0" w:rsidRPr="00C62C95">
        <w:rPr>
          <w:rFonts w:ascii="Palatino Linotype" w:hAnsi="Palatino Linotype"/>
          <w:color w:val="000000" w:themeColor="text1"/>
        </w:rPr>
        <w:t>s</w:t>
      </w:r>
      <w:r w:rsidRPr="00C62C95">
        <w:rPr>
          <w:rFonts w:ascii="Palatino Linotype" w:hAnsi="Palatino Linotype"/>
          <w:color w:val="000000" w:themeColor="text1"/>
        </w:rPr>
        <w:t xml:space="preserve"> por el </w:t>
      </w:r>
      <w:r w:rsidRPr="00C62C95">
        <w:rPr>
          <w:rFonts w:ascii="Palatino Linotype" w:hAnsi="Palatino Linotype"/>
          <w:b/>
          <w:color w:val="000000" w:themeColor="text1"/>
        </w:rPr>
        <w:t>SUJETO OBLIGADO</w:t>
      </w:r>
      <w:r w:rsidRPr="00C62C95">
        <w:rPr>
          <w:rFonts w:ascii="Palatino Linotype" w:hAnsi="Palatino Linotype"/>
          <w:color w:val="000000" w:themeColor="text1"/>
        </w:rPr>
        <w:t xml:space="preserve"> </w:t>
      </w:r>
      <w:bookmarkStart w:id="2" w:name="_Hlk94635182"/>
      <w:r w:rsidR="00F10A06" w:rsidRPr="00C62C95">
        <w:rPr>
          <w:rFonts w:ascii="Palatino Linotype" w:hAnsi="Palatino Linotype" w:cs="Arial"/>
          <w:b/>
        </w:rPr>
        <w:t>el</w:t>
      </w:r>
      <w:r w:rsidR="00BD048F" w:rsidRPr="00C62C95">
        <w:rPr>
          <w:rFonts w:ascii="Palatino Linotype" w:hAnsi="Palatino Linotype" w:cs="Arial"/>
          <w:b/>
        </w:rPr>
        <w:t xml:space="preserve"> </w:t>
      </w:r>
      <w:r w:rsidR="00F01B6C" w:rsidRPr="00C62C95">
        <w:rPr>
          <w:rFonts w:ascii="Palatino Linotype" w:hAnsi="Palatino Linotype" w:cs="Arial"/>
          <w:b/>
        </w:rPr>
        <w:t>veintiocho de junio y cinco de julio de dos mil veintidós</w:t>
      </w:r>
      <w:bookmarkEnd w:id="2"/>
      <w:r w:rsidR="00BD048F" w:rsidRPr="00C62C95">
        <w:rPr>
          <w:rFonts w:ascii="Palatino Linotype" w:hAnsi="Palatino Linotype" w:cs="Arial"/>
        </w:rPr>
        <w:t>,</w:t>
      </w:r>
      <w:r w:rsidR="00F10A06" w:rsidRPr="00C62C95">
        <w:rPr>
          <w:rFonts w:ascii="Palatino Linotype" w:hAnsi="Palatino Linotype" w:cs="Arial"/>
        </w:rPr>
        <w:t xml:space="preserve"> se interpusieron los Recursos de Revisión</w:t>
      </w:r>
      <w:r w:rsidRPr="00C62C95">
        <w:rPr>
          <w:rFonts w:ascii="Palatino Linotype" w:hAnsi="Palatino Linotype"/>
          <w:color w:val="000000" w:themeColor="text1"/>
        </w:rPr>
        <w:t xml:space="preserve"> indicando lo siguiente:</w:t>
      </w:r>
    </w:p>
    <w:p w14:paraId="37FDD76B" w14:textId="77777777" w:rsidR="00F01B6C" w:rsidRPr="00C62C95" w:rsidRDefault="00F01B6C" w:rsidP="00F01B6C">
      <w:pPr>
        <w:spacing w:line="360" w:lineRule="auto"/>
        <w:jc w:val="both"/>
        <w:rPr>
          <w:rFonts w:ascii="Palatino Linotype" w:hAnsi="Palatino Linotype"/>
          <w:color w:val="000000" w:themeColor="text1"/>
        </w:rPr>
      </w:pPr>
    </w:p>
    <w:p w14:paraId="06CD6EB0" w14:textId="208076C1" w:rsidR="00F01B6C" w:rsidRPr="00C62C95" w:rsidRDefault="00F01B6C" w:rsidP="00F01B6C">
      <w:pPr>
        <w:spacing w:line="360" w:lineRule="auto"/>
        <w:jc w:val="both"/>
        <w:rPr>
          <w:rFonts w:ascii="Palatino Linotype" w:hAnsi="Palatino Linotype"/>
          <w:b/>
          <w:color w:val="000000" w:themeColor="text1"/>
          <w:lang w:val="es-MX"/>
        </w:rPr>
      </w:pPr>
      <w:r w:rsidRPr="00C62C95">
        <w:rPr>
          <w:rFonts w:ascii="Palatino Linotype" w:hAnsi="Palatino Linotype"/>
          <w:b/>
          <w:color w:val="000000" w:themeColor="text1"/>
          <w:lang w:val="es-MX"/>
        </w:rPr>
        <w:t xml:space="preserve">Recurso de Revisión </w:t>
      </w:r>
      <w:r w:rsidRPr="00C62C95">
        <w:rPr>
          <w:rFonts w:ascii="Palatino Linotype" w:hAnsi="Palatino Linotype"/>
          <w:b/>
          <w:bCs/>
          <w:iCs/>
          <w:color w:val="000000" w:themeColor="text1"/>
          <w:lang w:val="es-MX"/>
        </w:rPr>
        <w:t>12231/INFOEM/IP/RR/2022:</w:t>
      </w:r>
    </w:p>
    <w:p w14:paraId="121C0778" w14:textId="77777777" w:rsidR="00F01B6C" w:rsidRPr="00C62C95" w:rsidRDefault="00F01B6C" w:rsidP="00F01B6C">
      <w:pPr>
        <w:spacing w:line="360" w:lineRule="auto"/>
        <w:jc w:val="both"/>
        <w:rPr>
          <w:rFonts w:ascii="Palatino Linotype" w:hAnsi="Palatino Linotype"/>
          <w:b/>
          <w:color w:val="000000" w:themeColor="text1"/>
          <w:lang w:val="es-MX"/>
        </w:rPr>
      </w:pPr>
    </w:p>
    <w:p w14:paraId="58573C8A" w14:textId="77777777" w:rsidR="00F01B6C" w:rsidRPr="00C62C95" w:rsidRDefault="00F01B6C" w:rsidP="00F01B6C">
      <w:pPr>
        <w:spacing w:line="360" w:lineRule="auto"/>
        <w:ind w:right="567"/>
        <w:jc w:val="both"/>
        <w:rPr>
          <w:rFonts w:ascii="Palatino Linotype" w:eastAsia="Calibri" w:hAnsi="Palatino Linotype"/>
          <w:b/>
          <w:bCs/>
          <w:color w:val="000000"/>
          <w:lang w:val="es-MX" w:eastAsia="en-US"/>
        </w:rPr>
      </w:pPr>
      <w:r w:rsidRPr="00C62C95">
        <w:rPr>
          <w:rFonts w:ascii="Palatino Linotype" w:eastAsia="Calibri" w:hAnsi="Palatino Linotype"/>
          <w:b/>
          <w:bCs/>
          <w:color w:val="000000"/>
          <w:lang w:val="es-MX" w:eastAsia="en-US"/>
        </w:rPr>
        <w:t>Acto impugnado:</w:t>
      </w:r>
    </w:p>
    <w:p w14:paraId="25BA71F2" w14:textId="77777777" w:rsidR="00F01B6C" w:rsidRPr="00C62C95" w:rsidRDefault="00F01B6C" w:rsidP="00F01B6C">
      <w:pPr>
        <w:spacing w:line="360" w:lineRule="auto"/>
        <w:ind w:right="567"/>
        <w:jc w:val="both"/>
        <w:rPr>
          <w:rFonts w:ascii="Palatino Linotype" w:eastAsia="Calibri" w:hAnsi="Palatino Linotype"/>
          <w:b/>
          <w:bCs/>
          <w:color w:val="000000"/>
          <w:lang w:val="es-MX" w:eastAsia="en-US"/>
        </w:rPr>
      </w:pPr>
    </w:p>
    <w:p w14:paraId="04185917" w14:textId="6B16D538" w:rsidR="00F01B6C" w:rsidRPr="00C62C95" w:rsidRDefault="00F01B6C" w:rsidP="00F01B6C">
      <w:pPr>
        <w:tabs>
          <w:tab w:val="left" w:pos="4667"/>
        </w:tabs>
        <w:spacing w:line="360" w:lineRule="auto"/>
        <w:ind w:right="567"/>
        <w:jc w:val="both"/>
        <w:rPr>
          <w:rFonts w:ascii="Palatino Linotype" w:eastAsia="Calibri" w:hAnsi="Palatino Linotype" w:cs="Tahoma"/>
          <w:bCs/>
          <w:i/>
          <w:iCs/>
          <w:color w:val="000000"/>
          <w:lang w:val="es-MX" w:eastAsia="en-US"/>
        </w:rPr>
      </w:pPr>
      <w:r w:rsidRPr="00C62C95">
        <w:rPr>
          <w:rFonts w:ascii="Palatino Linotype" w:eastAsia="Calibri" w:hAnsi="Palatino Linotype"/>
          <w:i/>
          <w:iCs/>
          <w:color w:val="000000"/>
          <w:lang w:val="es-MX" w:eastAsia="en-US"/>
        </w:rPr>
        <w:t>“Información incompleta</w:t>
      </w:r>
      <w:r w:rsidRPr="00C62C95">
        <w:rPr>
          <w:rFonts w:ascii="Palatino Linotype" w:eastAsia="Calibri" w:hAnsi="Palatino Linotype" w:cs="Tahoma"/>
          <w:bCs/>
          <w:i/>
          <w:iCs/>
          <w:color w:val="000000"/>
          <w:lang w:val="es-MX" w:eastAsia="en-US"/>
        </w:rPr>
        <w:t>.” (Sic.)</w:t>
      </w:r>
    </w:p>
    <w:p w14:paraId="56EBC4A4" w14:textId="77777777" w:rsidR="00F01B6C" w:rsidRPr="00C62C95" w:rsidRDefault="00F01B6C" w:rsidP="00F01B6C">
      <w:pPr>
        <w:spacing w:line="360" w:lineRule="auto"/>
        <w:ind w:right="567"/>
        <w:jc w:val="both"/>
        <w:rPr>
          <w:rFonts w:ascii="Palatino Linotype" w:eastAsia="Calibri" w:hAnsi="Palatino Linotype"/>
          <w:i/>
          <w:color w:val="000000"/>
          <w:lang w:val="es-MX" w:eastAsia="en-US"/>
        </w:rPr>
      </w:pPr>
    </w:p>
    <w:p w14:paraId="2DE3B8A5" w14:textId="77777777" w:rsidR="00F01B6C" w:rsidRPr="00C62C95" w:rsidRDefault="00F01B6C" w:rsidP="00F01B6C">
      <w:pPr>
        <w:spacing w:line="360" w:lineRule="auto"/>
        <w:ind w:right="567"/>
        <w:jc w:val="both"/>
        <w:rPr>
          <w:rFonts w:ascii="Palatino Linotype" w:eastAsia="Calibri" w:hAnsi="Palatino Linotype"/>
          <w:b/>
          <w:color w:val="000000"/>
          <w:lang w:val="es-MX" w:eastAsia="en-US"/>
        </w:rPr>
      </w:pPr>
      <w:r w:rsidRPr="00C62C95">
        <w:rPr>
          <w:rFonts w:ascii="Palatino Linotype" w:eastAsia="Calibri" w:hAnsi="Palatino Linotype"/>
          <w:b/>
          <w:color w:val="000000"/>
          <w:lang w:val="es-MX" w:eastAsia="en-US"/>
        </w:rPr>
        <w:t xml:space="preserve">Razones o motivos de inconformidad: </w:t>
      </w:r>
    </w:p>
    <w:p w14:paraId="142F6F74" w14:textId="77777777" w:rsidR="00F01B6C" w:rsidRPr="00C62C95" w:rsidRDefault="00F01B6C" w:rsidP="00F01B6C">
      <w:pPr>
        <w:spacing w:line="360" w:lineRule="auto"/>
        <w:ind w:right="567"/>
        <w:jc w:val="both"/>
        <w:rPr>
          <w:rFonts w:ascii="Palatino Linotype" w:eastAsia="Calibri" w:hAnsi="Palatino Linotype"/>
          <w:b/>
          <w:i/>
          <w:color w:val="000000"/>
          <w:lang w:val="es-MX" w:eastAsia="en-US"/>
        </w:rPr>
      </w:pPr>
    </w:p>
    <w:p w14:paraId="1F74C0EF" w14:textId="2756F117" w:rsidR="00F01B6C" w:rsidRPr="00C62C95" w:rsidRDefault="00F01B6C" w:rsidP="00F01B6C">
      <w:pPr>
        <w:autoSpaceDE w:val="0"/>
        <w:autoSpaceDN w:val="0"/>
        <w:adjustRightInd w:val="0"/>
        <w:spacing w:line="360" w:lineRule="auto"/>
        <w:ind w:right="567"/>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lastRenderedPageBreak/>
        <w:t xml:space="preserve">“En referencia a la información de Comisión de Honor y Justicia hace mención que la Dirección de Seguridad Publica y Transito no cuenta con dicha información solicito se atienda bajo lo siguiente: De conformidad en lo dispuesto por los Artículo 162 de la Ley de Transparencia y Acceso a la Información Pública del Estado de México y Municipios, los cuales establecen lo siguiente: </w:t>
      </w:r>
      <w:r w:rsidRPr="00C62C95">
        <w:rPr>
          <w:rFonts w:ascii="Palatino Linotype" w:eastAsia="Calibri" w:hAnsi="Palatino Linotype"/>
          <w:i/>
          <w:iCs/>
          <w:color w:val="000000"/>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 </w:t>
      </w:r>
    </w:p>
    <w:p w14:paraId="2A2BFE97" w14:textId="77777777" w:rsidR="00F01B6C" w:rsidRPr="00C62C95" w:rsidRDefault="00F01B6C" w:rsidP="00F01B6C">
      <w:pPr>
        <w:spacing w:line="360" w:lineRule="auto"/>
        <w:jc w:val="both"/>
        <w:rPr>
          <w:rFonts w:ascii="Palatino Linotype" w:hAnsi="Palatino Linotype"/>
          <w:color w:val="000000" w:themeColor="text1"/>
        </w:rPr>
      </w:pPr>
    </w:p>
    <w:p w14:paraId="3F2EDA83" w14:textId="0E569202" w:rsidR="00BD048F" w:rsidRPr="00C62C95" w:rsidRDefault="00F01B6C" w:rsidP="00F01B6C">
      <w:pPr>
        <w:spacing w:line="360" w:lineRule="auto"/>
        <w:jc w:val="both"/>
        <w:rPr>
          <w:rFonts w:ascii="Palatino Linotype" w:hAnsi="Palatino Linotype"/>
          <w:b/>
          <w:color w:val="000000" w:themeColor="text1"/>
          <w:lang w:val="es-MX"/>
        </w:rPr>
      </w:pPr>
      <w:r w:rsidRPr="00C62C95">
        <w:rPr>
          <w:rFonts w:ascii="Palatino Linotype" w:hAnsi="Palatino Linotype"/>
          <w:b/>
          <w:color w:val="000000" w:themeColor="text1"/>
          <w:lang w:val="es-MX"/>
        </w:rPr>
        <w:t xml:space="preserve">Recurso de Revisión 12432/INFOEM/IP/RR/2022: </w:t>
      </w:r>
    </w:p>
    <w:p w14:paraId="0B510BCE" w14:textId="77777777" w:rsidR="00F01B6C" w:rsidRPr="00C62C95" w:rsidRDefault="00F01B6C" w:rsidP="00F01B6C">
      <w:pPr>
        <w:spacing w:line="360" w:lineRule="auto"/>
        <w:jc w:val="both"/>
        <w:rPr>
          <w:rFonts w:ascii="Palatino Linotype" w:hAnsi="Palatino Linotype"/>
          <w:b/>
          <w:color w:val="000000" w:themeColor="text1"/>
          <w:lang w:val="es-MX"/>
        </w:rPr>
      </w:pPr>
    </w:p>
    <w:p w14:paraId="1FA0C434" w14:textId="3F16E2F0" w:rsidR="00BD048F" w:rsidRPr="00C62C95" w:rsidRDefault="00BD048F" w:rsidP="00F01B6C">
      <w:pPr>
        <w:spacing w:line="360" w:lineRule="auto"/>
        <w:ind w:right="567"/>
        <w:jc w:val="both"/>
        <w:rPr>
          <w:rFonts w:ascii="Palatino Linotype" w:eastAsia="Calibri" w:hAnsi="Palatino Linotype"/>
          <w:b/>
          <w:bCs/>
          <w:color w:val="000000"/>
          <w:lang w:val="es-MX" w:eastAsia="en-US"/>
        </w:rPr>
      </w:pPr>
      <w:r w:rsidRPr="00C62C95">
        <w:rPr>
          <w:rFonts w:ascii="Palatino Linotype" w:eastAsia="Calibri" w:hAnsi="Palatino Linotype"/>
          <w:b/>
          <w:bCs/>
          <w:color w:val="000000"/>
          <w:lang w:val="es-MX" w:eastAsia="en-US"/>
        </w:rPr>
        <w:t>Acto impugnado:</w:t>
      </w:r>
    </w:p>
    <w:p w14:paraId="56FEE2D6" w14:textId="77777777" w:rsidR="00F01B6C" w:rsidRPr="00C62C95" w:rsidRDefault="00F01B6C" w:rsidP="00F01B6C">
      <w:pPr>
        <w:spacing w:line="360" w:lineRule="auto"/>
        <w:ind w:right="567"/>
        <w:jc w:val="both"/>
        <w:rPr>
          <w:rFonts w:ascii="Palatino Linotype" w:eastAsia="Calibri" w:hAnsi="Palatino Linotype"/>
          <w:b/>
          <w:bCs/>
          <w:color w:val="000000"/>
          <w:lang w:val="es-MX" w:eastAsia="en-US"/>
        </w:rPr>
      </w:pPr>
    </w:p>
    <w:p w14:paraId="6999E86D" w14:textId="44FA7247" w:rsidR="00F01B6C" w:rsidRPr="00C62C95" w:rsidRDefault="00F01B6C" w:rsidP="00F01B6C">
      <w:pPr>
        <w:tabs>
          <w:tab w:val="left" w:pos="4667"/>
        </w:tabs>
        <w:spacing w:line="360" w:lineRule="auto"/>
        <w:ind w:right="567"/>
        <w:jc w:val="both"/>
        <w:rPr>
          <w:rFonts w:ascii="Palatino Linotype" w:eastAsia="Calibri" w:hAnsi="Palatino Linotype" w:cs="Tahoma"/>
          <w:bCs/>
          <w:i/>
          <w:iCs/>
          <w:color w:val="000000"/>
          <w:lang w:val="es-MX" w:eastAsia="en-US"/>
        </w:rPr>
      </w:pPr>
      <w:r w:rsidRPr="00C62C95">
        <w:rPr>
          <w:rFonts w:ascii="Palatino Linotype" w:eastAsia="Calibri" w:hAnsi="Palatino Linotype"/>
          <w:i/>
          <w:iCs/>
          <w:color w:val="000000"/>
          <w:lang w:val="es-MX" w:eastAsia="en-US"/>
        </w:rPr>
        <w:t>“La respuesta a la solicitud de la información esta incompleta</w:t>
      </w:r>
      <w:r w:rsidRPr="00C62C95">
        <w:rPr>
          <w:rFonts w:ascii="Palatino Linotype" w:eastAsia="Calibri" w:hAnsi="Palatino Linotype" w:cs="Tahoma"/>
          <w:bCs/>
          <w:i/>
          <w:iCs/>
          <w:color w:val="000000"/>
          <w:lang w:val="es-MX" w:eastAsia="en-US"/>
        </w:rPr>
        <w:t>.” (Sic.)</w:t>
      </w:r>
    </w:p>
    <w:p w14:paraId="60B1E14D" w14:textId="77777777" w:rsidR="00BD048F" w:rsidRPr="00C62C95" w:rsidRDefault="00BD048F" w:rsidP="00F01B6C">
      <w:pPr>
        <w:spacing w:line="360" w:lineRule="auto"/>
        <w:ind w:right="567"/>
        <w:jc w:val="both"/>
        <w:rPr>
          <w:rFonts w:ascii="Palatino Linotype" w:eastAsia="Calibri" w:hAnsi="Palatino Linotype"/>
          <w:i/>
          <w:color w:val="000000"/>
          <w:lang w:val="es-MX" w:eastAsia="en-US"/>
        </w:rPr>
      </w:pPr>
    </w:p>
    <w:p w14:paraId="16DEA469" w14:textId="133DA6A6" w:rsidR="00BD048F" w:rsidRPr="00C62C95" w:rsidRDefault="00BD048F" w:rsidP="00F01B6C">
      <w:pPr>
        <w:spacing w:line="360" w:lineRule="auto"/>
        <w:ind w:right="567"/>
        <w:jc w:val="both"/>
        <w:rPr>
          <w:rFonts w:ascii="Palatino Linotype" w:eastAsia="Calibri" w:hAnsi="Palatino Linotype"/>
          <w:b/>
          <w:color w:val="000000"/>
          <w:lang w:val="es-MX" w:eastAsia="en-US"/>
        </w:rPr>
      </w:pPr>
      <w:r w:rsidRPr="00C62C95">
        <w:rPr>
          <w:rFonts w:ascii="Palatino Linotype" w:eastAsia="Calibri" w:hAnsi="Palatino Linotype"/>
          <w:b/>
          <w:color w:val="000000"/>
          <w:lang w:val="es-MX" w:eastAsia="en-US"/>
        </w:rPr>
        <w:t xml:space="preserve">Razones o motivos de inconformidad: </w:t>
      </w:r>
    </w:p>
    <w:p w14:paraId="0B1C889F" w14:textId="77777777" w:rsidR="00BD048F" w:rsidRPr="00C62C95" w:rsidRDefault="00BD048F" w:rsidP="00F01B6C">
      <w:pPr>
        <w:spacing w:line="360" w:lineRule="auto"/>
        <w:ind w:right="567"/>
        <w:jc w:val="both"/>
        <w:rPr>
          <w:rFonts w:ascii="Palatino Linotype" w:eastAsia="Calibri" w:hAnsi="Palatino Linotype"/>
          <w:b/>
          <w:i/>
          <w:color w:val="000000"/>
          <w:lang w:val="es-MX" w:eastAsia="en-US"/>
        </w:rPr>
      </w:pPr>
    </w:p>
    <w:p w14:paraId="4956269E" w14:textId="687775F1" w:rsidR="00F01B6C" w:rsidRPr="00C62C95" w:rsidRDefault="00F01B6C" w:rsidP="00F01B6C">
      <w:pPr>
        <w:autoSpaceDE w:val="0"/>
        <w:autoSpaceDN w:val="0"/>
        <w:adjustRightInd w:val="0"/>
        <w:spacing w:line="360" w:lineRule="auto"/>
        <w:ind w:right="567"/>
        <w:jc w:val="both"/>
        <w:rPr>
          <w:rFonts w:ascii="Palatino Linotype" w:eastAsia="Calibri" w:hAnsi="Palatino Linotype"/>
          <w:i/>
          <w:iCs/>
          <w:color w:val="000000"/>
          <w:lang w:val="es-MX" w:eastAsia="en-US"/>
        </w:rPr>
      </w:pPr>
      <w:r w:rsidRPr="00C62C95">
        <w:rPr>
          <w:rFonts w:ascii="Palatino Linotype" w:eastAsia="Calibri" w:hAnsi="Palatino Linotype"/>
          <w:i/>
          <w:iCs/>
          <w:color w:val="000000"/>
          <w:lang w:val="es-MX" w:eastAsia="en-US"/>
        </w:rPr>
        <w:t xml:space="preserve">“No entregan la información completa a la solicitud de los siguientes puntos: 2.- Por concepto del costo total de la adquisición y/o arrendamiento de las Ambulancias adquiridas en la presente administración 2022-2024 y si se trata de arredramiento solicito los Convenios celebrados, facturas, contratos celebrados Pólizas de cheques. 3.- Por concepto del costo total de la construcción del Arco de la entrada a Tlalmanalco </w:t>
      </w:r>
      <w:r w:rsidRPr="00C62C95">
        <w:rPr>
          <w:rFonts w:ascii="Palatino Linotype" w:eastAsia="Calibri" w:hAnsi="Palatino Linotype"/>
          <w:i/>
          <w:iCs/>
          <w:color w:val="000000"/>
          <w:lang w:val="es-MX" w:eastAsia="en-US"/>
        </w:rPr>
        <w:lastRenderedPageBreak/>
        <w:t xml:space="preserve">sobre la carretera federal México- Cuautla a la altura de Santa solicito los Convenios celebrados, facturas, contratos celebrados Pólizas de cheques. Por otra parte hace mención el Área de Tesorería que se deberá solicitar la información a las Áreas de Administración y Obras Publicas Solicito se atienda bajo lo siguiente: De conformidad en lo dispuesto por los Artículo 162 de la Ley de Transparencia y Acceso a la Información Pública del Estado de México y Municipios, el cual establece lo siguiente: </w:t>
      </w:r>
      <w:r w:rsidRPr="00C62C95">
        <w:rPr>
          <w:rFonts w:ascii="Palatino Linotype" w:eastAsia="Calibri" w:hAnsi="Palatino Linotype"/>
          <w:i/>
          <w:iCs/>
          <w:color w:val="000000"/>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 </w:t>
      </w:r>
    </w:p>
    <w:p w14:paraId="2F837D1B" w14:textId="77777777" w:rsidR="00BD048F" w:rsidRPr="00C62C95" w:rsidRDefault="00BD048F" w:rsidP="00F01B6C">
      <w:pPr>
        <w:spacing w:line="360" w:lineRule="auto"/>
        <w:ind w:right="567"/>
        <w:jc w:val="both"/>
        <w:rPr>
          <w:rFonts w:ascii="Palatino Linotype" w:eastAsia="Calibri" w:hAnsi="Palatino Linotype"/>
          <w:i/>
          <w:color w:val="000000"/>
          <w:lang w:val="es-MX" w:eastAsia="en-US"/>
        </w:rPr>
      </w:pPr>
    </w:p>
    <w:p w14:paraId="01E35B05" w14:textId="7AF56EB6" w:rsidR="00F10A06" w:rsidRPr="00C62C95" w:rsidRDefault="00BB071F" w:rsidP="00F01B6C">
      <w:pPr>
        <w:spacing w:line="360" w:lineRule="auto"/>
        <w:jc w:val="both"/>
        <w:rPr>
          <w:rFonts w:ascii="Palatino Linotype" w:hAnsi="Palatino Linotype"/>
        </w:rPr>
      </w:pPr>
      <w:r w:rsidRPr="00C62C95">
        <w:rPr>
          <w:rFonts w:ascii="Palatino Linotype" w:hAnsi="Palatino Linotype"/>
        </w:rPr>
        <w:t>P</w:t>
      </w:r>
      <w:r w:rsidR="00615B7E" w:rsidRPr="00C62C95">
        <w:rPr>
          <w:rFonts w:ascii="Palatino Linotype" w:hAnsi="Palatino Linotype"/>
        </w:rPr>
        <w:t>revio estudio</w:t>
      </w:r>
      <w:r w:rsidRPr="00C62C95">
        <w:rPr>
          <w:rFonts w:ascii="Palatino Linotype" w:hAnsi="Palatino Linotype"/>
        </w:rPr>
        <w:t>,</w:t>
      </w:r>
      <w:r w:rsidRPr="00C62C95">
        <w:rPr>
          <w:rFonts w:ascii="Palatino Linotype" w:hAnsi="Palatino Linotype"/>
          <w:b/>
        </w:rPr>
        <w:t xml:space="preserve"> </w:t>
      </w:r>
      <w:r w:rsidR="00F47FB5" w:rsidRPr="00C62C95">
        <w:rPr>
          <w:rFonts w:ascii="Palatino Linotype" w:hAnsi="Palatino Linotype"/>
        </w:rPr>
        <w:t>la resolución determina</w:t>
      </w:r>
      <w:r w:rsidR="00F10A06" w:rsidRPr="00C62C95">
        <w:rPr>
          <w:rFonts w:ascii="Palatino Linotype" w:hAnsi="Palatino Linotype"/>
        </w:rPr>
        <w:t xml:space="preserve"> </w:t>
      </w:r>
      <w:r w:rsidR="000F594E" w:rsidRPr="00C62C95">
        <w:rPr>
          <w:rFonts w:ascii="Palatino Linotype" w:eastAsia="Calibri" w:hAnsi="Palatino Linotype" w:cs="Arial"/>
        </w:rPr>
        <w:t>s</w:t>
      </w:r>
      <w:r w:rsidR="00F10A06" w:rsidRPr="00C62C95">
        <w:rPr>
          <w:rFonts w:ascii="Palatino Linotype" w:eastAsia="Calibri" w:hAnsi="Palatino Linotype" w:cs="Arial"/>
        </w:rPr>
        <w:t xml:space="preserve">e </w:t>
      </w:r>
      <w:r w:rsidR="009F3BD0" w:rsidRPr="00C62C95">
        <w:rPr>
          <w:rFonts w:ascii="Palatino Linotype" w:eastAsia="Calibri" w:hAnsi="Palatino Linotype" w:cs="Arial"/>
          <w:b/>
        </w:rPr>
        <w:t>MO</w:t>
      </w:r>
      <w:r w:rsidR="006F04CC" w:rsidRPr="00C62C95">
        <w:rPr>
          <w:rFonts w:ascii="Palatino Linotype" w:eastAsia="Calibri" w:hAnsi="Palatino Linotype" w:cs="Arial"/>
          <w:b/>
        </w:rPr>
        <w:t>DIFICAR</w:t>
      </w:r>
      <w:r w:rsidR="00F10A06" w:rsidRPr="00C62C95">
        <w:rPr>
          <w:rFonts w:ascii="Palatino Linotype" w:eastAsia="Calibri" w:hAnsi="Palatino Linotype" w:cs="Arial"/>
          <w:b/>
        </w:rPr>
        <w:t xml:space="preserve"> </w:t>
      </w:r>
      <w:r w:rsidR="000F594E" w:rsidRPr="00C62C95">
        <w:rPr>
          <w:rFonts w:ascii="Palatino Linotype" w:eastAsia="Calibri" w:hAnsi="Palatino Linotype" w:cs="Arial"/>
        </w:rPr>
        <w:t>la</w:t>
      </w:r>
      <w:r w:rsidR="009F3BD0" w:rsidRPr="00C62C95">
        <w:rPr>
          <w:rFonts w:ascii="Palatino Linotype" w:eastAsia="Calibri" w:hAnsi="Palatino Linotype" w:cs="Arial"/>
        </w:rPr>
        <w:t>s</w:t>
      </w:r>
      <w:r w:rsidR="000F594E" w:rsidRPr="00C62C95">
        <w:rPr>
          <w:rFonts w:ascii="Palatino Linotype" w:eastAsia="Calibri" w:hAnsi="Palatino Linotype" w:cs="Arial"/>
        </w:rPr>
        <w:t xml:space="preserve"> respuesta</w:t>
      </w:r>
      <w:r w:rsidR="009F3BD0" w:rsidRPr="00C62C95">
        <w:rPr>
          <w:rFonts w:ascii="Palatino Linotype" w:eastAsia="Calibri" w:hAnsi="Palatino Linotype" w:cs="Arial"/>
        </w:rPr>
        <w:t>s</w:t>
      </w:r>
      <w:r w:rsidR="00F10A06" w:rsidRPr="00C62C95">
        <w:rPr>
          <w:rFonts w:ascii="Palatino Linotype" w:eastAsia="Calibri" w:hAnsi="Palatino Linotype" w:cs="Arial"/>
        </w:rPr>
        <w:t xml:space="preserve"> proporcionadas por </w:t>
      </w:r>
      <w:r w:rsidR="00F10A06" w:rsidRPr="00C62C95">
        <w:rPr>
          <w:rFonts w:ascii="Palatino Linotype" w:hAnsi="Palatino Linotype"/>
        </w:rPr>
        <w:t xml:space="preserve">el </w:t>
      </w:r>
      <w:r w:rsidR="00F10A06" w:rsidRPr="00C62C95">
        <w:rPr>
          <w:rFonts w:ascii="Palatino Linotype" w:hAnsi="Palatino Linotype"/>
          <w:b/>
        </w:rPr>
        <w:t xml:space="preserve">Ayuntamiento de </w:t>
      </w:r>
      <w:r w:rsidR="009F3BD0" w:rsidRPr="00C62C95">
        <w:rPr>
          <w:rFonts w:ascii="Palatino Linotype" w:hAnsi="Palatino Linotype"/>
          <w:b/>
        </w:rPr>
        <w:t>Tlalmanalco</w:t>
      </w:r>
      <w:r w:rsidR="009F3BD0" w:rsidRPr="00C62C95">
        <w:rPr>
          <w:rFonts w:ascii="Palatino Linotype" w:hAnsi="Palatino Linotype"/>
        </w:rPr>
        <w:t xml:space="preserve"> </w:t>
      </w:r>
      <w:r w:rsidR="00F10A06" w:rsidRPr="00C62C95">
        <w:rPr>
          <w:rFonts w:ascii="Palatino Linotype" w:hAnsi="Palatino Linotype"/>
        </w:rPr>
        <w:t xml:space="preserve">y </w:t>
      </w:r>
      <w:r w:rsidR="000F594E" w:rsidRPr="00C62C95">
        <w:rPr>
          <w:rFonts w:ascii="Palatino Linotype" w:hAnsi="Palatino Linotype"/>
        </w:rPr>
        <w:t xml:space="preserve"> se </w:t>
      </w:r>
      <w:r w:rsidR="000F594E" w:rsidRPr="00C62C95">
        <w:rPr>
          <w:rFonts w:ascii="Palatino Linotype" w:hAnsi="Palatino Linotype"/>
          <w:b/>
        </w:rPr>
        <w:t xml:space="preserve">ORDENA </w:t>
      </w:r>
      <w:r w:rsidR="00F10A06" w:rsidRPr="00C62C95">
        <w:rPr>
          <w:rFonts w:ascii="Palatino Linotype" w:hAnsi="Palatino Linotype"/>
        </w:rPr>
        <w:t xml:space="preserve">haga entrega a </w:t>
      </w:r>
      <w:r w:rsidR="00F10A06" w:rsidRPr="00C62C95">
        <w:rPr>
          <w:rFonts w:ascii="Palatino Linotype" w:hAnsi="Palatino Linotype"/>
          <w:b/>
        </w:rPr>
        <w:t>LA RECURRENTE</w:t>
      </w:r>
      <w:r w:rsidR="00F10A06" w:rsidRPr="00C62C95">
        <w:rPr>
          <w:rFonts w:ascii="Palatino Linotype" w:hAnsi="Palatino Linotype"/>
        </w:rPr>
        <w:t>, vía el Sistema de Acceso a la Información Mexiquense (SAIMEX</w:t>
      </w:r>
      <w:r w:rsidR="000F594E" w:rsidRPr="00C62C95">
        <w:rPr>
          <w:rFonts w:ascii="Palatino Linotype" w:hAnsi="Palatino Linotype"/>
        </w:rPr>
        <w:t>)</w:t>
      </w:r>
      <w:r w:rsidR="00F10A06" w:rsidRPr="00C62C95">
        <w:rPr>
          <w:rFonts w:ascii="Palatino Linotype" w:hAnsi="Palatino Linotype"/>
        </w:rPr>
        <w:t xml:space="preserve">, </w:t>
      </w:r>
      <w:r w:rsidR="009F3BD0" w:rsidRPr="00C62C95">
        <w:rPr>
          <w:rFonts w:ascii="Palatino Linotype" w:hAnsi="Palatino Linotype"/>
        </w:rPr>
        <w:t xml:space="preserve">previa búsqueda exhaustiva, </w:t>
      </w:r>
      <w:r w:rsidR="00F10A06" w:rsidRPr="00C62C95">
        <w:rPr>
          <w:rFonts w:ascii="Palatino Linotype" w:hAnsi="Palatino Linotype"/>
        </w:rPr>
        <w:t xml:space="preserve">en versión </w:t>
      </w:r>
      <w:r w:rsidR="000F594E" w:rsidRPr="00C62C95">
        <w:rPr>
          <w:rFonts w:ascii="Palatino Linotype" w:hAnsi="Palatino Linotype"/>
        </w:rPr>
        <w:t>pública</w:t>
      </w:r>
      <w:r w:rsidR="00F10A06" w:rsidRPr="00C62C95">
        <w:rPr>
          <w:rFonts w:ascii="Palatino Linotype" w:hAnsi="Palatino Linotype"/>
        </w:rPr>
        <w:t>, lo siguiente:</w:t>
      </w:r>
    </w:p>
    <w:p w14:paraId="33590214" w14:textId="77777777" w:rsidR="009F3BD0" w:rsidRPr="00C62C95" w:rsidRDefault="009F3BD0" w:rsidP="009F3BD0">
      <w:pPr>
        <w:widowControl w:val="0"/>
        <w:tabs>
          <w:tab w:val="left" w:pos="1701"/>
          <w:tab w:val="left" w:pos="1843"/>
        </w:tabs>
        <w:spacing w:line="360" w:lineRule="auto"/>
        <w:ind w:right="616"/>
        <w:jc w:val="both"/>
        <w:rPr>
          <w:rFonts w:ascii="Palatino Linotype" w:eastAsia="Palatino Linotype" w:hAnsi="Palatino Linotype" w:cs="Palatino Linotype"/>
          <w:bCs/>
          <w:i/>
          <w:color w:val="000000"/>
        </w:rPr>
      </w:pPr>
    </w:p>
    <w:p w14:paraId="78B18C22" w14:textId="0F48FAE8" w:rsidR="009F3BD0" w:rsidRPr="00C62C95" w:rsidRDefault="009F3BD0" w:rsidP="009F3BD0">
      <w:pPr>
        <w:widowControl w:val="0"/>
        <w:tabs>
          <w:tab w:val="left" w:pos="1701"/>
          <w:tab w:val="left" w:pos="1843"/>
        </w:tabs>
        <w:spacing w:line="360" w:lineRule="auto"/>
        <w:ind w:left="993" w:right="616" w:hanging="426"/>
        <w:jc w:val="both"/>
        <w:rPr>
          <w:rFonts w:ascii="Palatino Linotype" w:eastAsia="Palatino Linotype" w:hAnsi="Palatino Linotype" w:cs="Palatino Linotype"/>
          <w:bCs/>
          <w:i/>
          <w:color w:val="000000"/>
        </w:rPr>
      </w:pPr>
      <w:r w:rsidRPr="00C62C95">
        <w:rPr>
          <w:rFonts w:ascii="Palatino Linotype" w:eastAsia="Palatino Linotype" w:hAnsi="Palatino Linotype" w:cs="Palatino Linotype"/>
          <w:bCs/>
          <w:i/>
          <w:color w:val="000000"/>
        </w:rPr>
        <w:t>“a)</w:t>
      </w:r>
      <w:r w:rsidRPr="00C62C95">
        <w:rPr>
          <w:rFonts w:ascii="Palatino Linotype" w:eastAsia="Palatino Linotype" w:hAnsi="Palatino Linotype" w:cs="Palatino Linotype"/>
          <w:bCs/>
          <w:i/>
          <w:color w:val="000000"/>
        </w:rPr>
        <w:tab/>
        <w:t>Los Contratos, convenios, facturas y pólizas con las que contará al diecisiete de junio de dos mil veintidós, de la adquisición de ambulancias referidas en informe Justificado y de la construcción del Arco de la entrada a Tlalmanalco sobre la carretera federal México- Cuautla, y</w:t>
      </w:r>
    </w:p>
    <w:p w14:paraId="4E59F082" w14:textId="77777777" w:rsidR="009F3BD0" w:rsidRPr="00C62C95" w:rsidRDefault="009F3BD0" w:rsidP="009F3BD0">
      <w:pPr>
        <w:widowControl w:val="0"/>
        <w:tabs>
          <w:tab w:val="left" w:pos="1701"/>
          <w:tab w:val="left" w:pos="1843"/>
        </w:tabs>
        <w:spacing w:line="360" w:lineRule="auto"/>
        <w:ind w:left="567" w:right="616"/>
        <w:jc w:val="both"/>
        <w:rPr>
          <w:rFonts w:ascii="Palatino Linotype" w:eastAsia="Palatino Linotype" w:hAnsi="Palatino Linotype" w:cs="Palatino Linotype"/>
          <w:bCs/>
          <w:i/>
          <w:color w:val="000000"/>
        </w:rPr>
      </w:pPr>
    </w:p>
    <w:p w14:paraId="2662FCF3" w14:textId="714F8271" w:rsidR="00F10A06" w:rsidRPr="00C62C95" w:rsidRDefault="009F3BD0" w:rsidP="009F3BD0">
      <w:pPr>
        <w:widowControl w:val="0"/>
        <w:tabs>
          <w:tab w:val="left" w:pos="1701"/>
          <w:tab w:val="left" w:pos="1843"/>
        </w:tabs>
        <w:spacing w:line="360" w:lineRule="auto"/>
        <w:ind w:left="851" w:right="616" w:hanging="284"/>
        <w:jc w:val="both"/>
        <w:rPr>
          <w:rFonts w:ascii="Palatino Linotype" w:eastAsia="Palatino Linotype" w:hAnsi="Palatino Linotype" w:cs="Palatino Linotype"/>
          <w:bCs/>
          <w:i/>
          <w:color w:val="000000"/>
        </w:rPr>
      </w:pPr>
      <w:r w:rsidRPr="00C62C95">
        <w:rPr>
          <w:rFonts w:ascii="Palatino Linotype" w:eastAsia="Palatino Linotype" w:hAnsi="Palatino Linotype" w:cs="Palatino Linotype"/>
          <w:bCs/>
          <w:i/>
          <w:color w:val="000000"/>
        </w:rPr>
        <w:t>a)</w:t>
      </w:r>
      <w:r w:rsidRPr="00C62C95">
        <w:rPr>
          <w:rFonts w:ascii="Palatino Linotype" w:eastAsia="Palatino Linotype" w:hAnsi="Palatino Linotype" w:cs="Palatino Linotype"/>
          <w:bCs/>
          <w:i/>
          <w:color w:val="000000"/>
        </w:rPr>
        <w:tab/>
        <w:t>El Acta de la última Sesión celebrada por la Comisión de Honor y Justicia, al dos de junio de dos mil veintidós. “ (Sic)</w:t>
      </w:r>
    </w:p>
    <w:p w14:paraId="3850D54F" w14:textId="77777777" w:rsidR="00C242A7" w:rsidRPr="00C62C95" w:rsidRDefault="00C242A7" w:rsidP="00F01B6C">
      <w:pPr>
        <w:spacing w:before="100" w:beforeAutospacing="1" w:after="100" w:afterAutospacing="1" w:line="360" w:lineRule="auto"/>
        <w:jc w:val="both"/>
        <w:rPr>
          <w:rFonts w:ascii="Palatino Linotype" w:eastAsia="Calibri" w:hAnsi="Palatino Linotype" w:cs="Tahoma"/>
          <w:bCs/>
          <w:lang w:eastAsia="en-US"/>
        </w:rPr>
      </w:pPr>
      <w:r w:rsidRPr="00C62C95">
        <w:rPr>
          <w:rFonts w:ascii="Palatino Linotype" w:eastAsia="Calibri" w:hAnsi="Palatino Linotype" w:cs="Tahoma"/>
          <w:bCs/>
          <w:lang w:eastAsia="en-US"/>
        </w:rPr>
        <w:lastRenderedPageBreak/>
        <w:t>En este sentido se determinó que los documentos que colman la solicitud, pueden contener el nombre y cargo de los elementos operativos del área de seguridad pública del Sujeto Obligado, por ello, por lo que se determinó que estos deben ser clasificados como reservados y, se ordenó la entrega de la información en versión pública, así como el acuerdo de clasificación emitido por el Comité de Transparencia.</w:t>
      </w:r>
    </w:p>
    <w:p w14:paraId="32E63E53" w14:textId="149137BE" w:rsidR="00C242A7" w:rsidRPr="00C62C95" w:rsidRDefault="00C242A7" w:rsidP="00F01B6C">
      <w:pPr>
        <w:spacing w:before="100" w:beforeAutospacing="1" w:after="100" w:afterAutospacing="1" w:line="360" w:lineRule="auto"/>
        <w:jc w:val="both"/>
        <w:rPr>
          <w:rFonts w:ascii="Palatino Linotype" w:eastAsia="Calibri" w:hAnsi="Palatino Linotype" w:cs="Tahoma"/>
          <w:bCs/>
          <w:lang w:eastAsia="en-US"/>
        </w:rPr>
      </w:pPr>
      <w:r w:rsidRPr="00C62C95">
        <w:rPr>
          <w:rFonts w:ascii="Palatino Linotype" w:eastAsia="Calibri" w:hAnsi="Palatino Linotype" w:cs="Tahoma"/>
          <w:bCs/>
          <w:lang w:eastAsia="en-US"/>
        </w:rPr>
        <w:t>Si bien, se comparten los términos generales planteados en la Resolución, así como con la reserva del nombre de aquellos servidores públicos que realizan funciones de seguridad pública, no se acompaña la clasificación del cargo de los elementos operativos.</w:t>
      </w:r>
    </w:p>
    <w:p w14:paraId="65A070DB" w14:textId="0601E298" w:rsidR="006F62BA" w:rsidRPr="00C62C95" w:rsidRDefault="00C242A7" w:rsidP="00F01B6C">
      <w:pPr>
        <w:spacing w:before="100" w:beforeAutospacing="1" w:after="100" w:afterAutospacing="1" w:line="360" w:lineRule="auto"/>
        <w:jc w:val="both"/>
        <w:rPr>
          <w:rFonts w:ascii="Palatino Linotype" w:eastAsia="Calibri" w:hAnsi="Palatino Linotype" w:cs="Tahoma"/>
          <w:bCs/>
          <w:lang w:eastAsia="en-US"/>
        </w:rPr>
      </w:pPr>
      <w:r w:rsidRPr="00C62C95">
        <w:rPr>
          <w:rFonts w:ascii="Palatino Linotype" w:eastAsia="Calibri" w:hAnsi="Palatino Linotype" w:cs="Tahoma"/>
          <w:bCs/>
          <w:lang w:eastAsia="en-US"/>
        </w:rPr>
        <w:t xml:space="preserve">Se indica que </w:t>
      </w:r>
      <w:r w:rsidR="006F62BA" w:rsidRPr="00C62C95">
        <w:rPr>
          <w:rFonts w:ascii="Palatino Linotype" w:eastAsia="Calibri" w:hAnsi="Palatino Linotype" w:cs="Tahoma"/>
          <w:bCs/>
          <w:lang w:eastAsia="en-US"/>
        </w:rPr>
        <w:t xml:space="preserve"> dar a conocer el nombre y cargo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w:t>
      </w:r>
      <w:r w:rsidR="006F62BA" w:rsidRPr="00C62C95">
        <w:rPr>
          <w:rFonts w:ascii="Palatino Linotype" w:eastAsia="Calibri" w:hAnsi="Palatino Linotype" w:cs="Tahoma"/>
          <w:bCs/>
          <w:lang w:eastAsia="en-US"/>
        </w:rPr>
        <w:lastRenderedPageBreak/>
        <w:t>a inhibir o entrometerse en las funciones de los policías municipales, lo cual causaría una vulneración a la seguridad municipal.</w:t>
      </w:r>
    </w:p>
    <w:p w14:paraId="4CCF1C13" w14:textId="77777777" w:rsidR="00F10A06" w:rsidRPr="00C62C95" w:rsidRDefault="00FA363C" w:rsidP="00F01B6C">
      <w:pPr>
        <w:spacing w:before="100" w:beforeAutospacing="1" w:after="100" w:afterAutospacing="1" w:line="360" w:lineRule="auto"/>
        <w:jc w:val="both"/>
        <w:rPr>
          <w:rFonts w:ascii="Palatino Linotype" w:hAnsi="Palatino Linotype"/>
        </w:rPr>
      </w:pPr>
      <w:r w:rsidRPr="00C62C95">
        <w:rPr>
          <w:rFonts w:ascii="Palatino Linotype" w:hAnsi="Palatino Linotype"/>
        </w:rPr>
        <w:t>Por lo que determina</w:t>
      </w:r>
      <w:r w:rsidR="00700DF1" w:rsidRPr="00C62C95">
        <w:rPr>
          <w:rFonts w:ascii="Palatino Linotype" w:hAnsi="Palatino Linotype"/>
        </w:rPr>
        <w:t xml:space="preserve"> la clasificación de los nombres y cargos de los servidores públicos de seguridad pública, la cual procederá en aquellos servidores públicos que realicen funciones operativas y/o sustantivas como lo es la investigación y persecución de delitos en s</w:t>
      </w:r>
      <w:r w:rsidR="00F10A06" w:rsidRPr="00C62C95">
        <w:rPr>
          <w:rFonts w:ascii="Palatino Linotype" w:hAnsi="Palatino Linotype"/>
        </w:rPr>
        <w:t xml:space="preserve">us diferentes manifestaciones. </w:t>
      </w:r>
    </w:p>
    <w:p w14:paraId="60005828" w14:textId="37EDB2CD" w:rsidR="006F62BA" w:rsidRPr="00C62C95" w:rsidRDefault="006F62BA" w:rsidP="00F01B6C">
      <w:pPr>
        <w:spacing w:before="100" w:beforeAutospacing="1" w:after="100" w:afterAutospacing="1" w:line="360" w:lineRule="auto"/>
        <w:jc w:val="both"/>
        <w:rPr>
          <w:rFonts w:ascii="Palatino Linotype" w:hAnsi="Palatino Linotype"/>
        </w:rPr>
      </w:pPr>
      <w:r w:rsidRPr="00C62C95">
        <w:rPr>
          <w:rFonts w:ascii="Palatino Linotype" w:hAnsi="Palatino Linotype"/>
        </w:rPr>
        <w:t>Sin embargo, si bien este Instituto ha sostenido la clasificación del nombre de aquellos servidores públicos que realizan funciones operativas en materia de seguridad pública</w:t>
      </w:r>
      <w:r w:rsidR="003A3E61" w:rsidRPr="00C62C95">
        <w:rPr>
          <w:rFonts w:ascii="Palatino Linotype" w:hAnsi="Palatino Linotype"/>
        </w:rPr>
        <w:t xml:space="preserve">, </w:t>
      </w:r>
      <w:r w:rsidRPr="00C62C95">
        <w:rPr>
          <w:rFonts w:ascii="Palatino Linotype" w:hAnsi="Palatino Linotype"/>
          <w:b/>
        </w:rPr>
        <w:t>n</w:t>
      </w:r>
      <w:r w:rsidR="005C4513" w:rsidRPr="00C62C95">
        <w:rPr>
          <w:rFonts w:ascii="Palatino Linotype" w:hAnsi="Palatino Linotype"/>
          <w:b/>
        </w:rPr>
        <w:t xml:space="preserve">o se comparte que se clasifique como reservado el  </w:t>
      </w:r>
      <w:r w:rsidRPr="00C62C95">
        <w:rPr>
          <w:rFonts w:ascii="Palatino Linotype" w:hAnsi="Palatino Linotype"/>
          <w:b/>
        </w:rPr>
        <w:t>cargo de los elementos operativos de la Dirección de Seguridad Pública,</w:t>
      </w:r>
      <w:r w:rsidRPr="00C62C95">
        <w:rPr>
          <w:rFonts w:ascii="Palatino Linotype" w:hAnsi="Palatino Linotype"/>
        </w:rPr>
        <w:t xml:space="preserve"> </w:t>
      </w:r>
      <w:r w:rsidR="005C4513" w:rsidRPr="00C62C95">
        <w:rPr>
          <w:rFonts w:ascii="Palatino Linotype" w:hAnsi="Palatino Linotype"/>
        </w:rPr>
        <w:t xml:space="preserve"> </w:t>
      </w:r>
      <w:r w:rsidRPr="00C62C95">
        <w:rPr>
          <w:rFonts w:ascii="Palatino Linotype" w:hAnsi="Palatino Linotype"/>
        </w:rPr>
        <w:t>ya que no se aprecia</w:t>
      </w:r>
      <w:r w:rsidR="008A67F1" w:rsidRPr="00C62C95">
        <w:rPr>
          <w:rFonts w:ascii="Palatino Linotype" w:hAnsi="Palatino Linotype"/>
        </w:rPr>
        <w:t xml:space="preserve"> ni justifica legalmente en la resolución</w:t>
      </w:r>
      <w:r w:rsidRPr="00C62C95">
        <w:rPr>
          <w:rFonts w:ascii="Palatino Linotype" w:hAnsi="Palatino Linotype"/>
        </w:rPr>
        <w:t xml:space="preserve"> la razón por la que la entrega de dicha información los </w:t>
      </w:r>
      <w:r w:rsidR="008A67F1" w:rsidRPr="00C62C95">
        <w:rPr>
          <w:rFonts w:ascii="Palatino Linotype" w:hAnsi="Palatino Linotype"/>
        </w:rPr>
        <w:t>haga</w:t>
      </w:r>
      <w:r w:rsidRPr="00C62C95">
        <w:rPr>
          <w:rFonts w:ascii="Palatino Linotype" w:hAnsi="Palatino Linotype"/>
        </w:rPr>
        <w:t xml:space="preserve"> identificables, ni las razones por las que se podría  poner en riesgo su vida e integridad</w:t>
      </w:r>
      <w:r w:rsidR="000625B1" w:rsidRPr="00C62C95">
        <w:rPr>
          <w:rFonts w:ascii="Palatino Linotype" w:hAnsi="Palatino Linotype"/>
        </w:rPr>
        <w:t>, ni de qué forma dicha información comprometa la seguridad pública del Municipio.</w:t>
      </w:r>
    </w:p>
    <w:p w14:paraId="27697657" w14:textId="77777777" w:rsidR="006F62BA" w:rsidRPr="00C62C95" w:rsidRDefault="006F62BA" w:rsidP="00F01B6C">
      <w:pPr>
        <w:pStyle w:val="Prrafodelista"/>
        <w:tabs>
          <w:tab w:val="left" w:pos="851"/>
        </w:tabs>
        <w:spacing w:line="360" w:lineRule="auto"/>
        <w:ind w:left="0" w:right="49"/>
        <w:jc w:val="both"/>
        <w:rPr>
          <w:rFonts w:ascii="Palatino Linotype" w:hAnsi="Palatino Linotype"/>
        </w:rPr>
      </w:pPr>
    </w:p>
    <w:p w14:paraId="5672C774" w14:textId="0FFAE0FA" w:rsidR="005C4513" w:rsidRPr="00C62C95" w:rsidRDefault="00F10A06" w:rsidP="00F01B6C">
      <w:pPr>
        <w:pStyle w:val="Prrafodelista"/>
        <w:tabs>
          <w:tab w:val="left" w:pos="284"/>
        </w:tabs>
        <w:spacing w:line="360" w:lineRule="auto"/>
        <w:ind w:left="0"/>
        <w:jc w:val="both"/>
        <w:rPr>
          <w:rFonts w:ascii="Palatino Linotype" w:hAnsi="Palatino Linotype" w:cs="Tahoma"/>
        </w:rPr>
      </w:pPr>
      <w:r w:rsidRPr="00C62C95">
        <w:rPr>
          <w:rFonts w:ascii="Palatino Linotype" w:hAnsi="Palatino Linotype" w:cs="Tahoma"/>
        </w:rPr>
        <w:t xml:space="preserve">Tenemos que, la </w:t>
      </w:r>
      <w:r w:rsidR="005C4513" w:rsidRPr="00C62C95">
        <w:rPr>
          <w:rFonts w:ascii="Palatino Linotype" w:hAnsi="Palatino Linotype" w:cs="Tahoma"/>
        </w:rPr>
        <w:t xml:space="preserve">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w:t>
      </w:r>
      <w:r w:rsidR="005C4513" w:rsidRPr="00C62C95">
        <w:rPr>
          <w:rFonts w:ascii="Palatino Linotype" w:hAnsi="Palatino Linotype" w:cs="Tahoma"/>
        </w:rPr>
        <w:lastRenderedPageBreak/>
        <w:t xml:space="preserve">condiciones necesarias para contrarrestar las causas del delito y construir corporaciones policiacas profesionales y capacitadas. </w:t>
      </w:r>
    </w:p>
    <w:p w14:paraId="0C5AA075" w14:textId="77777777" w:rsidR="005C4513" w:rsidRPr="00C62C95" w:rsidRDefault="005C4513" w:rsidP="00F01B6C">
      <w:pPr>
        <w:pStyle w:val="Prrafodelista"/>
        <w:spacing w:line="360" w:lineRule="auto"/>
        <w:ind w:left="0"/>
        <w:jc w:val="both"/>
        <w:rPr>
          <w:rFonts w:ascii="Palatino Linotype" w:hAnsi="Palatino Linotype" w:cs="Tahoma"/>
        </w:rPr>
      </w:pPr>
    </w:p>
    <w:p w14:paraId="0BCA70E3"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705979C5" w14:textId="77777777" w:rsidR="005C4513" w:rsidRPr="00C62C95" w:rsidRDefault="005C4513" w:rsidP="00F01B6C">
      <w:pPr>
        <w:pStyle w:val="Prrafodelista"/>
        <w:spacing w:line="360" w:lineRule="auto"/>
        <w:ind w:left="0"/>
        <w:jc w:val="both"/>
        <w:rPr>
          <w:rFonts w:ascii="Palatino Linotype" w:hAnsi="Palatino Linotype" w:cs="Tahoma"/>
        </w:rPr>
      </w:pPr>
    </w:p>
    <w:p w14:paraId="33A17B72"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Los artículos 21 de la Constitución Política de los Estados Unidos Mexicanos y 86 de la Constitución Política del Estado Libre y Soberano de México, depositan esta función en la federación, las entidades federativas y los municipios, misma que comprenderá la prevención de los delitos; la investigación y persecución para hacerla efectiva, así como la sanción de las infracciones administrativas, en los términos de la ley, en las respectivas competencias. </w:t>
      </w:r>
    </w:p>
    <w:p w14:paraId="55098813" w14:textId="77777777" w:rsidR="005C4513" w:rsidRPr="00C62C95" w:rsidRDefault="005C4513" w:rsidP="00F01B6C">
      <w:pPr>
        <w:pStyle w:val="Prrafodelista"/>
        <w:spacing w:line="360" w:lineRule="auto"/>
        <w:ind w:left="0"/>
        <w:jc w:val="both"/>
        <w:rPr>
          <w:rFonts w:ascii="Palatino Linotype" w:hAnsi="Palatino Linotype" w:cs="Tahoma"/>
        </w:rPr>
      </w:pPr>
    </w:p>
    <w:p w14:paraId="69B61B90"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0A4C5B47" w14:textId="77777777" w:rsidR="005C4513" w:rsidRPr="00C62C95" w:rsidRDefault="005C4513" w:rsidP="00F01B6C">
      <w:pPr>
        <w:pStyle w:val="Prrafodelista"/>
        <w:spacing w:line="360" w:lineRule="auto"/>
        <w:ind w:left="0"/>
        <w:jc w:val="both"/>
        <w:rPr>
          <w:rFonts w:ascii="Palatino Linotype" w:hAnsi="Palatino Linotype" w:cs="Tahoma"/>
        </w:rPr>
      </w:pPr>
    </w:p>
    <w:p w14:paraId="2E565EDA"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4281A38B" w14:textId="77777777" w:rsidR="005C4513" w:rsidRPr="00C62C95" w:rsidRDefault="005C4513" w:rsidP="00F01B6C">
      <w:pPr>
        <w:pStyle w:val="Prrafodelista"/>
        <w:spacing w:line="360" w:lineRule="auto"/>
        <w:ind w:left="0"/>
        <w:jc w:val="both"/>
        <w:rPr>
          <w:rFonts w:ascii="Palatino Linotype" w:hAnsi="Palatino Linotype" w:cs="Tahoma"/>
        </w:rPr>
      </w:pPr>
    </w:p>
    <w:p w14:paraId="026BD6E1"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7E1F1EDF" w14:textId="77777777" w:rsidR="005C4513" w:rsidRPr="00C62C95" w:rsidRDefault="005C4513" w:rsidP="00F01B6C">
      <w:pPr>
        <w:pStyle w:val="Prrafodelista"/>
        <w:spacing w:line="360" w:lineRule="auto"/>
        <w:ind w:left="0"/>
        <w:jc w:val="both"/>
        <w:rPr>
          <w:rFonts w:ascii="Palatino Linotype" w:hAnsi="Palatino Linotype" w:cs="Tahoma"/>
        </w:rPr>
      </w:pPr>
    </w:p>
    <w:p w14:paraId="0AF04681" w14:textId="77777777" w:rsidR="005C4513" w:rsidRPr="00C62C95" w:rsidRDefault="005C4513" w:rsidP="00F01B6C">
      <w:pPr>
        <w:pStyle w:val="Prrafodelista"/>
        <w:spacing w:line="360" w:lineRule="auto"/>
        <w:ind w:left="0"/>
        <w:jc w:val="both"/>
        <w:rPr>
          <w:rFonts w:ascii="Palatino Linotype" w:hAnsi="Palatino Linotype" w:cs="Tahoma"/>
        </w:rPr>
      </w:pPr>
      <w:r w:rsidRPr="00C62C95">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62958033" w14:textId="77777777" w:rsidR="000625B1" w:rsidRPr="00C62C95" w:rsidRDefault="000625B1" w:rsidP="00F01B6C">
      <w:pPr>
        <w:pStyle w:val="Prrafodelista"/>
        <w:spacing w:line="360" w:lineRule="auto"/>
        <w:ind w:left="0"/>
        <w:jc w:val="both"/>
        <w:rPr>
          <w:rFonts w:ascii="Palatino Linotype" w:hAnsi="Palatino Linotype" w:cs="Tahoma"/>
        </w:rPr>
      </w:pPr>
    </w:p>
    <w:p w14:paraId="1CE3427B"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cs="Tahoma"/>
        </w:rPr>
      </w:pPr>
      <w:r w:rsidRPr="00C62C95">
        <w:rPr>
          <w:rFonts w:ascii="Palatino Linotype" w:hAnsi="Palatino Linotype" w:cs="Tahoma"/>
        </w:rPr>
        <w:t>El artículo 2 de la Ley de seguridad del Estado de México indica:</w:t>
      </w:r>
    </w:p>
    <w:p w14:paraId="557A17F6"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rPr>
      </w:pPr>
    </w:p>
    <w:p w14:paraId="49AEC430" w14:textId="77777777" w:rsidR="000625B1" w:rsidRPr="00C62C95" w:rsidRDefault="000625B1" w:rsidP="00F01B6C">
      <w:pPr>
        <w:pStyle w:val="Prrafodelista"/>
        <w:tabs>
          <w:tab w:val="left" w:pos="851"/>
        </w:tabs>
        <w:spacing w:line="360" w:lineRule="auto"/>
        <w:ind w:left="567" w:right="567"/>
        <w:jc w:val="both"/>
        <w:rPr>
          <w:rFonts w:ascii="Palatino Linotype" w:hAnsi="Palatino Linotype"/>
          <w:i/>
        </w:rPr>
      </w:pPr>
      <w:r w:rsidRPr="00C62C95">
        <w:rPr>
          <w:rFonts w:ascii="Palatino Linotype" w:hAnsi="Palatino Linotype"/>
          <w:i/>
        </w:rPr>
        <w:t xml:space="preserve">Artículo 2.-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w:t>
      </w:r>
      <w:r w:rsidRPr="00C62C95">
        <w:rPr>
          <w:rFonts w:ascii="Palatino Linotype" w:hAnsi="Palatino Linotype"/>
          <w:i/>
        </w:rPr>
        <w:lastRenderedPageBreak/>
        <w:t>Ley y demás ordenamientos jurídicos aplicables. 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 Las referencias contenidas en esta Ley en materia de seguridad pública, deberán interpretarse de manera que contribuyan al objeto y fines de la seguridad ciudadana.</w:t>
      </w:r>
    </w:p>
    <w:p w14:paraId="3ECD8639" w14:textId="77777777" w:rsidR="005C4513" w:rsidRPr="00C62C95" w:rsidRDefault="005C4513" w:rsidP="00F01B6C">
      <w:pPr>
        <w:pStyle w:val="Prrafodelista"/>
        <w:spacing w:line="360" w:lineRule="auto"/>
        <w:ind w:left="0"/>
        <w:jc w:val="both"/>
        <w:rPr>
          <w:rFonts w:ascii="Palatino Linotype" w:hAnsi="Palatino Linotype" w:cs="Tahoma"/>
        </w:rPr>
      </w:pPr>
    </w:p>
    <w:p w14:paraId="6DA31DDC" w14:textId="51EA549E" w:rsidR="005C4513" w:rsidRPr="00C62C95" w:rsidRDefault="005C4513" w:rsidP="00F01B6C">
      <w:pPr>
        <w:pStyle w:val="Prrafodelista"/>
        <w:spacing w:line="360" w:lineRule="auto"/>
        <w:ind w:left="0"/>
        <w:jc w:val="both"/>
        <w:rPr>
          <w:rFonts w:ascii="Palatino Linotype" w:hAnsi="Palatino Linotype" w:cs="Tahoma"/>
        </w:rPr>
      </w:pPr>
      <w:bookmarkStart w:id="3" w:name="_Toc88136406"/>
      <w:r w:rsidRPr="00C62C95">
        <w:rPr>
          <w:rFonts w:ascii="Palatino Linotype" w:hAnsi="Palatino Linotype" w:cs="Tahoma"/>
        </w:rPr>
        <w:t>En consecuencia, garantizar la seguridad pública conlleva</w:t>
      </w:r>
      <w:r w:rsidR="006F62BA" w:rsidRPr="00C62C95">
        <w:rPr>
          <w:rFonts w:ascii="Palatino Linotype" w:hAnsi="Palatino Linotype" w:cs="Tahoma"/>
        </w:rPr>
        <w:t xml:space="preserve"> un actuar de forma profesional, responsable y transparente</w:t>
      </w:r>
      <w:r w:rsidRPr="00C62C95">
        <w:rPr>
          <w:rFonts w:ascii="Palatino Linotype" w:hAnsi="Palatino Linotype" w:cs="Tahoma"/>
        </w:rPr>
        <w:t xml:space="preserve"> por lo que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25BD6301" w14:textId="77777777" w:rsidR="005C4513" w:rsidRPr="00C62C95" w:rsidRDefault="005C4513" w:rsidP="00F01B6C">
      <w:pPr>
        <w:pStyle w:val="Prrafodelista"/>
        <w:spacing w:line="360" w:lineRule="auto"/>
        <w:ind w:left="0"/>
        <w:jc w:val="both"/>
        <w:rPr>
          <w:rFonts w:ascii="Palatino Linotype" w:hAnsi="Palatino Linotype" w:cs="Tahoma"/>
        </w:rPr>
      </w:pPr>
    </w:p>
    <w:bookmarkEnd w:id="3"/>
    <w:p w14:paraId="69937DAB" w14:textId="2487CD88" w:rsidR="00A66A81" w:rsidRPr="00C62C95" w:rsidRDefault="000625B1" w:rsidP="00F01B6C">
      <w:pPr>
        <w:tabs>
          <w:tab w:val="left" w:pos="8789"/>
          <w:tab w:val="left" w:pos="9639"/>
          <w:tab w:val="left" w:pos="9923"/>
        </w:tabs>
        <w:spacing w:line="360" w:lineRule="auto"/>
        <w:ind w:right="-425"/>
        <w:jc w:val="both"/>
        <w:rPr>
          <w:rFonts w:ascii="Palatino Linotype" w:hAnsi="Palatino Linotype" w:cs="Tahoma"/>
        </w:rPr>
      </w:pPr>
      <w:r w:rsidRPr="00C62C95">
        <w:rPr>
          <w:rFonts w:ascii="Palatino Linotype" w:hAnsi="Palatino Linotype" w:cs="Tahoma"/>
        </w:rPr>
        <w:t>C</w:t>
      </w:r>
      <w:r w:rsidR="00A66A81" w:rsidRPr="00C62C95">
        <w:rPr>
          <w:rFonts w:ascii="Palatino Linotype" w:hAnsi="Palatino Linotype" w:cs="Tahoma"/>
        </w:rPr>
        <w:t>abe precisar que por disposición legal los integrantes de una institución policial están obligados a identificarse, e incluso las Instituciones de Seguridad Pública emitirán un documento de identificación a cada uno de sus integrantes, lo anterior de conformidad con el artículo 102  de la Ley de Seguridad del Estado de México, que refiere:</w:t>
      </w:r>
    </w:p>
    <w:p w14:paraId="3A209E90" w14:textId="77777777" w:rsidR="00A66A81" w:rsidRPr="00C62C95" w:rsidRDefault="00A66A81" w:rsidP="00F01B6C">
      <w:pPr>
        <w:tabs>
          <w:tab w:val="left" w:pos="8789"/>
          <w:tab w:val="left" w:pos="9639"/>
          <w:tab w:val="left" w:pos="9923"/>
        </w:tabs>
        <w:spacing w:line="360" w:lineRule="auto"/>
        <w:ind w:right="-425"/>
        <w:jc w:val="both"/>
        <w:rPr>
          <w:rFonts w:ascii="Palatino Linotype" w:hAnsi="Palatino Linotype" w:cs="Tahoma"/>
        </w:rPr>
      </w:pPr>
    </w:p>
    <w:p w14:paraId="1BD37D9B"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rPr>
        <w:t xml:space="preserve">Artículo </w:t>
      </w:r>
      <w:r w:rsidRPr="00C62C95">
        <w:rPr>
          <w:rFonts w:ascii="Palatino Linotype" w:hAnsi="Palatino Linotype" w:cs="Tahoma"/>
          <w:i/>
        </w:rPr>
        <w:t xml:space="preserve">102.- Las Instituciones de Seguridad Pública emitirán un documento de identificación a cada uno de sus integrantes, con las características siguientes: </w:t>
      </w:r>
    </w:p>
    <w:p w14:paraId="0F7963A1"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I. Nombre del integrante de la Institución de Seguridad Pública; </w:t>
      </w:r>
    </w:p>
    <w:p w14:paraId="3E3C6183"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II. </w:t>
      </w:r>
      <w:r w:rsidRPr="00C62C95">
        <w:rPr>
          <w:rFonts w:ascii="Palatino Linotype" w:hAnsi="Palatino Linotype" w:cs="Tahoma"/>
          <w:b/>
          <w:i/>
        </w:rPr>
        <w:t>Cargo y nivel jerárquico</w:t>
      </w:r>
      <w:r w:rsidRPr="00C62C95">
        <w:rPr>
          <w:rFonts w:ascii="Palatino Linotype" w:hAnsi="Palatino Linotype" w:cs="Tahoma"/>
          <w:i/>
        </w:rPr>
        <w:t xml:space="preserve">; </w:t>
      </w:r>
    </w:p>
    <w:p w14:paraId="159C0361"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III. Fotografía del integrante debidamente sellada en uno de sus extremos con las protecciones tecnológicas que se implementen para evitar su reproducción ilegal; </w:t>
      </w:r>
    </w:p>
    <w:p w14:paraId="65A9B71C"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IV. Huella digital del integrante de la Institución de Seguridad Pública; </w:t>
      </w:r>
    </w:p>
    <w:p w14:paraId="23AC5E5C"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V. Clave de inscripción en el Registro Nacional de Personal de Seguridad Pública; </w:t>
      </w:r>
    </w:p>
    <w:p w14:paraId="4D6CE41D"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VI. Firma del integrante; </w:t>
      </w:r>
    </w:p>
    <w:p w14:paraId="4BDAFD0B"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VII. Nombre, cargo, nivel jerárquico y firma del servidor público que emite el documento de identificación; y </w:t>
      </w:r>
    </w:p>
    <w:p w14:paraId="14133648"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VIII. En su caso, señalar que el documento de identificación ampara la portación de arma de cargo, precisando los datos de la licencia oficial colectiva, en términos de las disposiciones aplicables. </w:t>
      </w:r>
    </w:p>
    <w:p w14:paraId="2B4026C0" w14:textId="77777777"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p>
    <w:p w14:paraId="1C4BC6C3" w14:textId="40161C15" w:rsidR="00A66A81" w:rsidRPr="00C62C95" w:rsidRDefault="00A66A81" w:rsidP="00F01B6C">
      <w:pPr>
        <w:tabs>
          <w:tab w:val="left" w:pos="8789"/>
          <w:tab w:val="left" w:pos="9639"/>
          <w:tab w:val="left" w:pos="9923"/>
        </w:tabs>
        <w:spacing w:line="360" w:lineRule="auto"/>
        <w:ind w:left="567" w:right="567"/>
        <w:jc w:val="both"/>
        <w:rPr>
          <w:rFonts w:ascii="Palatino Linotype" w:hAnsi="Palatino Linotype" w:cs="Tahoma"/>
          <w:i/>
        </w:rPr>
      </w:pPr>
      <w:r w:rsidRPr="00C62C95">
        <w:rPr>
          <w:rFonts w:ascii="Palatino Linotype" w:hAnsi="Palatino Linotype" w:cs="Tahoma"/>
          <w:i/>
        </w:rPr>
        <w:t xml:space="preserve">Los servidores públicos de las instituciones de seguridad pública tienen la obligación de identificarse, salvo los casos previstos en la Ley, a fin de que el ciudadano se cerciore que cuenta con el registro correspondiente. </w:t>
      </w:r>
    </w:p>
    <w:p w14:paraId="17470D3C" w14:textId="77777777" w:rsidR="00A66A81" w:rsidRPr="00C62C95" w:rsidRDefault="00A66A81" w:rsidP="00F01B6C">
      <w:pPr>
        <w:tabs>
          <w:tab w:val="left" w:pos="8789"/>
          <w:tab w:val="left" w:pos="9639"/>
          <w:tab w:val="left" w:pos="9923"/>
        </w:tabs>
        <w:spacing w:line="360" w:lineRule="auto"/>
        <w:ind w:right="-425"/>
        <w:jc w:val="both"/>
        <w:rPr>
          <w:rFonts w:ascii="Palatino Linotype" w:hAnsi="Palatino Linotype"/>
        </w:rPr>
      </w:pPr>
    </w:p>
    <w:p w14:paraId="6D833269" w14:textId="4D4958A9" w:rsidR="00A66A81" w:rsidRPr="00C62C95" w:rsidRDefault="00A66A81" w:rsidP="00F01B6C">
      <w:pPr>
        <w:tabs>
          <w:tab w:val="left" w:pos="8789"/>
          <w:tab w:val="left" w:pos="9639"/>
          <w:tab w:val="left" w:pos="9923"/>
        </w:tabs>
        <w:spacing w:line="360" w:lineRule="auto"/>
        <w:ind w:right="-425"/>
        <w:jc w:val="both"/>
        <w:rPr>
          <w:rFonts w:ascii="Palatino Linotype" w:hAnsi="Palatino Linotype" w:cs="Tahoma"/>
        </w:rPr>
      </w:pPr>
      <w:r w:rsidRPr="00C62C95">
        <w:rPr>
          <w:rFonts w:ascii="Palatino Linotype" w:hAnsi="Palatino Linotype" w:cs="Tahoma"/>
        </w:rPr>
        <w:lastRenderedPageBreak/>
        <w:t>Constituyendo esta falta de identificación un incumplimiento de las obligaciones de los integrantes de las instituciones de seguridad pública y a la vez una falta administrativa como lo refieren las siguientes disposiciones legales:</w:t>
      </w:r>
    </w:p>
    <w:p w14:paraId="2A696FC4" w14:textId="77777777" w:rsidR="00A66A81" w:rsidRPr="00C62C95" w:rsidRDefault="00A66A81" w:rsidP="00F01B6C">
      <w:pPr>
        <w:tabs>
          <w:tab w:val="left" w:pos="8789"/>
          <w:tab w:val="left" w:pos="9639"/>
          <w:tab w:val="left" w:pos="9923"/>
        </w:tabs>
        <w:spacing w:line="360" w:lineRule="auto"/>
        <w:ind w:right="-425"/>
        <w:jc w:val="both"/>
        <w:rPr>
          <w:rFonts w:ascii="Palatino Linotype" w:hAnsi="Palatino Linotype" w:cs="Tahoma"/>
        </w:rPr>
      </w:pPr>
    </w:p>
    <w:p w14:paraId="45DD7B4F" w14:textId="77777777" w:rsidR="00A66A81" w:rsidRPr="00C62C95" w:rsidRDefault="00A66A81" w:rsidP="00F01B6C">
      <w:pPr>
        <w:autoSpaceDE w:val="0"/>
        <w:autoSpaceDN w:val="0"/>
        <w:adjustRightInd w:val="0"/>
        <w:spacing w:line="360" w:lineRule="auto"/>
        <w:ind w:left="567" w:right="567"/>
        <w:jc w:val="center"/>
        <w:rPr>
          <w:rFonts w:ascii="Palatino Linotype" w:hAnsi="Palatino Linotype" w:cs="Times"/>
          <w:b/>
          <w:i/>
          <w:u w:val="single"/>
        </w:rPr>
      </w:pPr>
      <w:r w:rsidRPr="00C62C95">
        <w:rPr>
          <w:rFonts w:ascii="Palatino Linotype" w:hAnsi="Palatino Linotype" w:cs="Times"/>
          <w:b/>
          <w:i/>
          <w:u w:val="single"/>
        </w:rPr>
        <w:t>Ley de Seguridad del Estado de México:</w:t>
      </w:r>
    </w:p>
    <w:p w14:paraId="3ABB834D" w14:textId="77777777" w:rsidR="00A66A81" w:rsidRPr="00C62C95" w:rsidRDefault="00A66A81" w:rsidP="00F01B6C">
      <w:pPr>
        <w:spacing w:line="360" w:lineRule="auto"/>
        <w:ind w:left="567" w:right="567"/>
        <w:jc w:val="both"/>
        <w:rPr>
          <w:rFonts w:ascii="Palatino Linotype" w:hAnsi="Palatino Linotype" w:cs="Tahoma"/>
        </w:rPr>
      </w:pPr>
    </w:p>
    <w:p w14:paraId="59326BAF"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7E5A0A3D" w14:textId="77777777" w:rsidR="00A66A81" w:rsidRPr="00C62C95" w:rsidRDefault="00A66A81" w:rsidP="00F01B6C">
      <w:pPr>
        <w:spacing w:line="360" w:lineRule="auto"/>
        <w:ind w:left="567" w:right="567"/>
        <w:jc w:val="both"/>
        <w:rPr>
          <w:rFonts w:ascii="Palatino Linotype" w:hAnsi="Palatino Linotype" w:cs="Tahoma"/>
          <w:i/>
        </w:rPr>
      </w:pPr>
    </w:p>
    <w:p w14:paraId="5F47B50D"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5CF9AD54" w14:textId="77777777" w:rsidR="00A66A81" w:rsidRPr="00C62C95" w:rsidRDefault="00A66A81" w:rsidP="00F01B6C">
      <w:pPr>
        <w:spacing w:line="360" w:lineRule="auto"/>
        <w:ind w:left="567" w:right="567"/>
        <w:jc w:val="both"/>
        <w:rPr>
          <w:rFonts w:ascii="Palatino Linotype" w:hAnsi="Palatino Linotype" w:cs="Tahoma"/>
          <w:i/>
        </w:rPr>
      </w:pPr>
    </w:p>
    <w:p w14:paraId="717B6826"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 xml:space="preserve"> B. Obligaciones: </w:t>
      </w:r>
    </w:p>
    <w:p w14:paraId="26576494" w14:textId="77777777" w:rsidR="00A66A81" w:rsidRPr="00C62C95" w:rsidRDefault="00A66A81" w:rsidP="00F01B6C">
      <w:pPr>
        <w:spacing w:line="360" w:lineRule="auto"/>
        <w:ind w:left="567" w:right="567"/>
        <w:jc w:val="both"/>
        <w:rPr>
          <w:rFonts w:ascii="Palatino Linotype" w:hAnsi="Palatino Linotype" w:cs="Tahoma"/>
          <w:i/>
        </w:rPr>
      </w:pPr>
    </w:p>
    <w:p w14:paraId="01BA5577"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I. Generales:</w:t>
      </w:r>
    </w:p>
    <w:p w14:paraId="646D6595" w14:textId="77777777" w:rsidR="00A66A81" w:rsidRPr="00C62C95" w:rsidRDefault="00A66A81" w:rsidP="00F01B6C">
      <w:pPr>
        <w:spacing w:line="360" w:lineRule="auto"/>
        <w:ind w:left="567" w:right="567"/>
        <w:jc w:val="both"/>
        <w:rPr>
          <w:rFonts w:ascii="Palatino Linotype" w:hAnsi="Palatino Linotype" w:cs="Tahoma"/>
          <w:i/>
        </w:rPr>
      </w:pPr>
    </w:p>
    <w:p w14:paraId="53DEFD8A" w14:textId="77777777" w:rsidR="00A66A81" w:rsidRPr="00C62C95" w:rsidRDefault="00A66A81" w:rsidP="00F01B6C">
      <w:pPr>
        <w:spacing w:line="360" w:lineRule="auto"/>
        <w:ind w:left="567" w:right="567"/>
        <w:jc w:val="both"/>
        <w:rPr>
          <w:rFonts w:ascii="Palatino Linotype" w:hAnsi="Palatino Linotype" w:cs="Tahoma"/>
          <w:b/>
          <w:i/>
        </w:rPr>
      </w:pPr>
      <w:r w:rsidRPr="00C62C95">
        <w:rPr>
          <w:rFonts w:ascii="Palatino Linotype" w:hAnsi="Palatino Linotype" w:cs="Tahoma"/>
          <w:b/>
          <w:i/>
        </w:rPr>
        <w:t xml:space="preserve"> a) Conducirse siempre con dedicación y disciplina, así como con apego al orden jurídico y respeto a los derechos humanos reconocidos en la Constitución Federal, en la Constitución Estatal y en los tratados internacionales suscritos por el Estado Mexicano;</w:t>
      </w:r>
    </w:p>
    <w:p w14:paraId="1040347D" w14:textId="77777777" w:rsidR="00CB2F05" w:rsidRPr="00C62C95" w:rsidRDefault="00CB2F05"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112CDDB3" w14:textId="77777777" w:rsidR="00CB2F05" w:rsidRPr="00C62C95" w:rsidRDefault="00CB2F05" w:rsidP="00F01B6C">
      <w:pPr>
        <w:spacing w:line="360" w:lineRule="auto"/>
        <w:ind w:left="567" w:right="567"/>
        <w:jc w:val="both"/>
        <w:rPr>
          <w:rFonts w:ascii="Palatino Linotype" w:hAnsi="Palatino Linotype" w:cs="Tahoma"/>
          <w:b/>
          <w:i/>
        </w:rPr>
      </w:pPr>
    </w:p>
    <w:p w14:paraId="4F695CCA"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t</w:t>
      </w:r>
      <w:r w:rsidRPr="00C62C95">
        <w:rPr>
          <w:rFonts w:ascii="Palatino Linotype" w:hAnsi="Palatino Linotype" w:cs="Tahoma"/>
          <w:b/>
          <w:i/>
        </w:rPr>
        <w:t>) Cumplir y hacer cumplir con diligencia las órdenes que reciban con motivo del desempeño de sus funciones, evitando todo acto u omisión que produzca deficiencia en su cumplimiento</w:t>
      </w:r>
      <w:r w:rsidRPr="00C62C95">
        <w:rPr>
          <w:rFonts w:ascii="Palatino Linotype" w:hAnsi="Palatino Linotype" w:cs="Tahoma"/>
          <w:i/>
        </w:rPr>
        <w:t xml:space="preserve">; </w:t>
      </w:r>
    </w:p>
    <w:p w14:paraId="1AC3995B" w14:textId="77777777" w:rsidR="00A66A81" w:rsidRPr="00C62C95" w:rsidRDefault="00A66A81" w:rsidP="00F01B6C">
      <w:pPr>
        <w:spacing w:line="360" w:lineRule="auto"/>
        <w:ind w:left="567" w:right="567"/>
        <w:jc w:val="both"/>
        <w:rPr>
          <w:rFonts w:ascii="Palatino Linotype" w:hAnsi="Palatino Linotype" w:cs="Tahoma"/>
          <w:i/>
        </w:rPr>
      </w:pPr>
    </w:p>
    <w:p w14:paraId="5CDF07C8"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733A67AF" w14:textId="77777777" w:rsidR="00A66A81" w:rsidRPr="00C62C95" w:rsidRDefault="00A66A81" w:rsidP="00F01B6C">
      <w:pPr>
        <w:spacing w:line="360" w:lineRule="auto"/>
        <w:ind w:left="567" w:right="567"/>
        <w:jc w:val="both"/>
        <w:rPr>
          <w:rFonts w:ascii="Palatino Linotype" w:hAnsi="Palatino Linotype" w:cs="Tahoma"/>
          <w:i/>
        </w:rPr>
      </w:pPr>
    </w:p>
    <w:p w14:paraId="22A89139" w14:textId="77777777"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i/>
        </w:rPr>
        <w:t>IV. Aplicables sólo a los integrantes de las Instituciones Policiales, conforme a las funciones asignadas en la normatividad de cada corporación:</w:t>
      </w:r>
    </w:p>
    <w:p w14:paraId="0A2A5BE2" w14:textId="77777777" w:rsidR="00CB2F05" w:rsidRPr="00C62C95" w:rsidRDefault="00CB2F05"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37D7F9DF" w14:textId="77777777" w:rsidR="00A66A81" w:rsidRPr="00C62C95" w:rsidRDefault="00A66A81" w:rsidP="00F01B6C">
      <w:pPr>
        <w:spacing w:line="360" w:lineRule="auto"/>
        <w:ind w:left="567" w:right="567"/>
        <w:jc w:val="both"/>
        <w:rPr>
          <w:rFonts w:ascii="Palatino Linotype" w:hAnsi="Palatino Linotype" w:cs="Tahoma"/>
          <w:i/>
        </w:rPr>
      </w:pPr>
    </w:p>
    <w:p w14:paraId="31FE9A22" w14:textId="3161BFE0" w:rsidR="00A66A81" w:rsidRPr="00C62C95" w:rsidRDefault="00A66A81" w:rsidP="00F01B6C">
      <w:pPr>
        <w:spacing w:line="360" w:lineRule="auto"/>
        <w:ind w:left="567" w:right="567"/>
        <w:jc w:val="both"/>
        <w:rPr>
          <w:rFonts w:ascii="Palatino Linotype" w:hAnsi="Palatino Linotype" w:cs="Tahoma"/>
          <w:i/>
        </w:rPr>
      </w:pPr>
      <w:r w:rsidRPr="00C62C95">
        <w:rPr>
          <w:rFonts w:ascii="Palatino Linotype" w:hAnsi="Palatino Linotype" w:cs="Tahoma"/>
          <w:b/>
          <w:i/>
        </w:rPr>
        <w:t>j) Obedecer las órdenes de los superiores jerárquicos o de quienes ejerzan sobre él funciones de mando cumpliendo con todas sus obligaciones, realizándolas conforme a derecho</w:t>
      </w:r>
      <w:r w:rsidRPr="00C62C95">
        <w:rPr>
          <w:rFonts w:ascii="Palatino Linotype" w:hAnsi="Palatino Linotype" w:cs="Tahoma"/>
          <w:i/>
        </w:rPr>
        <w:t>;</w:t>
      </w:r>
    </w:p>
    <w:p w14:paraId="1613909F" w14:textId="77777777" w:rsidR="00CB2F05" w:rsidRPr="00C62C95" w:rsidRDefault="00CB2F05"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4EAFEFFF" w14:textId="77777777" w:rsidR="00A66A81" w:rsidRPr="00C62C95" w:rsidRDefault="00A66A81" w:rsidP="00F01B6C">
      <w:pPr>
        <w:spacing w:line="360" w:lineRule="auto"/>
        <w:ind w:left="567" w:right="567"/>
        <w:jc w:val="both"/>
        <w:rPr>
          <w:rFonts w:ascii="Palatino Linotype" w:hAnsi="Palatino Linotype" w:cs="Tahoma"/>
          <w:i/>
        </w:rPr>
      </w:pPr>
    </w:p>
    <w:p w14:paraId="29CC0E78" w14:textId="77777777" w:rsidR="00A66A81" w:rsidRPr="00C62C95" w:rsidRDefault="00A66A81" w:rsidP="00F01B6C">
      <w:pPr>
        <w:spacing w:line="360" w:lineRule="auto"/>
        <w:ind w:left="567" w:right="567"/>
        <w:jc w:val="both"/>
        <w:rPr>
          <w:rFonts w:ascii="Palatino Linotype" w:hAnsi="Palatino Linotype" w:cs="Tahoma"/>
          <w:b/>
          <w:i/>
        </w:rPr>
      </w:pPr>
      <w:r w:rsidRPr="00C62C95">
        <w:rPr>
          <w:rFonts w:ascii="Palatino Linotype" w:hAnsi="Palatino Linotype" w:cs="Tahoma"/>
          <w:b/>
          <w:i/>
        </w:rPr>
        <w:t xml:space="preserve">ag) Las demás que establezca esta Ley y otras disposiciones aplicables. </w:t>
      </w:r>
    </w:p>
    <w:p w14:paraId="1453DE8C" w14:textId="77777777" w:rsidR="00A66A81" w:rsidRPr="00C62C95" w:rsidRDefault="00A66A81" w:rsidP="00F01B6C">
      <w:pPr>
        <w:spacing w:line="360" w:lineRule="auto"/>
        <w:ind w:left="567" w:right="567"/>
        <w:jc w:val="both"/>
        <w:rPr>
          <w:rFonts w:ascii="Palatino Linotype" w:hAnsi="Palatino Linotype" w:cs="Tahoma"/>
          <w:b/>
          <w:i/>
        </w:rPr>
      </w:pPr>
    </w:p>
    <w:p w14:paraId="7C0B34D4" w14:textId="77777777" w:rsidR="00A66A81" w:rsidRPr="00C62C95" w:rsidRDefault="00A66A81" w:rsidP="00F01B6C">
      <w:pPr>
        <w:tabs>
          <w:tab w:val="left" w:pos="9495"/>
        </w:tabs>
        <w:spacing w:line="360" w:lineRule="auto"/>
        <w:ind w:left="567" w:right="567"/>
        <w:jc w:val="both"/>
        <w:rPr>
          <w:rFonts w:ascii="Palatino Linotype" w:hAnsi="Palatino Linotype" w:cs="Tahoma"/>
          <w:i/>
        </w:rPr>
      </w:pPr>
    </w:p>
    <w:p w14:paraId="4E1EFE89" w14:textId="77777777" w:rsidR="005C4513" w:rsidRPr="00C62C95" w:rsidRDefault="005C4513" w:rsidP="00F01B6C">
      <w:pPr>
        <w:spacing w:line="360" w:lineRule="auto"/>
        <w:ind w:left="567" w:right="567"/>
        <w:jc w:val="both"/>
        <w:rPr>
          <w:rFonts w:ascii="Palatino Linotype" w:hAnsi="Palatino Linotype" w:cs="Tahoma"/>
          <w:i/>
        </w:rPr>
      </w:pPr>
    </w:p>
    <w:p w14:paraId="3F2AF02D" w14:textId="77777777" w:rsidR="006F62BA" w:rsidRPr="00C62C95" w:rsidRDefault="006F62BA" w:rsidP="00F01B6C">
      <w:pPr>
        <w:tabs>
          <w:tab w:val="left" w:pos="9072"/>
        </w:tabs>
        <w:autoSpaceDE w:val="0"/>
        <w:autoSpaceDN w:val="0"/>
        <w:adjustRightInd w:val="0"/>
        <w:spacing w:line="360" w:lineRule="auto"/>
        <w:ind w:left="567" w:right="567"/>
        <w:jc w:val="both"/>
        <w:rPr>
          <w:rFonts w:ascii="Palatino Linotype" w:hAnsi="Palatino Linotype" w:cs="Tahoma"/>
          <w:i/>
        </w:rPr>
      </w:pPr>
      <w:r w:rsidRPr="00C62C95">
        <w:rPr>
          <w:rFonts w:ascii="Palatino Linotype" w:hAnsi="Palatino Linotype" w:cs="Tahoma"/>
          <w:i/>
        </w:rPr>
        <w:t>Artículo 102.- Las Instituciones de Seguridad Pública emitirán un documento de identificación a cada uno de sus integrantes, con las características siguientes:</w:t>
      </w:r>
    </w:p>
    <w:p w14:paraId="6D4CD200" w14:textId="77777777" w:rsidR="006F62BA" w:rsidRPr="00C62C95" w:rsidRDefault="006F62BA" w:rsidP="00F01B6C">
      <w:pPr>
        <w:tabs>
          <w:tab w:val="left" w:pos="9072"/>
        </w:tabs>
        <w:autoSpaceDE w:val="0"/>
        <w:autoSpaceDN w:val="0"/>
        <w:adjustRightInd w:val="0"/>
        <w:spacing w:line="360" w:lineRule="auto"/>
        <w:ind w:left="567" w:right="567"/>
        <w:jc w:val="both"/>
        <w:rPr>
          <w:rFonts w:ascii="Palatino Linotype" w:hAnsi="Palatino Linotype" w:cs="Tahoma"/>
          <w:i/>
        </w:rPr>
      </w:pPr>
      <w:r w:rsidRPr="00C62C95">
        <w:rPr>
          <w:rFonts w:ascii="Palatino Linotype" w:hAnsi="Palatino Linotype" w:cs="Tahoma"/>
          <w:i/>
        </w:rPr>
        <w:t>(. . .)</w:t>
      </w:r>
    </w:p>
    <w:p w14:paraId="37213A2B" w14:textId="77777777" w:rsidR="006F62BA" w:rsidRPr="00C62C95" w:rsidRDefault="006F62BA" w:rsidP="00F01B6C">
      <w:pPr>
        <w:tabs>
          <w:tab w:val="left" w:pos="9072"/>
        </w:tabs>
        <w:autoSpaceDE w:val="0"/>
        <w:autoSpaceDN w:val="0"/>
        <w:adjustRightInd w:val="0"/>
        <w:spacing w:line="360" w:lineRule="auto"/>
        <w:ind w:left="567" w:right="567"/>
        <w:jc w:val="both"/>
        <w:rPr>
          <w:rFonts w:ascii="Palatino Linotype" w:hAnsi="Palatino Linotype" w:cs="Tahoma"/>
          <w:i/>
        </w:rPr>
      </w:pPr>
      <w:r w:rsidRPr="00C62C95">
        <w:rPr>
          <w:rFonts w:ascii="Palatino Linotype" w:hAnsi="Palatino Linotype" w:cs="Tahoma"/>
          <w:i/>
        </w:rPr>
        <w:lastRenderedPageBreak/>
        <w:t xml:space="preserve"> </w:t>
      </w:r>
      <w:r w:rsidRPr="00C62C95">
        <w:rPr>
          <w:rFonts w:ascii="Palatino Linotype" w:hAnsi="Palatino Linotype" w:cs="Tahoma"/>
          <w:b/>
          <w:i/>
        </w:rPr>
        <w:t>Todos los elementos de las Instituciones de Seguridad Pública tienen la obligación de identificarse</w:t>
      </w:r>
      <w:r w:rsidRPr="00C62C95">
        <w:rPr>
          <w:rFonts w:ascii="Palatino Linotype" w:hAnsi="Palatino Linotype" w:cs="Tahoma"/>
          <w:i/>
        </w:rPr>
        <w:t>, salvo los casos previstos en la ley, a fin de que el ciudadano se cerciore de que cuenta con el registro correspondiente . . .” (sic)</w:t>
      </w:r>
    </w:p>
    <w:p w14:paraId="10C15A51" w14:textId="77777777" w:rsidR="006F62BA" w:rsidRPr="00C62C95" w:rsidRDefault="006F62BA" w:rsidP="00F01B6C">
      <w:pPr>
        <w:autoSpaceDE w:val="0"/>
        <w:autoSpaceDN w:val="0"/>
        <w:adjustRightInd w:val="0"/>
        <w:spacing w:line="360" w:lineRule="auto"/>
        <w:ind w:left="567" w:right="567"/>
        <w:jc w:val="both"/>
        <w:rPr>
          <w:rFonts w:ascii="Palatino Linotype" w:hAnsi="Palatino Linotype" w:cs="Tahoma"/>
          <w:i/>
        </w:rPr>
      </w:pPr>
    </w:p>
    <w:p w14:paraId="64B28EF8" w14:textId="568D86EC" w:rsidR="006F62BA" w:rsidRPr="00C62C95" w:rsidRDefault="006F62BA" w:rsidP="00F01B6C">
      <w:pPr>
        <w:spacing w:line="360" w:lineRule="auto"/>
        <w:ind w:left="567" w:right="567"/>
        <w:jc w:val="center"/>
        <w:rPr>
          <w:rFonts w:ascii="Palatino Linotype" w:hAnsi="Palatino Linotype" w:cs="Tahoma"/>
          <w:b/>
          <w:i/>
          <w:u w:val="single"/>
        </w:rPr>
      </w:pPr>
      <w:r w:rsidRPr="00C62C95">
        <w:rPr>
          <w:rFonts w:ascii="Palatino Linotype" w:hAnsi="Palatino Linotype" w:cs="Tahoma"/>
          <w:b/>
          <w:i/>
          <w:u w:val="single"/>
        </w:rPr>
        <w:t>Ley de Responsabilidades de los Servidores Públicos del Estado y Municipios:</w:t>
      </w:r>
    </w:p>
    <w:p w14:paraId="1A5BE05C" w14:textId="77777777" w:rsidR="00CB2F05" w:rsidRPr="00C62C95" w:rsidRDefault="00CB2F05" w:rsidP="00F01B6C">
      <w:pPr>
        <w:tabs>
          <w:tab w:val="left" w:pos="142"/>
        </w:tabs>
        <w:spacing w:line="360" w:lineRule="auto"/>
        <w:ind w:left="567" w:right="567"/>
        <w:jc w:val="both"/>
        <w:rPr>
          <w:rFonts w:ascii="Palatino Linotype" w:hAnsi="Palatino Linotype" w:cs="Tahoma"/>
          <w:i/>
        </w:rPr>
      </w:pPr>
    </w:p>
    <w:p w14:paraId="10867BAF" w14:textId="77777777" w:rsidR="00CB2F05" w:rsidRPr="00C62C95" w:rsidRDefault="00CB2F05" w:rsidP="00F01B6C">
      <w:pPr>
        <w:tabs>
          <w:tab w:val="left" w:pos="142"/>
        </w:tabs>
        <w:spacing w:line="360" w:lineRule="auto"/>
        <w:ind w:left="567" w:right="567"/>
        <w:jc w:val="both"/>
        <w:rPr>
          <w:rFonts w:ascii="Palatino Linotype" w:hAnsi="Palatino Linotype" w:cs="Tahoma"/>
          <w:i/>
        </w:rPr>
      </w:pPr>
      <w:r w:rsidRPr="00C62C95">
        <w:rPr>
          <w:rFonts w:ascii="Palatino Linotype" w:hAnsi="Palatino Linotype" w:cs="Tahoma"/>
          <w:i/>
        </w:rPr>
        <w:t>Artículo 7.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0AF5FF9D" w14:textId="77777777" w:rsidR="00CB2F05" w:rsidRPr="00C62C95" w:rsidRDefault="00CB2F05" w:rsidP="00F01B6C">
      <w:pPr>
        <w:spacing w:line="360" w:lineRule="auto"/>
        <w:ind w:left="567" w:right="567"/>
        <w:jc w:val="both"/>
        <w:rPr>
          <w:rFonts w:ascii="Palatino Linotype" w:hAnsi="Palatino Linotype" w:cs="Tahoma"/>
          <w:i/>
        </w:rPr>
      </w:pPr>
      <w:r w:rsidRPr="00C62C95">
        <w:rPr>
          <w:rFonts w:ascii="Palatino Linotype" w:hAnsi="Palatino Linotype" w:cs="Tahoma"/>
          <w:i/>
        </w:rPr>
        <w:t>(…)</w:t>
      </w:r>
    </w:p>
    <w:p w14:paraId="11FFED68" w14:textId="77777777" w:rsidR="00CB2F05" w:rsidRPr="00C62C95" w:rsidRDefault="00CB2F05" w:rsidP="00F01B6C">
      <w:pPr>
        <w:tabs>
          <w:tab w:val="left" w:pos="142"/>
        </w:tabs>
        <w:spacing w:line="360" w:lineRule="auto"/>
        <w:ind w:left="567" w:right="567"/>
        <w:jc w:val="both"/>
        <w:rPr>
          <w:rFonts w:ascii="Palatino Linotype" w:hAnsi="Palatino Linotype" w:cs="Tahoma"/>
          <w:i/>
        </w:rPr>
      </w:pPr>
    </w:p>
    <w:p w14:paraId="7C6F292C" w14:textId="1243953C" w:rsidR="006F62BA" w:rsidRPr="00C62C95" w:rsidRDefault="00CB2F05" w:rsidP="00F01B6C">
      <w:pPr>
        <w:tabs>
          <w:tab w:val="left" w:pos="142"/>
        </w:tabs>
        <w:spacing w:line="360" w:lineRule="auto"/>
        <w:ind w:left="567" w:right="567"/>
        <w:jc w:val="both"/>
        <w:rPr>
          <w:rFonts w:ascii="Palatino Linotype" w:hAnsi="Palatino Linotype" w:cs="Tahoma"/>
          <w:i/>
        </w:rPr>
      </w:pPr>
      <w:r w:rsidRPr="00C62C95">
        <w:rPr>
          <w:rFonts w:ascii="Palatino Linotype" w:hAnsi="Palatino Linotype" w:cs="Tahoma"/>
          <w:i/>
        </w:rPr>
        <w:t xml:space="preserve"> I. Actuar conforme a lo que las leyes, reglamentos y demás disposiciones jurídicas les atribuyen a su empleo, cargo o comisión, por lo que deben conocer y cumplir las disposiciones que regulan el ejercicio de sus funciones, facultades y atribuciones.</w:t>
      </w:r>
    </w:p>
    <w:p w14:paraId="0F67C6AC" w14:textId="77777777" w:rsidR="006F62BA" w:rsidRPr="00C62C95" w:rsidRDefault="006F62BA" w:rsidP="00F01B6C">
      <w:pPr>
        <w:pStyle w:val="Textoindependiente"/>
        <w:spacing w:line="360" w:lineRule="auto"/>
        <w:ind w:left="567"/>
        <w:rPr>
          <w:rFonts w:eastAsia="Times New Roman" w:cs="Tahoma"/>
          <w:i/>
          <w:lang w:eastAsia="es-ES"/>
        </w:rPr>
      </w:pPr>
    </w:p>
    <w:p w14:paraId="1501794F" w14:textId="77777777" w:rsidR="00C242A7" w:rsidRPr="00C62C95" w:rsidRDefault="00C242A7" w:rsidP="00F01B6C">
      <w:pPr>
        <w:pStyle w:val="Prrafodelista"/>
        <w:tabs>
          <w:tab w:val="left" w:pos="851"/>
        </w:tabs>
        <w:spacing w:line="360" w:lineRule="auto"/>
        <w:ind w:left="0" w:right="49"/>
        <w:jc w:val="both"/>
        <w:rPr>
          <w:rFonts w:ascii="Palatino Linotype" w:hAnsi="Palatino Linotype"/>
        </w:rPr>
      </w:pPr>
    </w:p>
    <w:p w14:paraId="277A121A" w14:textId="07B223D8" w:rsidR="00C242A7" w:rsidRPr="00C62C95" w:rsidRDefault="00614534" w:rsidP="00F01B6C">
      <w:pPr>
        <w:pStyle w:val="Prrafodelista"/>
        <w:tabs>
          <w:tab w:val="left" w:pos="851"/>
        </w:tabs>
        <w:spacing w:line="360" w:lineRule="auto"/>
        <w:ind w:left="0" w:right="49"/>
        <w:jc w:val="both"/>
        <w:rPr>
          <w:rFonts w:ascii="Palatino Linotype" w:hAnsi="Palatino Linotype"/>
        </w:rPr>
      </w:pPr>
      <w:r w:rsidRPr="00C62C95">
        <w:rPr>
          <w:rFonts w:ascii="Palatino Linotype" w:hAnsi="Palatino Linotype"/>
        </w:rPr>
        <w:t>Por otra parte, e</w:t>
      </w:r>
      <w:r w:rsidR="00C242A7" w:rsidRPr="00C62C95">
        <w:rPr>
          <w:rFonts w:ascii="Palatino Linotype" w:hAnsi="Palatino Linotype"/>
        </w:rPr>
        <w:t xml:space="preserve">l artículo 140, fracción I, de la Ley de Transparencia y Acceso a la Información Pública del Estado de México y Municipios, refiere  lo siguiente: </w:t>
      </w:r>
    </w:p>
    <w:p w14:paraId="6A801C87" w14:textId="77777777" w:rsidR="00C242A7" w:rsidRPr="00C62C95" w:rsidRDefault="00C242A7" w:rsidP="00F01B6C">
      <w:pPr>
        <w:pStyle w:val="Prrafodelista"/>
        <w:tabs>
          <w:tab w:val="left" w:pos="851"/>
        </w:tabs>
        <w:spacing w:line="360" w:lineRule="auto"/>
        <w:ind w:left="0" w:right="49"/>
        <w:jc w:val="both"/>
        <w:rPr>
          <w:rFonts w:ascii="Palatino Linotype" w:hAnsi="Palatino Linotype"/>
        </w:rPr>
      </w:pPr>
    </w:p>
    <w:p w14:paraId="74EEF220" w14:textId="77777777" w:rsidR="00C242A7" w:rsidRPr="00C62C95" w:rsidRDefault="00C242A7" w:rsidP="00F01B6C">
      <w:pPr>
        <w:pStyle w:val="Prrafodelista"/>
        <w:tabs>
          <w:tab w:val="left" w:pos="851"/>
        </w:tabs>
        <w:spacing w:line="360" w:lineRule="auto"/>
        <w:ind w:left="567" w:right="567"/>
        <w:jc w:val="both"/>
        <w:rPr>
          <w:rFonts w:ascii="Palatino Linotype" w:hAnsi="Palatino Linotype"/>
          <w:i/>
        </w:rPr>
      </w:pPr>
      <w:r w:rsidRPr="00C62C95">
        <w:rPr>
          <w:rFonts w:ascii="Palatino Linotype" w:hAnsi="Palatino Linotype"/>
          <w:i/>
        </w:rPr>
        <w:t>“</w:t>
      </w:r>
      <w:r w:rsidRPr="00C62C95">
        <w:rPr>
          <w:rFonts w:ascii="Palatino Linotype" w:hAnsi="Palatino Linotype"/>
          <w:b/>
          <w:i/>
        </w:rPr>
        <w:t>Artículo 140.</w:t>
      </w:r>
      <w:r w:rsidRPr="00C62C95">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08685892" w14:textId="77777777" w:rsidR="00A7702A" w:rsidRPr="00C62C95" w:rsidRDefault="00A7702A" w:rsidP="00F01B6C">
      <w:pPr>
        <w:pStyle w:val="Prrafodelista"/>
        <w:tabs>
          <w:tab w:val="left" w:pos="851"/>
        </w:tabs>
        <w:spacing w:line="360" w:lineRule="auto"/>
        <w:ind w:left="567" w:right="567"/>
        <w:jc w:val="both"/>
        <w:rPr>
          <w:rFonts w:ascii="Palatino Linotype" w:hAnsi="Palatino Linotype"/>
          <w:i/>
        </w:rPr>
      </w:pPr>
      <w:r w:rsidRPr="00C62C95">
        <w:rPr>
          <w:rFonts w:ascii="Palatino Linotype" w:hAnsi="Palatino Linotype"/>
          <w:b/>
          <w:i/>
        </w:rPr>
        <w:t>I.</w:t>
      </w:r>
      <w:r w:rsidRPr="00C62C95">
        <w:rPr>
          <w:rFonts w:ascii="Palatino Linotype" w:hAnsi="Palatino Linotype"/>
          <w:i/>
        </w:rPr>
        <w:t xml:space="preserve"> </w:t>
      </w:r>
      <w:r w:rsidR="00C242A7" w:rsidRPr="00C62C95">
        <w:rPr>
          <w:rFonts w:ascii="Palatino Linotype" w:hAnsi="Palatino Linotype"/>
          <w:i/>
        </w:rPr>
        <w:t xml:space="preserve">Comprometa la seguridad pública y cuente con un propósito genuino y un efecto demostrable; </w:t>
      </w:r>
    </w:p>
    <w:p w14:paraId="590BAEC8" w14:textId="6A8436E6" w:rsidR="00C242A7" w:rsidRPr="00C62C95" w:rsidRDefault="00A7702A" w:rsidP="00F01B6C">
      <w:pPr>
        <w:pStyle w:val="Prrafodelista"/>
        <w:tabs>
          <w:tab w:val="left" w:pos="851"/>
        </w:tabs>
        <w:spacing w:line="360" w:lineRule="auto"/>
        <w:ind w:left="567" w:right="567"/>
        <w:jc w:val="both"/>
        <w:rPr>
          <w:rFonts w:ascii="Palatino Linotype" w:hAnsi="Palatino Linotype"/>
          <w:i/>
        </w:rPr>
      </w:pPr>
      <w:r w:rsidRPr="00C62C95">
        <w:rPr>
          <w:rFonts w:ascii="Palatino Linotype" w:hAnsi="Palatino Linotype"/>
          <w:i/>
        </w:rPr>
        <w:t>(</w:t>
      </w:r>
      <w:r w:rsidR="00C242A7" w:rsidRPr="00C62C95">
        <w:rPr>
          <w:rFonts w:ascii="Palatino Linotype" w:hAnsi="Palatino Linotype"/>
          <w:i/>
        </w:rPr>
        <w:t>…</w:t>
      </w:r>
      <w:r w:rsidRPr="00C62C95">
        <w:rPr>
          <w:rFonts w:ascii="Palatino Linotype" w:hAnsi="Palatino Linotype"/>
          <w:i/>
        </w:rPr>
        <w:t>)</w:t>
      </w:r>
      <w:r w:rsidR="00C242A7" w:rsidRPr="00C62C95">
        <w:rPr>
          <w:rFonts w:ascii="Palatino Linotype" w:hAnsi="Palatino Linotype"/>
          <w:i/>
        </w:rPr>
        <w:t xml:space="preserve">” </w:t>
      </w:r>
    </w:p>
    <w:p w14:paraId="221F4AFC" w14:textId="77777777" w:rsidR="00C242A7" w:rsidRPr="00C62C95" w:rsidRDefault="00C242A7" w:rsidP="00F01B6C">
      <w:pPr>
        <w:pStyle w:val="Prrafodelista"/>
        <w:tabs>
          <w:tab w:val="left" w:pos="851"/>
        </w:tabs>
        <w:spacing w:line="360" w:lineRule="auto"/>
        <w:ind w:left="1080" w:right="49"/>
        <w:jc w:val="both"/>
        <w:rPr>
          <w:rFonts w:ascii="Palatino Linotype" w:hAnsi="Palatino Linotype"/>
        </w:rPr>
      </w:pPr>
    </w:p>
    <w:p w14:paraId="3E527503" w14:textId="0CAFE200" w:rsidR="00C242A7" w:rsidRPr="00C62C95" w:rsidRDefault="00C242A7"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De </w:t>
      </w:r>
      <w:r w:rsidR="00614534" w:rsidRPr="00C62C95">
        <w:rPr>
          <w:rFonts w:ascii="Palatino Linotype" w:hAnsi="Palatino Linotype"/>
        </w:rPr>
        <w:t>lo anterior tenemos</w:t>
      </w:r>
      <w:r w:rsidRPr="00C62C95">
        <w:rPr>
          <w:rFonts w:ascii="Palatino Linotype" w:hAnsi="Palatino Linotype"/>
        </w:rPr>
        <w:t xml:space="preserve"> que podrá clasificarse como información reservada aquella cuya publicación comprometa la seguridad pública y cuente con un propósito genuino y un efecto demostrable; </w:t>
      </w:r>
      <w:r w:rsidR="00614534" w:rsidRPr="00C62C95">
        <w:rPr>
          <w:rFonts w:ascii="Palatino Linotype" w:hAnsi="Palatino Linotype"/>
        </w:rPr>
        <w:t>asimismo</w:t>
      </w:r>
      <w:r w:rsidRPr="00C62C95">
        <w:rPr>
          <w:rFonts w:ascii="Palatino Linotype" w:hAnsi="Palatino Linotype"/>
        </w:rPr>
        <w:t xml:space="preserve">, los </w:t>
      </w:r>
      <w:r w:rsidR="00614534" w:rsidRPr="00C62C95">
        <w:rPr>
          <w:rFonts w:ascii="Palatino Linotype" w:hAnsi="Palatino Linotype"/>
        </w:rPr>
        <w:t>Lineamientos Generales en Materia de Clasificación y Desclasificación de la Información, así como para la Elaboración de Versiones Públicas</w:t>
      </w:r>
      <w:r w:rsidRPr="00C62C95">
        <w:rPr>
          <w:rFonts w:ascii="Palatino Linotype" w:hAnsi="Palatino Linotype"/>
        </w:rPr>
        <w:t>, disponen:</w:t>
      </w:r>
    </w:p>
    <w:p w14:paraId="48904A4F" w14:textId="77777777" w:rsidR="000625B1" w:rsidRPr="00C62C95" w:rsidRDefault="000625B1" w:rsidP="00F01B6C">
      <w:pPr>
        <w:tabs>
          <w:tab w:val="left" w:pos="851"/>
        </w:tabs>
        <w:spacing w:line="360" w:lineRule="auto"/>
        <w:ind w:right="49"/>
        <w:jc w:val="both"/>
        <w:rPr>
          <w:rFonts w:ascii="Palatino Linotype" w:hAnsi="Palatino Linotype"/>
        </w:rPr>
      </w:pPr>
    </w:p>
    <w:p w14:paraId="490CF3FA" w14:textId="77777777" w:rsidR="00C242A7"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rPr>
        <w:t xml:space="preserve"> </w:t>
      </w:r>
      <w:r w:rsidRPr="00C62C95">
        <w:rPr>
          <w:rFonts w:ascii="Palatino Linotype" w:hAnsi="Palatino Linotype"/>
          <w:i/>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w:t>
      </w:r>
      <w:r w:rsidRPr="00C62C95">
        <w:rPr>
          <w:rFonts w:ascii="Palatino Linotype" w:hAnsi="Palatino Linotype"/>
          <w:i/>
        </w:rPr>
        <w:lastRenderedPageBreak/>
        <w:t>limitar la capacidad de las autoridades encaminadas a disuadir o prevenir disturbios sociales. 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4BEEE38A" w14:textId="77777777" w:rsidR="00614534" w:rsidRPr="00C62C95" w:rsidRDefault="00614534" w:rsidP="00F01B6C">
      <w:pPr>
        <w:tabs>
          <w:tab w:val="left" w:pos="851"/>
        </w:tabs>
        <w:spacing w:line="360" w:lineRule="auto"/>
        <w:ind w:right="49"/>
        <w:jc w:val="both"/>
        <w:rPr>
          <w:rFonts w:ascii="Palatino Linotype" w:hAnsi="Palatino Linotype"/>
        </w:rPr>
      </w:pPr>
    </w:p>
    <w:p w14:paraId="43FD0DEB" w14:textId="3256EDD5" w:rsidR="000625B1" w:rsidRPr="00C62C95" w:rsidRDefault="000625B1"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Por tanto, </w:t>
      </w:r>
      <w:r w:rsidR="00C242A7" w:rsidRPr="00C62C95">
        <w:rPr>
          <w:rFonts w:ascii="Palatino Linotype" w:hAnsi="Palatino Linotype"/>
        </w:rPr>
        <w:t xml:space="preserve">podrá clasificarse como información reservada,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 </w:t>
      </w:r>
    </w:p>
    <w:p w14:paraId="47BFBD14" w14:textId="77777777" w:rsidR="00614534" w:rsidRPr="00C62C95" w:rsidRDefault="00614534" w:rsidP="00F01B6C">
      <w:pPr>
        <w:tabs>
          <w:tab w:val="left" w:pos="851"/>
        </w:tabs>
        <w:spacing w:line="360" w:lineRule="auto"/>
        <w:ind w:right="49"/>
        <w:jc w:val="both"/>
        <w:rPr>
          <w:rFonts w:ascii="Palatino Linotype" w:hAnsi="Palatino Linotype"/>
        </w:rPr>
      </w:pPr>
    </w:p>
    <w:p w14:paraId="06563FEA" w14:textId="269BF2D6" w:rsidR="000625B1" w:rsidRPr="00C62C95" w:rsidRDefault="00C242A7"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De la misma manera, será información clasificada aquella que revele datos que pudieran ser aprovechados para conocer la capacidad de reacción de las instituciones encargadas de la seguridad pública, sus planes, estrategias, tecnología, información, sistemas de comunicaciones. </w:t>
      </w:r>
    </w:p>
    <w:p w14:paraId="335BFD9E" w14:textId="77777777" w:rsidR="00614534" w:rsidRPr="00C62C95" w:rsidRDefault="00614534" w:rsidP="00F01B6C">
      <w:pPr>
        <w:tabs>
          <w:tab w:val="left" w:pos="851"/>
        </w:tabs>
        <w:spacing w:line="360" w:lineRule="auto"/>
        <w:ind w:right="49"/>
        <w:jc w:val="both"/>
        <w:rPr>
          <w:rFonts w:ascii="Palatino Linotype" w:hAnsi="Palatino Linotype"/>
        </w:rPr>
      </w:pPr>
    </w:p>
    <w:p w14:paraId="5F5A2741" w14:textId="21C59118" w:rsidR="000625B1" w:rsidRPr="00C62C95" w:rsidRDefault="00C242A7"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En ese orden de ideas, el artículo 81 de la Ley de Seguridad del Estado de México, que establece lo siguiente: </w:t>
      </w:r>
    </w:p>
    <w:p w14:paraId="5475B51C" w14:textId="77777777" w:rsidR="000625B1" w:rsidRPr="00C62C95" w:rsidRDefault="000625B1" w:rsidP="00F01B6C">
      <w:pPr>
        <w:tabs>
          <w:tab w:val="left" w:pos="851"/>
        </w:tabs>
        <w:spacing w:line="360" w:lineRule="auto"/>
        <w:ind w:left="360" w:right="49"/>
        <w:jc w:val="both"/>
        <w:rPr>
          <w:rFonts w:ascii="Palatino Linotype" w:hAnsi="Palatino Linotype"/>
        </w:rPr>
      </w:pPr>
    </w:p>
    <w:p w14:paraId="42B1DF12" w14:textId="77777777" w:rsidR="000625B1"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i/>
        </w:rPr>
        <w:t>“</w:t>
      </w:r>
      <w:r w:rsidRPr="00C62C95">
        <w:rPr>
          <w:rFonts w:ascii="Palatino Linotype" w:hAnsi="Palatino Linotype"/>
          <w:b/>
          <w:i/>
        </w:rPr>
        <w:t>Artículo 81.-</w:t>
      </w:r>
      <w:r w:rsidRPr="00C62C95">
        <w:rPr>
          <w:rFonts w:ascii="Palatino Linotype" w:hAnsi="Palatino Linotype"/>
          <w:i/>
        </w:rPr>
        <w:t xml:space="preserve"> Toda información para la seguridad pública generada o en poder de Instituciones de Seguridad Pública o de cualquier instancia del Sistema Estatal debe registrarse, clasificarse y tratarse de conformidad con las </w:t>
      </w:r>
      <w:r w:rsidRPr="00C62C95">
        <w:rPr>
          <w:rFonts w:ascii="Palatino Linotype" w:hAnsi="Palatino Linotype"/>
          <w:i/>
        </w:rPr>
        <w:lastRenderedPageBreak/>
        <w:t xml:space="preserve">disposiciones aplicables. No obstante lo anterior, esta información se considerará reservada en los casos siguientes: </w:t>
      </w:r>
    </w:p>
    <w:p w14:paraId="4C506AE1" w14:textId="77777777" w:rsidR="000625B1"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b/>
          <w:i/>
        </w:rPr>
        <w:t>I</w:t>
      </w:r>
      <w:r w:rsidRPr="00C62C95">
        <w:rPr>
          <w:rFonts w:ascii="Palatino Linotype" w:hAnsi="Palatino Linotype"/>
          <w:i/>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7AD58CF" w14:textId="77777777" w:rsidR="000625B1"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b/>
          <w:i/>
        </w:rPr>
        <w:t>II.</w:t>
      </w:r>
      <w:r w:rsidRPr="00C62C95">
        <w:rPr>
          <w:rFonts w:ascii="Palatino Linotype" w:hAnsi="Palatino Linotype"/>
          <w:i/>
        </w:rPr>
        <w:t xml:space="preserve"> Aquella cuya revelación pueda ser utilizada para actualizar o potenciar una amenaza a la seguridad pública o a las instituciones del Estado de México; … </w:t>
      </w:r>
    </w:p>
    <w:p w14:paraId="7972512D" w14:textId="77777777" w:rsidR="000625B1"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b/>
          <w:i/>
        </w:rPr>
        <w:t>IV.</w:t>
      </w:r>
      <w:r w:rsidRPr="00C62C95">
        <w:rPr>
          <w:rFonts w:ascii="Palatino Linotype" w:hAnsi="Palatino Linotype"/>
          <w:i/>
        </w:rPr>
        <w:t xml:space="preserve"> La que sea producto de una intervención de comunicaciones privadas autorizadas conforme a la Constitución Federal y las disposiciones legales correspondientes; y </w:t>
      </w:r>
    </w:p>
    <w:p w14:paraId="102A454C" w14:textId="77777777" w:rsidR="000625B1" w:rsidRPr="00C62C95" w:rsidRDefault="00C242A7" w:rsidP="00F01B6C">
      <w:pPr>
        <w:tabs>
          <w:tab w:val="left" w:pos="851"/>
        </w:tabs>
        <w:spacing w:line="360" w:lineRule="auto"/>
        <w:ind w:left="567" w:right="567"/>
        <w:jc w:val="both"/>
        <w:rPr>
          <w:rFonts w:ascii="Palatino Linotype" w:hAnsi="Palatino Linotype"/>
          <w:i/>
        </w:rPr>
      </w:pPr>
      <w:r w:rsidRPr="00C62C95">
        <w:rPr>
          <w:rFonts w:ascii="Palatino Linotype" w:hAnsi="Palatino Linotype"/>
          <w:b/>
          <w:i/>
        </w:rPr>
        <w:t>V.</w:t>
      </w:r>
      <w:r w:rsidRPr="00C62C95">
        <w:rPr>
          <w:rFonts w:ascii="Palatino Linotype" w:hAnsi="Palatino Linotype"/>
          <w:i/>
        </w:rPr>
        <w:t xml:space="preserve"> La contenida en averiguaciones previas, carpetas de investigación, expedientes y demás archivos relativos a la investigación para la prevención y la investigación de los delitos y faltas administrativas, en términos de las disposiciones aplicables.” </w:t>
      </w:r>
    </w:p>
    <w:p w14:paraId="608D86AE" w14:textId="77777777" w:rsidR="00614534" w:rsidRPr="00C62C95" w:rsidRDefault="00614534" w:rsidP="00F01B6C">
      <w:pPr>
        <w:tabs>
          <w:tab w:val="left" w:pos="851"/>
        </w:tabs>
        <w:spacing w:line="360" w:lineRule="auto"/>
        <w:ind w:right="49"/>
        <w:jc w:val="both"/>
        <w:rPr>
          <w:rFonts w:ascii="Palatino Linotype" w:hAnsi="Palatino Linotype"/>
        </w:rPr>
      </w:pPr>
    </w:p>
    <w:p w14:paraId="74D99D4A" w14:textId="6B1D5D34" w:rsidR="00C242A7" w:rsidRPr="00C62C95" w:rsidRDefault="00C242A7"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 </w:t>
      </w:r>
    </w:p>
    <w:p w14:paraId="05FF814B" w14:textId="77777777" w:rsidR="00614534" w:rsidRPr="00C62C95" w:rsidRDefault="00614534" w:rsidP="00F01B6C">
      <w:pPr>
        <w:tabs>
          <w:tab w:val="left" w:pos="851"/>
        </w:tabs>
        <w:spacing w:line="360" w:lineRule="auto"/>
        <w:ind w:right="49"/>
        <w:jc w:val="both"/>
        <w:rPr>
          <w:rFonts w:ascii="Palatino Linotype" w:hAnsi="Palatino Linotype"/>
        </w:rPr>
      </w:pPr>
    </w:p>
    <w:p w14:paraId="10AF415D" w14:textId="360AAF5E" w:rsidR="00C242A7" w:rsidRPr="00C62C95" w:rsidRDefault="000625B1"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Sin embargo, no se advierte de qué forma </w:t>
      </w:r>
      <w:r w:rsidR="00614534" w:rsidRPr="00C62C95">
        <w:rPr>
          <w:rFonts w:ascii="Palatino Linotype" w:hAnsi="Palatino Linotype"/>
        </w:rPr>
        <w:t xml:space="preserve">el proporcionar el cargo de los elementos de seguridad pública operativos </w:t>
      </w:r>
      <w:r w:rsidRPr="00C62C95">
        <w:rPr>
          <w:rFonts w:ascii="Palatino Linotype" w:hAnsi="Palatino Linotype"/>
        </w:rPr>
        <w:t xml:space="preserve">comprometa la </w:t>
      </w:r>
      <w:r w:rsidR="00374ECA" w:rsidRPr="00C62C95">
        <w:rPr>
          <w:rFonts w:ascii="Palatino Linotype" w:hAnsi="Palatino Linotype"/>
        </w:rPr>
        <w:t>seguridad pública del Municipio.</w:t>
      </w:r>
    </w:p>
    <w:p w14:paraId="775DA5CD" w14:textId="6EF7D4D9" w:rsidR="009812A5" w:rsidRPr="00C62C95" w:rsidRDefault="009812A5" w:rsidP="00F01B6C">
      <w:pPr>
        <w:tabs>
          <w:tab w:val="left" w:pos="851"/>
        </w:tabs>
        <w:spacing w:line="360" w:lineRule="auto"/>
        <w:ind w:right="49"/>
        <w:jc w:val="both"/>
        <w:rPr>
          <w:rFonts w:ascii="Palatino Linotype" w:hAnsi="Palatino Linotype"/>
        </w:rPr>
      </w:pPr>
    </w:p>
    <w:p w14:paraId="34AD861D" w14:textId="5B41CFDD" w:rsidR="009812A5" w:rsidRPr="00C62C95" w:rsidRDefault="009812A5"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En ese orden de ideas, no se niega que las </w:t>
      </w:r>
      <w:r w:rsidRPr="00C62C95">
        <w:rPr>
          <w:rFonts w:ascii="Palatino Linotype" w:hAnsi="Palatino Linotype"/>
          <w:lang w:val="es-MX"/>
        </w:rPr>
        <w:t>funciones que realizan los servidores públicos integrantes de las corporaciones o instituciones policiales, puede considerarse como una actividad que por sí misma representa ciertos riesgos. Pero esto no es exclusivo de estos servidores públicos, también comparten esa misma condición la mayor parte de los elementos de la Fiscalía General de Justicia o del propio Poder Judicial. Cierto es que todos ellos intervienen en actos que, por sí mismos, representan conflictos entre diversas personas, en los que muchas veces, al amparo de una condición de fuerza moral, social o física, alguien se aparta del marco normativo y genera un efecto en la esfera de los derechos de otra u otras partes. Todos estos servidores públicos tienen que prevenir, responder de inmediato antes estos actos, investigar, determinar presumibles responsabilidades o resolver los conflictos.</w:t>
      </w:r>
    </w:p>
    <w:p w14:paraId="4C335646" w14:textId="77777777" w:rsidR="009812A5" w:rsidRPr="00C62C95" w:rsidRDefault="009812A5" w:rsidP="00F01B6C">
      <w:pPr>
        <w:tabs>
          <w:tab w:val="left" w:pos="851"/>
        </w:tabs>
        <w:spacing w:line="360" w:lineRule="auto"/>
        <w:ind w:right="49"/>
        <w:jc w:val="both"/>
        <w:rPr>
          <w:rFonts w:ascii="Palatino Linotype" w:hAnsi="Palatino Linotype"/>
        </w:rPr>
      </w:pPr>
    </w:p>
    <w:p w14:paraId="0080853B" w14:textId="0FE9CBE9" w:rsidR="009812A5" w:rsidRPr="00C62C95" w:rsidRDefault="009812A5"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Razón de lo anterior, el Organismo Garante Nacional emitió el Criterio de Interpretación 006/2009, mediante el cual, reconoce que el nombre de servidores públicos que se dediquen a actividades en materia de seguridad, podría considerarse como información reservada, </w:t>
      </w:r>
      <w:r w:rsidRPr="00C62C95">
        <w:rPr>
          <w:rFonts w:ascii="Palatino Linotype" w:hAnsi="Palatino Linotype"/>
          <w:b/>
        </w:rPr>
        <w:t>mas no así su cargo</w:t>
      </w:r>
      <w:r w:rsidRPr="00C62C95">
        <w:rPr>
          <w:rFonts w:ascii="Palatino Linotype" w:hAnsi="Palatino Linotype"/>
        </w:rPr>
        <w:t>:</w:t>
      </w:r>
    </w:p>
    <w:p w14:paraId="60498BAE" w14:textId="77777777" w:rsidR="009812A5" w:rsidRPr="00C62C95" w:rsidRDefault="009812A5" w:rsidP="00F01B6C">
      <w:pPr>
        <w:tabs>
          <w:tab w:val="left" w:pos="851"/>
        </w:tabs>
        <w:spacing w:line="360" w:lineRule="auto"/>
        <w:ind w:right="49"/>
        <w:jc w:val="both"/>
        <w:rPr>
          <w:rFonts w:ascii="Palatino Linotype" w:hAnsi="Palatino Linotype"/>
        </w:rPr>
      </w:pPr>
    </w:p>
    <w:p w14:paraId="4FECF4D6" w14:textId="63561846" w:rsidR="009812A5" w:rsidRPr="00C62C95" w:rsidRDefault="009812A5" w:rsidP="00F01B6C">
      <w:pPr>
        <w:tabs>
          <w:tab w:val="left" w:pos="851"/>
        </w:tabs>
        <w:spacing w:line="360" w:lineRule="auto"/>
        <w:ind w:left="567" w:right="567"/>
        <w:jc w:val="both"/>
        <w:rPr>
          <w:rFonts w:ascii="Palatino Linotype" w:hAnsi="Palatino Linotype"/>
          <w:i/>
          <w:lang w:val="es-MX"/>
        </w:rPr>
      </w:pPr>
      <w:r w:rsidRPr="00C62C95">
        <w:rPr>
          <w:rFonts w:ascii="Palatino Linotype" w:hAnsi="Palatino Linotype"/>
          <w:b/>
          <w:bCs/>
          <w:i/>
          <w:lang w:val="es-MX"/>
        </w:rPr>
        <w:lastRenderedPageBreak/>
        <w:t>NOMBRES DE SERVIDORES PÚBLICOS DEDICADOS A ACTIVIDADES EN MATERIA DE SEGURIDAD, POR EXCEPCIÓN PUEDEN CONSIDERARSE INFORMACIÓN RESERVADA.</w:t>
      </w:r>
      <w:r w:rsidRPr="00C62C95">
        <w:rPr>
          <w:rFonts w:ascii="Palatino Linotype" w:hAnsi="Palatino Linotype"/>
          <w:i/>
          <w:lang w:val="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C62C95">
        <w:rPr>
          <w:rFonts w:ascii="Palatino Linotype" w:hAnsi="Palatino Linotype"/>
          <w:i/>
          <w:lang w:val="es-MX"/>
        </w:rPr>
        <w:lastRenderedPageBreak/>
        <w:t>que realiza el Estado Mexicano para garantizar la seguridad del país en sus diferentes vertientes.”</w:t>
      </w:r>
    </w:p>
    <w:p w14:paraId="5C94F62D" w14:textId="77777777" w:rsidR="009812A5" w:rsidRPr="00C62C95" w:rsidRDefault="009812A5" w:rsidP="00F01B6C">
      <w:pPr>
        <w:tabs>
          <w:tab w:val="left" w:pos="851"/>
        </w:tabs>
        <w:spacing w:line="360" w:lineRule="auto"/>
        <w:ind w:right="49"/>
        <w:jc w:val="both"/>
        <w:rPr>
          <w:rFonts w:ascii="Palatino Linotype" w:hAnsi="Palatino Linotype"/>
        </w:rPr>
      </w:pPr>
    </w:p>
    <w:p w14:paraId="78EE32B5" w14:textId="091D6D6A" w:rsidR="009812A5" w:rsidRPr="00C62C95" w:rsidRDefault="009812A5" w:rsidP="00F01B6C">
      <w:pPr>
        <w:tabs>
          <w:tab w:val="left" w:pos="851"/>
        </w:tabs>
        <w:spacing w:line="360" w:lineRule="auto"/>
        <w:ind w:right="49"/>
        <w:jc w:val="both"/>
        <w:rPr>
          <w:rFonts w:ascii="Palatino Linotype" w:hAnsi="Palatino Linotype"/>
        </w:rPr>
      </w:pPr>
      <w:r w:rsidRPr="00C62C95">
        <w:rPr>
          <w:rFonts w:ascii="Palatino Linotype" w:hAnsi="Palatino Linotype"/>
        </w:rPr>
        <w:t>Así las cosas, se reconoce que el dar a conocer el nombre de policías, comandantes, jefes de cuadrilla, o cualquier elemento policial (municipal o estatal) puede generar un riesgo a su integridad, más aun tomando en consideración el incremento de los índices de criminalidad que han acaecido en nuestra entidad en los últimos años. Por ello, concuerdo con mis compañeros del Pleno en la necesidad de clasificar el nombre personal de todos los elementos que integran una fuerza pública de seguridad o reacción.</w:t>
      </w:r>
    </w:p>
    <w:p w14:paraId="78CA6F51" w14:textId="77777777" w:rsidR="009812A5" w:rsidRPr="00C62C95" w:rsidRDefault="009812A5" w:rsidP="00F01B6C">
      <w:pPr>
        <w:tabs>
          <w:tab w:val="left" w:pos="851"/>
        </w:tabs>
        <w:spacing w:line="360" w:lineRule="auto"/>
        <w:ind w:right="49"/>
        <w:jc w:val="both"/>
        <w:rPr>
          <w:rFonts w:ascii="Palatino Linotype" w:hAnsi="Palatino Linotype"/>
        </w:rPr>
      </w:pPr>
    </w:p>
    <w:p w14:paraId="48FB4011" w14:textId="28BC4904" w:rsidR="009812A5" w:rsidRPr="00C62C95" w:rsidRDefault="009812A5" w:rsidP="00F01B6C">
      <w:pPr>
        <w:tabs>
          <w:tab w:val="left" w:pos="851"/>
        </w:tabs>
        <w:spacing w:line="360" w:lineRule="auto"/>
        <w:ind w:right="49"/>
        <w:jc w:val="both"/>
        <w:rPr>
          <w:rFonts w:ascii="Palatino Linotype" w:hAnsi="Palatino Linotype"/>
        </w:rPr>
      </w:pPr>
      <w:r w:rsidRPr="00C62C95">
        <w:rPr>
          <w:rFonts w:ascii="Palatino Linotype" w:hAnsi="Palatino Linotype"/>
        </w:rPr>
        <w:t>Empero, la clasificación del cargo, como tal, no aumenta el nivel de protección de privacidad de los integrantes de grupos policiales, puesto que, si ya fue clasificado el nombre del trabajador, el conocer el cargo anonimiza a su titular (tratándose de elementos operativos quienes comparten el mismo cargo con, al menos, una centena de personas más)</w:t>
      </w:r>
      <w:r w:rsidR="00C34F96" w:rsidRPr="00C62C95">
        <w:rPr>
          <w:rFonts w:ascii="Palatino Linotype" w:hAnsi="Palatino Linotype"/>
        </w:rPr>
        <w:t>.</w:t>
      </w:r>
    </w:p>
    <w:p w14:paraId="606E61F2" w14:textId="77777777" w:rsidR="00C34F96" w:rsidRPr="00C62C95" w:rsidRDefault="00C34F96" w:rsidP="00F01B6C">
      <w:pPr>
        <w:tabs>
          <w:tab w:val="left" w:pos="851"/>
        </w:tabs>
        <w:spacing w:line="360" w:lineRule="auto"/>
        <w:ind w:right="49"/>
        <w:jc w:val="both"/>
        <w:rPr>
          <w:rFonts w:ascii="Palatino Linotype" w:hAnsi="Palatino Linotype"/>
        </w:rPr>
      </w:pPr>
    </w:p>
    <w:p w14:paraId="49C2F23D" w14:textId="77777777" w:rsidR="00AC25BC" w:rsidRPr="00C62C95" w:rsidRDefault="00C34F96"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En ese sentido, se debe tomar en consideración que la información que se pretende restringir (el cargo) no sólo puede ser consultada a través de recibos de nómina de los trabajadores, o el formato denominado </w:t>
      </w:r>
      <w:r w:rsidRPr="00C62C95">
        <w:rPr>
          <w:rFonts w:ascii="Palatino Linotype" w:hAnsi="Palatino Linotype"/>
          <w:i/>
        </w:rPr>
        <w:t>Conciliación de Nómina</w:t>
      </w:r>
      <w:r w:rsidRPr="00C62C95">
        <w:rPr>
          <w:rFonts w:ascii="Palatino Linotype" w:hAnsi="Palatino Linotype"/>
        </w:rPr>
        <w:t xml:space="preserve"> que los Sujetos Obligados entregan de forma trimestral al Órgano Superior de Fiscalización de la entidad, pues también puede conocerse este dato mediante el </w:t>
      </w:r>
      <w:r w:rsidRPr="00C62C95">
        <w:rPr>
          <w:rFonts w:ascii="Palatino Linotype" w:hAnsi="Palatino Linotype"/>
          <w:b/>
        </w:rPr>
        <w:t>tabulador de sueldos y salarios</w:t>
      </w:r>
      <w:r w:rsidRPr="00C62C95">
        <w:rPr>
          <w:rFonts w:ascii="Palatino Linotype" w:hAnsi="Palatino Linotype"/>
        </w:rPr>
        <w:t xml:space="preserve">, el cual consiste en un listado de todos los cargos, puestos y niveles que </w:t>
      </w:r>
      <w:r w:rsidRPr="00C62C95">
        <w:rPr>
          <w:rFonts w:ascii="Palatino Linotype" w:hAnsi="Palatino Linotype"/>
        </w:rPr>
        <w:lastRenderedPageBreak/>
        <w:t xml:space="preserve">pueden ocupar los servidores públicos adscritos a un ente público, y donde se muestran las percepciones y deducciones </w:t>
      </w:r>
      <w:r w:rsidR="00AC25BC" w:rsidRPr="00C62C95">
        <w:rPr>
          <w:rFonts w:ascii="Palatino Linotype" w:hAnsi="Palatino Linotype"/>
        </w:rPr>
        <w:t>propias de cada cargo.</w:t>
      </w:r>
    </w:p>
    <w:p w14:paraId="1CDC5E21" w14:textId="77777777" w:rsidR="00AC25BC" w:rsidRPr="00C62C95" w:rsidRDefault="00AC25BC" w:rsidP="00F01B6C">
      <w:pPr>
        <w:tabs>
          <w:tab w:val="left" w:pos="851"/>
        </w:tabs>
        <w:spacing w:line="360" w:lineRule="auto"/>
        <w:ind w:right="49"/>
        <w:jc w:val="both"/>
        <w:rPr>
          <w:rFonts w:ascii="Palatino Linotype" w:hAnsi="Palatino Linotype"/>
        </w:rPr>
      </w:pPr>
    </w:p>
    <w:p w14:paraId="05B06B9E" w14:textId="6157348B" w:rsidR="00C34F96" w:rsidRPr="00C62C95" w:rsidRDefault="00AC25BC" w:rsidP="00F01B6C">
      <w:pPr>
        <w:tabs>
          <w:tab w:val="left" w:pos="851"/>
        </w:tabs>
        <w:spacing w:line="360" w:lineRule="auto"/>
        <w:ind w:right="49"/>
        <w:jc w:val="both"/>
        <w:rPr>
          <w:rFonts w:ascii="Palatino Linotype" w:hAnsi="Palatino Linotype"/>
        </w:rPr>
      </w:pPr>
      <w:r w:rsidRPr="00C62C95">
        <w:rPr>
          <w:rFonts w:ascii="Palatino Linotype" w:hAnsi="Palatino Linotype"/>
        </w:rPr>
        <w:t xml:space="preserve">Por lo tanto, el considerar clasificar el cargo dentro de un recibo de nómina, implicaría el clasificar el dato en </w:t>
      </w:r>
      <w:r w:rsidRPr="00C62C95">
        <w:rPr>
          <w:rFonts w:ascii="Palatino Linotype" w:hAnsi="Palatino Linotype"/>
          <w:b/>
        </w:rPr>
        <w:t>todos</w:t>
      </w:r>
      <w:r w:rsidRPr="00C62C95">
        <w:rPr>
          <w:rFonts w:ascii="Palatino Linotype" w:hAnsi="Palatino Linotype"/>
        </w:rPr>
        <w:t xml:space="preserve"> los documentos donde se aprecie el dato; circunstancia que, insisto, en nada abona a la protección de la vida privada o integridad de los elementos de seguridad pública (pues el restringir sus nombres los anonimiza completamente), pero sí lesiona el derecho de acceso a la información, así como la rendición de cuentas públicas al no permitir conocer a la ciudadanía el salario de los servidores públicos que, sin ser individualizados, perciben por el desempeño de sus funciones.</w:t>
      </w:r>
      <w:r w:rsidR="00C34F96" w:rsidRPr="00C62C95">
        <w:rPr>
          <w:rFonts w:ascii="Palatino Linotype" w:hAnsi="Palatino Linotype"/>
        </w:rPr>
        <w:t xml:space="preserve"> </w:t>
      </w:r>
    </w:p>
    <w:p w14:paraId="1D0A21B8" w14:textId="77777777" w:rsidR="00C34F96" w:rsidRPr="00C62C95" w:rsidRDefault="00C34F96" w:rsidP="00F01B6C">
      <w:pPr>
        <w:tabs>
          <w:tab w:val="left" w:pos="851"/>
        </w:tabs>
        <w:spacing w:line="360" w:lineRule="auto"/>
        <w:ind w:right="49"/>
        <w:jc w:val="both"/>
        <w:rPr>
          <w:rFonts w:ascii="Palatino Linotype" w:hAnsi="Palatino Linotype"/>
        </w:rPr>
      </w:pPr>
    </w:p>
    <w:p w14:paraId="09AE3A89" w14:textId="24EE2314" w:rsidR="000625B1" w:rsidRPr="00C62C95" w:rsidRDefault="00614534" w:rsidP="00F01B6C">
      <w:pPr>
        <w:pStyle w:val="Prrafodelista"/>
        <w:tabs>
          <w:tab w:val="left" w:pos="851"/>
        </w:tabs>
        <w:spacing w:line="360" w:lineRule="auto"/>
        <w:ind w:left="0" w:right="49"/>
        <w:jc w:val="both"/>
        <w:rPr>
          <w:rFonts w:ascii="Palatino Linotype" w:hAnsi="Palatino Linotype"/>
        </w:rPr>
      </w:pPr>
      <w:r w:rsidRPr="00C62C95">
        <w:rPr>
          <w:rFonts w:ascii="Palatino Linotype" w:hAnsi="Palatino Linotype"/>
        </w:rPr>
        <w:t xml:space="preserve">Por tanto, </w:t>
      </w:r>
      <w:r w:rsidR="000625B1" w:rsidRPr="00C62C95">
        <w:rPr>
          <w:rFonts w:ascii="Palatino Linotype" w:hAnsi="Palatino Linotype"/>
        </w:rPr>
        <w:t>la transparencia es uno de los principios rectores de la</w:t>
      </w:r>
      <w:r w:rsidRPr="00C62C95">
        <w:rPr>
          <w:rFonts w:ascii="Palatino Linotype" w:hAnsi="Palatino Linotype"/>
        </w:rPr>
        <w:t xml:space="preserve">s instituciones de seguridad </w:t>
      </w:r>
      <w:r w:rsidR="00A7702A" w:rsidRPr="00C62C95">
        <w:rPr>
          <w:rFonts w:ascii="Palatino Linotype" w:hAnsi="Palatino Linotype"/>
        </w:rPr>
        <w:t>pública</w:t>
      </w:r>
      <w:r w:rsidRPr="00C62C95">
        <w:rPr>
          <w:rFonts w:ascii="Palatino Linotype" w:hAnsi="Palatino Linotype"/>
        </w:rPr>
        <w:t xml:space="preserve"> en los regímenes democráticos.</w:t>
      </w:r>
      <w:r w:rsidR="000625B1" w:rsidRPr="00C62C95">
        <w:rPr>
          <w:rFonts w:ascii="Palatino Linotype" w:hAnsi="Palatino Linotype"/>
        </w:rPr>
        <w:t xml:space="preserve"> Con ésta nos referimos a un estilo de gestión que se incorpora de manera transversal a todos los procesos institucionales y, en la mayor medida posible, a las conductas específicas de los agentes que construyen día a día las denominadas prácticas policiales. Para funcionar adecuadamente, la policía debe aproximarse al ciudadano, asegurar que se responde a sus demandas concretas, que se protegen de manera explícita sus derechos con estricto apego a la ley. Pero, para asegurar la confianza y cooperación ciudadana, la sociedad debe tener certeza sobre el actuar de la policía, lo que sólo </w:t>
      </w:r>
      <w:r w:rsidR="000625B1" w:rsidRPr="00C62C95">
        <w:rPr>
          <w:rFonts w:ascii="Palatino Linotype" w:hAnsi="Palatino Linotype"/>
        </w:rPr>
        <w:lastRenderedPageBreak/>
        <w:t xml:space="preserve">se puede obtener mediante el acceso a la información sobre su desempeño y la rendición de cuentas. </w:t>
      </w:r>
      <w:r w:rsidR="000625B1" w:rsidRPr="00C62C95">
        <w:rPr>
          <w:rStyle w:val="Refdenotaalpie"/>
          <w:rFonts w:ascii="Palatino Linotype" w:hAnsi="Palatino Linotype"/>
        </w:rPr>
        <w:footnoteReference w:id="1"/>
      </w:r>
    </w:p>
    <w:p w14:paraId="7C085CFA"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rPr>
      </w:pPr>
    </w:p>
    <w:p w14:paraId="67E3E066"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rPr>
      </w:pPr>
      <w:r w:rsidRPr="00C62C95">
        <w:rPr>
          <w:rFonts w:ascii="Palatino Linotype" w:hAnsi="Palatino Linotype"/>
        </w:rPr>
        <w:t>La falta de transparencia, rendición de cuentas y atención a los ciudadanos implica graves e innecesarios riesgos para los policías y la ciudadanía. En este sentido, modificar la gestión y la operación de la policía para que responda a la ciudadanía es beneficioso para todos.</w:t>
      </w:r>
    </w:p>
    <w:p w14:paraId="2C249361"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rPr>
      </w:pPr>
    </w:p>
    <w:p w14:paraId="1236C06A" w14:textId="096D4AB4" w:rsidR="000625B1" w:rsidRPr="00C62C95" w:rsidRDefault="000625B1" w:rsidP="00F01B6C">
      <w:pPr>
        <w:pStyle w:val="Prrafodelista"/>
        <w:tabs>
          <w:tab w:val="left" w:pos="851"/>
        </w:tabs>
        <w:spacing w:line="360" w:lineRule="auto"/>
        <w:ind w:left="0" w:right="49"/>
        <w:jc w:val="both"/>
        <w:rPr>
          <w:rFonts w:ascii="Palatino Linotype" w:hAnsi="Palatino Linotype"/>
          <w:vertAlign w:val="superscript"/>
        </w:rPr>
      </w:pPr>
      <w:r w:rsidRPr="00C62C95">
        <w:rPr>
          <w:rFonts w:ascii="Palatino Linotype" w:hAnsi="Palatino Linotype"/>
        </w:rPr>
        <w:t xml:space="preserve">Dado que </w:t>
      </w:r>
      <w:r w:rsidR="00614534" w:rsidRPr="00C62C95">
        <w:rPr>
          <w:rFonts w:ascii="Palatino Linotype" w:hAnsi="Palatino Linotype"/>
        </w:rPr>
        <w:t>las instituciones de seguridad pública</w:t>
      </w:r>
      <w:r w:rsidRPr="00C62C95">
        <w:rPr>
          <w:rFonts w:ascii="Palatino Linotype" w:hAnsi="Palatino Linotype"/>
        </w:rPr>
        <w:t xml:space="preserve"> son instrumentos esenciales para proteger los derechos fundamentales, pero también son factores que los ponen en riesgo, Estado y sociedad deben establecer el mayor número posible de mecanismos que aseguren la visibilidad interna y externa sobre el quehacer de </w:t>
      </w:r>
      <w:r w:rsidR="00A5071D" w:rsidRPr="00C62C95">
        <w:rPr>
          <w:rFonts w:ascii="Palatino Linotype" w:hAnsi="Palatino Linotype"/>
        </w:rPr>
        <w:t>los mismos</w:t>
      </w:r>
      <w:r w:rsidRPr="00C62C95">
        <w:rPr>
          <w:rFonts w:ascii="Palatino Linotype" w:hAnsi="Palatino Linotype"/>
        </w:rPr>
        <w:t xml:space="preserve">, para de esa manera inhibir los riesgos. Es un asunto de sistemas de gestión que deben hacer de la transparencia un componente transversal. Vista así, la construcción de conceptos, políticas, normas y prácticas de transparencia sobre </w:t>
      </w:r>
      <w:r w:rsidR="00A5071D" w:rsidRPr="00C62C95">
        <w:rPr>
          <w:rFonts w:ascii="Palatino Linotype" w:hAnsi="Palatino Linotype"/>
        </w:rPr>
        <w:t xml:space="preserve">las instituciones de seguridad pública </w:t>
      </w:r>
      <w:r w:rsidRPr="00C62C95">
        <w:rPr>
          <w:rFonts w:ascii="Palatino Linotype" w:hAnsi="Palatino Linotype"/>
        </w:rPr>
        <w:t>es una tarea esencial si se pretende un régimen democrático y de derechos sólido. Una policía opaca no corresponde a tal régimen; una policía no transparente debilita la confianza hacia ella y, en suma, “</w:t>
      </w:r>
      <w:r w:rsidRPr="00C62C95">
        <w:rPr>
          <w:rFonts w:ascii="Palatino Linotype" w:hAnsi="Palatino Linotype"/>
          <w:i/>
        </w:rPr>
        <w:t xml:space="preserve">la ausencia de confianza </w:t>
      </w:r>
      <w:r w:rsidRPr="00C62C95">
        <w:rPr>
          <w:rFonts w:ascii="Palatino Linotype" w:hAnsi="Palatino Linotype"/>
          <w:i/>
        </w:rPr>
        <w:lastRenderedPageBreak/>
        <w:t>significa, tanto para los civiles como para la policía, mucho menos seguridad y mucho menos efectividad en la prevención y el combate al crimen”</w:t>
      </w:r>
      <w:r w:rsidRPr="00C62C95">
        <w:rPr>
          <w:rFonts w:ascii="Palatino Linotype" w:hAnsi="Palatino Linotype"/>
          <w:vertAlign w:val="superscript"/>
        </w:rPr>
        <w:t>.</w:t>
      </w:r>
      <w:r w:rsidRPr="00C62C95">
        <w:rPr>
          <w:rFonts w:ascii="Palatino Linotype" w:hAnsi="Palatino Linotype"/>
          <w:vertAlign w:val="superscript"/>
        </w:rPr>
        <w:footnoteReference w:id="2"/>
      </w:r>
    </w:p>
    <w:p w14:paraId="5DED4F40" w14:textId="77777777" w:rsidR="000625B1" w:rsidRPr="00C62C95" w:rsidRDefault="000625B1" w:rsidP="00F01B6C">
      <w:pPr>
        <w:pStyle w:val="Prrafodelista"/>
        <w:tabs>
          <w:tab w:val="left" w:pos="851"/>
        </w:tabs>
        <w:spacing w:line="360" w:lineRule="auto"/>
        <w:ind w:left="0" w:right="49"/>
        <w:jc w:val="both"/>
        <w:rPr>
          <w:rFonts w:ascii="Palatino Linotype" w:hAnsi="Palatino Linotype"/>
          <w:vertAlign w:val="superscript"/>
        </w:rPr>
      </w:pPr>
    </w:p>
    <w:p w14:paraId="3AF4D71D" w14:textId="00585948" w:rsidR="000625B1" w:rsidRPr="00C62C95" w:rsidRDefault="000625B1" w:rsidP="00F01B6C">
      <w:pPr>
        <w:pStyle w:val="Prrafodelista"/>
        <w:tabs>
          <w:tab w:val="left" w:pos="851"/>
        </w:tabs>
        <w:spacing w:line="360" w:lineRule="auto"/>
        <w:ind w:left="0" w:right="49"/>
        <w:jc w:val="both"/>
        <w:rPr>
          <w:rFonts w:ascii="Palatino Linotype" w:hAnsi="Palatino Linotype"/>
        </w:rPr>
      </w:pPr>
      <w:r w:rsidRPr="00C62C95">
        <w:rPr>
          <w:rFonts w:ascii="Palatino Linotype" w:hAnsi="Palatino Linotype"/>
        </w:rPr>
        <w:t xml:space="preserve">Por tanto, es fundamental que la información sobre </w:t>
      </w:r>
      <w:r w:rsidR="00A5071D" w:rsidRPr="00C62C95">
        <w:rPr>
          <w:rFonts w:ascii="Palatino Linotype" w:hAnsi="Palatino Linotype"/>
        </w:rPr>
        <w:t xml:space="preserve">las instituciones de seguridad pública </w:t>
      </w:r>
      <w:r w:rsidRPr="00C62C95">
        <w:rPr>
          <w:rFonts w:ascii="Palatino Linotype" w:hAnsi="Palatino Linotype"/>
        </w:rPr>
        <w:t xml:space="preserve">sea pública y accesible. La vigilancia debe permitir suficiente información para que la ciudadanía sepa lo que pasa, pero sin violar los derechos humanos de los </w:t>
      </w:r>
      <w:r w:rsidR="00A5071D" w:rsidRPr="00C62C95">
        <w:rPr>
          <w:rFonts w:ascii="Palatino Linotype" w:hAnsi="Palatino Linotype"/>
        </w:rPr>
        <w:t>mismos</w:t>
      </w:r>
      <w:r w:rsidRPr="00C62C95">
        <w:rPr>
          <w:rFonts w:ascii="Palatino Linotype" w:hAnsi="Palatino Linotype"/>
        </w:rPr>
        <w:t xml:space="preserve">. No es aconsejable, por ejemplo, hacer público el nombre de un </w:t>
      </w:r>
      <w:r w:rsidR="00A5071D" w:rsidRPr="00C62C95">
        <w:rPr>
          <w:rFonts w:ascii="Palatino Linotype" w:hAnsi="Palatino Linotype"/>
        </w:rPr>
        <w:t xml:space="preserve">elemento </w:t>
      </w:r>
      <w:r w:rsidRPr="00C62C95">
        <w:rPr>
          <w:rFonts w:ascii="Palatino Linotype" w:hAnsi="Palatino Linotype"/>
        </w:rPr>
        <w:t>polic</w:t>
      </w:r>
      <w:r w:rsidR="00A5071D" w:rsidRPr="00C62C95">
        <w:rPr>
          <w:rFonts w:ascii="Palatino Linotype" w:hAnsi="Palatino Linotype"/>
        </w:rPr>
        <w:t>ial</w:t>
      </w:r>
      <w:r w:rsidRPr="00C62C95">
        <w:rPr>
          <w:rFonts w:ascii="Palatino Linotype" w:hAnsi="Palatino Linotype"/>
        </w:rPr>
        <w:t xml:space="preserve"> bajo investigación, debido a las posibles represalias sociales injustificadas que esto podría acarrear. Sin embargo en este caso,  no se aprecia la razón por la que con la entrega del cargo se haga identificable a un elemento policial, ni las razones por las que se podría  poner en riesgo su vida e integridad, ya que no se da a conocer su nombre, sin embargo dada la importancia de la labor que  realiza,  la sociedad debe tener certeza sobre su actuar, lo que sólo se puede obtener mediante el acceso a la información sobre su desempeño y la rendición de cuentas.</w:t>
      </w:r>
    </w:p>
    <w:p w14:paraId="45B2A806" w14:textId="77777777" w:rsidR="009535D2" w:rsidRPr="00C62C95" w:rsidRDefault="009535D2" w:rsidP="00F01B6C">
      <w:pPr>
        <w:pStyle w:val="Prrafodelista"/>
        <w:tabs>
          <w:tab w:val="left" w:pos="851"/>
        </w:tabs>
        <w:spacing w:line="360" w:lineRule="auto"/>
        <w:ind w:left="0" w:right="49"/>
        <w:jc w:val="both"/>
        <w:rPr>
          <w:rFonts w:ascii="Palatino Linotype" w:hAnsi="Palatino Linotype"/>
        </w:rPr>
      </w:pPr>
    </w:p>
    <w:p w14:paraId="750FDB77" w14:textId="5589A509" w:rsidR="00D96441" w:rsidRPr="00DF6C34" w:rsidRDefault="008936B4" w:rsidP="00DF6C34">
      <w:pPr>
        <w:pStyle w:val="Textoindependiente"/>
        <w:spacing w:line="360" w:lineRule="auto"/>
        <w:ind w:left="102"/>
        <w:rPr>
          <w:rFonts w:eastAsia="Times New Roman" w:cs="Times New Roman"/>
          <w:lang w:eastAsia="es-ES"/>
        </w:rPr>
      </w:pPr>
      <w:r w:rsidRPr="00C62C95">
        <w:rPr>
          <w:rFonts w:eastAsia="Times New Roman" w:cs="Times New Roman"/>
          <w:lang w:eastAsia="es-ES"/>
        </w:rPr>
        <w:t>Lo anterior expone razones suficientes para la emisión y presentación del presente Voto Particular.</w:t>
      </w:r>
      <w:r w:rsidR="00A7702A" w:rsidRPr="00C62C95">
        <w:rPr>
          <w:rFonts w:eastAsia="Times New Roman" w:cs="Times New Roman"/>
          <w:lang w:eastAsia="es-ES"/>
        </w:rPr>
        <w:t xml:space="preserve"> </w:t>
      </w:r>
      <w:r w:rsidRPr="00C62C95">
        <w:rPr>
          <w:rFonts w:eastAsia="Times New Roman" w:cs="Times New Roman"/>
          <w:lang w:eastAsia="es-ES"/>
        </w:rPr>
        <w:t>-----------------------------------------------------------------------------------------------------------------------------------------------------------------------------------------------------------------------------------------------------------------------------------------------------------------</w:t>
      </w:r>
      <w:r w:rsidRPr="00F01B6C">
        <w:rPr>
          <w:rFonts w:eastAsia="Times New Roman" w:cs="Times New Roman"/>
          <w:lang w:eastAsia="es-ES"/>
        </w:rPr>
        <w:tab/>
      </w:r>
      <w:bookmarkStart w:id="4" w:name="_GoBack"/>
      <w:bookmarkEnd w:id="4"/>
    </w:p>
    <w:sectPr w:rsidR="00D96441" w:rsidRPr="00DF6C34" w:rsidSect="00430304">
      <w:headerReference w:type="even" r:id="rId12"/>
      <w:headerReference w:type="default" r:id="rId13"/>
      <w:footerReference w:type="default" r:id="rId14"/>
      <w:headerReference w:type="first" r:id="rId15"/>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9DCE8" w14:textId="77777777" w:rsidR="001202D6" w:rsidRDefault="001202D6" w:rsidP="00C80F8C">
      <w:r>
        <w:separator/>
      </w:r>
    </w:p>
  </w:endnote>
  <w:endnote w:type="continuationSeparator" w:id="0">
    <w:p w14:paraId="1FDA133F" w14:textId="77777777" w:rsidR="001202D6" w:rsidRDefault="001202D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16784"/>
      <w:docPartObj>
        <w:docPartGallery w:val="Page Numbers (Bottom of Page)"/>
        <w:docPartUnique/>
      </w:docPartObj>
    </w:sdtPr>
    <w:sdtEndPr/>
    <w:sdtContent>
      <w:sdt>
        <w:sdtPr>
          <w:id w:val="-1769616900"/>
          <w:docPartObj>
            <w:docPartGallery w:val="Page Numbers (Top of Page)"/>
            <w:docPartUnique/>
          </w:docPartObj>
        </w:sdtPr>
        <w:sdtEndPr/>
        <w:sdtContent>
          <w:p w14:paraId="38FDDE4D" w14:textId="5BF3F046" w:rsidR="00A7702A" w:rsidRDefault="00A7702A">
            <w:pPr>
              <w:pStyle w:val="Piedepgina"/>
              <w:jc w:val="right"/>
            </w:pPr>
            <w:r>
              <w:rPr>
                <w:lang w:val="es-ES"/>
              </w:rPr>
              <w:t xml:space="preserve">Página </w:t>
            </w:r>
            <w:r>
              <w:rPr>
                <w:b/>
                <w:bCs/>
              </w:rPr>
              <w:fldChar w:fldCharType="begin"/>
            </w:r>
            <w:r>
              <w:rPr>
                <w:b/>
                <w:bCs/>
              </w:rPr>
              <w:instrText>PAGE</w:instrText>
            </w:r>
            <w:r>
              <w:rPr>
                <w:b/>
                <w:bCs/>
              </w:rPr>
              <w:fldChar w:fldCharType="separate"/>
            </w:r>
            <w:r w:rsidR="00DF6C34">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6C34">
              <w:rPr>
                <w:b/>
                <w:bCs/>
                <w:noProof/>
              </w:rPr>
              <w:t>34</w:t>
            </w:r>
            <w:r>
              <w:rPr>
                <w:b/>
                <w:bCs/>
              </w:rPr>
              <w:fldChar w:fldCharType="end"/>
            </w:r>
          </w:p>
        </w:sdtContent>
      </w:sdt>
    </w:sdtContent>
  </w:sdt>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27CE8" w14:textId="77777777" w:rsidR="001202D6" w:rsidRDefault="001202D6" w:rsidP="00C80F8C">
      <w:r>
        <w:separator/>
      </w:r>
    </w:p>
  </w:footnote>
  <w:footnote w:type="continuationSeparator" w:id="0">
    <w:p w14:paraId="488D2AB1" w14:textId="77777777" w:rsidR="001202D6" w:rsidRDefault="001202D6" w:rsidP="00C80F8C">
      <w:r>
        <w:continuationSeparator/>
      </w:r>
    </w:p>
  </w:footnote>
  <w:footnote w:id="1">
    <w:p w14:paraId="5980639F" w14:textId="77777777" w:rsidR="000625B1" w:rsidRDefault="000625B1" w:rsidP="000625B1">
      <w:pPr>
        <w:pStyle w:val="Textonotapie"/>
        <w:jc w:val="both"/>
        <w:rPr>
          <w:rFonts w:ascii="Palatino Linotype" w:eastAsia="Times New Roman" w:hAnsi="Palatino Linotype" w:cs="Times New Roman"/>
          <w:sz w:val="16"/>
          <w:szCs w:val="16"/>
          <w:lang w:val="es-ES" w:eastAsia="es-ES"/>
        </w:rPr>
      </w:pPr>
      <w:r>
        <w:rPr>
          <w:rStyle w:val="Refdenotaalpie"/>
        </w:rPr>
        <w:footnoteRef/>
      </w:r>
      <w:r>
        <w:t xml:space="preserve"> </w:t>
      </w:r>
      <w:r>
        <w:rPr>
          <w:rFonts w:ascii="Palatino Linotype" w:eastAsia="Times New Roman" w:hAnsi="Palatino Linotype" w:cs="Times New Roman"/>
          <w:sz w:val="16"/>
          <w:szCs w:val="16"/>
          <w:lang w:val="es-ES" w:eastAsia="es-ES"/>
        </w:rPr>
        <w:t>Serie Cuadernos de Trabajo del Instituto para la Seguridad y la Democracia A.C. (Insyde) Número 15 Función policial y transparencia Conferencia con: Scott Dash Álvaro Álvarez Ferro 17 de octubre de 2006, Ciudad de México Redacción: Héctor Iván Sáenz Meza</w:t>
      </w:r>
    </w:p>
  </w:footnote>
  <w:footnote w:id="2">
    <w:p w14:paraId="2D7A9EAF" w14:textId="77777777" w:rsidR="000625B1" w:rsidRDefault="000625B1" w:rsidP="000625B1">
      <w:pPr>
        <w:pStyle w:val="Prrafodelista"/>
        <w:tabs>
          <w:tab w:val="left" w:pos="851"/>
        </w:tabs>
        <w:ind w:left="0" w:right="51"/>
        <w:jc w:val="both"/>
        <w:rPr>
          <w:rFonts w:ascii="Palatino Linotype" w:hAnsi="Palatino Linotype"/>
          <w:sz w:val="16"/>
          <w:szCs w:val="16"/>
        </w:rPr>
      </w:pPr>
      <w:r>
        <w:rPr>
          <w:rFonts w:ascii="Palatino Linotype" w:hAnsi="Palatino Linotype"/>
          <w:sz w:val="16"/>
          <w:szCs w:val="16"/>
        </w:rPr>
        <w:footnoteRef/>
      </w:r>
      <w:r w:rsidRPr="002E1412">
        <w:rPr>
          <w:rFonts w:ascii="Palatino Linotype" w:hAnsi="Palatino Linotype"/>
          <w:sz w:val="16"/>
          <w:szCs w:val="16"/>
          <w:lang w:val="en-US"/>
        </w:rPr>
        <w:t xml:space="preserve"> Dash, Scott, “Police Services, Not Police Forces. Democratization of Law Enforcement in the United States and Around the World. </w:t>
      </w:r>
      <w:r>
        <w:rPr>
          <w:rFonts w:ascii="Palatino Linotype" w:hAnsi="Palatino Linotype"/>
          <w:sz w:val="16"/>
          <w:szCs w:val="16"/>
        </w:rPr>
        <w:t>Copia manuscrita.</w:t>
      </w:r>
    </w:p>
    <w:p w14:paraId="542663D5" w14:textId="77777777" w:rsidR="000625B1" w:rsidRDefault="000625B1" w:rsidP="000625B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1202D6">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C9FC2" w14:textId="08E782C2" w:rsidR="00F47FB5" w:rsidRPr="00F47FB5" w:rsidRDefault="001202D6" w:rsidP="00F47FB5">
    <w:pPr>
      <w:pStyle w:val="Encabezado"/>
      <w:tabs>
        <w:tab w:val="clear" w:pos="4252"/>
        <w:tab w:val="clear" w:pos="8504"/>
        <w:tab w:val="left" w:pos="2326"/>
      </w:tabs>
      <w:ind w:left="2835"/>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F47FB5">
      <w:rPr>
        <w:rFonts w:ascii="Palatino Linotype" w:hAnsi="Palatino Linotype" w:cs="Tahoma"/>
        <w:b/>
      </w:rPr>
      <w:t>Voto Particular</w:t>
    </w:r>
  </w:p>
  <w:p w14:paraId="1854F256" w14:textId="035958DC" w:rsidR="00E00BE5" w:rsidRDefault="00F47FB5" w:rsidP="006F62BA">
    <w:pPr>
      <w:pStyle w:val="Encabezado"/>
      <w:ind w:left="2835" w:right="-250"/>
      <w:rPr>
        <w:rFonts w:ascii="Palatino Linotype" w:hAnsi="Palatino Linotype"/>
        <w:b/>
        <w:bCs/>
        <w:sz w:val="22"/>
        <w:szCs w:val="22"/>
      </w:rPr>
    </w:pPr>
    <w:r>
      <w:rPr>
        <w:rFonts w:ascii="Palatino Linotype" w:hAnsi="Palatino Linotype" w:cs="Tahoma"/>
        <w:b/>
      </w:rPr>
      <w:t xml:space="preserve">Recurso de Revisión: </w:t>
    </w:r>
    <w:r w:rsidR="00F01B6C" w:rsidRPr="00F01B6C">
      <w:rPr>
        <w:rFonts w:ascii="Palatino Linotype" w:hAnsi="Palatino Linotype" w:cs="Tahoma"/>
        <w:b/>
      </w:rPr>
      <w:t>12231/INFOEM/IP/RR/2022 y acumulado</w:t>
    </w:r>
  </w:p>
  <w:p w14:paraId="71104997" w14:textId="2FCAD005" w:rsidR="00634485" w:rsidRDefault="00F47FB5" w:rsidP="006F62BA">
    <w:pPr>
      <w:pStyle w:val="Encabezado"/>
      <w:ind w:left="2835" w:right="-250"/>
    </w:pPr>
    <w:r>
      <w:rPr>
        <w:rFonts w:ascii="Palatino Linotype" w:hAnsi="Palatino Linotype" w:cs="Tahoma"/>
        <w:b/>
      </w:rPr>
      <w:t>Sujeto Obligado:</w:t>
    </w:r>
    <w:r>
      <w:rPr>
        <w:rFonts w:ascii="Palatino Linotype" w:eastAsia="Palatino Linotype" w:hAnsi="Palatino Linotype" w:cs="Palatino Linotype"/>
        <w:b/>
      </w:rPr>
      <w:t xml:space="preserve"> </w:t>
    </w:r>
    <w:r w:rsidR="00C80704">
      <w:rPr>
        <w:rFonts w:ascii="Palatino Linotype" w:hAnsi="Palatino Linotype" w:cs="Arial"/>
        <w:b/>
        <w:bCs/>
      </w:rPr>
      <w:t>A</w:t>
    </w:r>
    <w:r w:rsidR="00F01B6C">
      <w:rPr>
        <w:rFonts w:ascii="Palatino Linotype" w:hAnsi="Palatino Linotype" w:cs="Arial"/>
        <w:b/>
        <w:bCs/>
      </w:rPr>
      <w:t>yuntamiento de Tlalmanalco</w:t>
    </w:r>
    <w:r w:rsidR="00C80704">
      <w:rPr>
        <w:rFonts w:ascii="Palatino Linotype" w:hAnsi="Palatino Linotype" w:cs="Arial"/>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1202D6">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1E86"/>
    <w:multiLevelType w:val="multilevel"/>
    <w:tmpl w:val="43E899B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A102BB"/>
    <w:multiLevelType w:val="multilevel"/>
    <w:tmpl w:val="ED068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BD3217A"/>
    <w:multiLevelType w:val="hybridMultilevel"/>
    <w:tmpl w:val="1D3862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C3A0345"/>
    <w:multiLevelType w:val="hybridMultilevel"/>
    <w:tmpl w:val="85F45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36812D8"/>
    <w:multiLevelType w:val="hybridMultilevel"/>
    <w:tmpl w:val="FE1AD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47B92"/>
    <w:multiLevelType w:val="hybridMultilevel"/>
    <w:tmpl w:val="CAC0A186"/>
    <w:lvl w:ilvl="0" w:tplc="080A0017">
      <w:start w:val="1"/>
      <w:numFmt w:val="lowerLetter"/>
      <w:lvlText w:val="%1)"/>
      <w:lvlJc w:val="left"/>
      <w:pPr>
        <w:ind w:left="1004" w:hanging="360"/>
      </w:pPr>
      <w:rPr>
        <w:b/>
        <w:bCs/>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3"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4C477C9"/>
    <w:multiLevelType w:val="hybridMultilevel"/>
    <w:tmpl w:val="6A1C40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9673FE"/>
    <w:multiLevelType w:val="multilevel"/>
    <w:tmpl w:val="30E89B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43A29D3"/>
    <w:multiLevelType w:val="hybridMultilevel"/>
    <w:tmpl w:val="CB9A6F26"/>
    <w:lvl w:ilvl="0" w:tplc="6B529348">
      <w:start w:val="1"/>
      <w:numFmt w:val="upperLetter"/>
      <w:lvlText w:val="%1)"/>
      <w:lvlJc w:val="left"/>
      <w:pPr>
        <w:ind w:left="1494" w:hanging="360"/>
      </w:pPr>
    </w:lvl>
    <w:lvl w:ilvl="1" w:tplc="080A0019">
      <w:start w:val="1"/>
      <w:numFmt w:val="lowerLetter"/>
      <w:lvlText w:val="%2."/>
      <w:lvlJc w:val="left"/>
      <w:pPr>
        <w:ind w:left="2214" w:hanging="360"/>
      </w:pPr>
    </w:lvl>
    <w:lvl w:ilvl="2" w:tplc="080A001B">
      <w:start w:val="1"/>
      <w:numFmt w:val="lowerRoman"/>
      <w:lvlText w:val="%3."/>
      <w:lvlJc w:val="right"/>
      <w:pPr>
        <w:ind w:left="2934" w:hanging="180"/>
      </w:pPr>
    </w:lvl>
    <w:lvl w:ilvl="3" w:tplc="080A000F">
      <w:start w:val="1"/>
      <w:numFmt w:val="decimal"/>
      <w:lvlText w:val="%4."/>
      <w:lvlJc w:val="left"/>
      <w:pPr>
        <w:ind w:left="3654" w:hanging="360"/>
      </w:pPr>
    </w:lvl>
    <w:lvl w:ilvl="4" w:tplc="080A0019">
      <w:start w:val="1"/>
      <w:numFmt w:val="lowerLetter"/>
      <w:lvlText w:val="%5."/>
      <w:lvlJc w:val="left"/>
      <w:pPr>
        <w:ind w:left="4374" w:hanging="360"/>
      </w:pPr>
    </w:lvl>
    <w:lvl w:ilvl="5" w:tplc="080A001B">
      <w:start w:val="1"/>
      <w:numFmt w:val="lowerRoman"/>
      <w:lvlText w:val="%6."/>
      <w:lvlJc w:val="right"/>
      <w:pPr>
        <w:ind w:left="5094" w:hanging="180"/>
      </w:pPr>
    </w:lvl>
    <w:lvl w:ilvl="6" w:tplc="080A000F">
      <w:start w:val="1"/>
      <w:numFmt w:val="decimal"/>
      <w:lvlText w:val="%7."/>
      <w:lvlJc w:val="left"/>
      <w:pPr>
        <w:ind w:left="5814" w:hanging="360"/>
      </w:pPr>
    </w:lvl>
    <w:lvl w:ilvl="7" w:tplc="080A0019">
      <w:start w:val="1"/>
      <w:numFmt w:val="lowerLetter"/>
      <w:lvlText w:val="%8."/>
      <w:lvlJc w:val="left"/>
      <w:pPr>
        <w:ind w:left="6534" w:hanging="360"/>
      </w:pPr>
    </w:lvl>
    <w:lvl w:ilvl="8" w:tplc="080A001B">
      <w:start w:val="1"/>
      <w:numFmt w:val="lowerRoman"/>
      <w:lvlText w:val="%9."/>
      <w:lvlJc w:val="right"/>
      <w:pPr>
        <w:ind w:left="7254" w:hanging="180"/>
      </w:pPr>
    </w:lvl>
  </w:abstractNum>
  <w:abstractNum w:abstractNumId="18"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C25618"/>
    <w:multiLevelType w:val="hybridMultilevel"/>
    <w:tmpl w:val="8DA0BAA0"/>
    <w:lvl w:ilvl="0" w:tplc="737CD6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977EA"/>
    <w:multiLevelType w:val="hybridMultilevel"/>
    <w:tmpl w:val="0248BCE4"/>
    <w:lvl w:ilvl="0" w:tplc="DB2A98CA">
      <w:start w:val="1"/>
      <w:numFmt w:val="bullet"/>
      <w:lvlText w:val=""/>
      <w:lvlJc w:val="left"/>
      <w:pPr>
        <w:ind w:left="720" w:hanging="360"/>
      </w:pPr>
      <w:rPr>
        <w:rFonts w:ascii="Symbol" w:eastAsiaTheme="minorHAnsi" w:hAnsi="Symbol" w:cs="Aria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1E5A05"/>
    <w:multiLevelType w:val="hybridMultilevel"/>
    <w:tmpl w:val="1368DCBA"/>
    <w:lvl w:ilvl="0" w:tplc="8AB4890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5C475C6"/>
    <w:multiLevelType w:val="multilevel"/>
    <w:tmpl w:val="08308928"/>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25"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DD0D92"/>
    <w:multiLevelType w:val="hybridMultilevel"/>
    <w:tmpl w:val="3140C5E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F94A7E"/>
    <w:multiLevelType w:val="hybridMultilevel"/>
    <w:tmpl w:val="0BEE1290"/>
    <w:lvl w:ilvl="0" w:tplc="080A000F">
      <w:start w:val="1"/>
      <w:numFmt w:val="decimal"/>
      <w:lvlText w:val="%1."/>
      <w:lvlJc w:val="left"/>
      <w:pPr>
        <w:ind w:left="720" w:hanging="360"/>
      </w:pPr>
      <w:rPr>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D1710C1"/>
    <w:multiLevelType w:val="multilevel"/>
    <w:tmpl w:val="F8907250"/>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0" w15:restartNumberingAfterBreak="0">
    <w:nsid w:val="5DE724A9"/>
    <w:multiLevelType w:val="hybridMultilevel"/>
    <w:tmpl w:val="A238AE0C"/>
    <w:lvl w:ilvl="0" w:tplc="580A000F">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31"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4"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6" w15:restartNumberingAfterBreak="0">
    <w:nsid w:val="70CF73F2"/>
    <w:multiLevelType w:val="hybridMultilevel"/>
    <w:tmpl w:val="D72A27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136A0"/>
    <w:multiLevelType w:val="hybridMultilevel"/>
    <w:tmpl w:val="DE585F00"/>
    <w:lvl w:ilvl="0" w:tplc="9216D5FA">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4"/>
  </w:num>
  <w:num w:numId="3">
    <w:abstractNumId w:val="10"/>
  </w:num>
  <w:num w:numId="4">
    <w:abstractNumId w:val="15"/>
  </w:num>
  <w:num w:numId="5">
    <w:abstractNumId w:val="34"/>
  </w:num>
  <w:num w:numId="6">
    <w:abstractNumId w:val="32"/>
  </w:num>
  <w:num w:numId="7">
    <w:abstractNumId w:val="25"/>
  </w:num>
  <w:num w:numId="8">
    <w:abstractNumId w:val="3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40"/>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8"/>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1"/>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3"/>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4"/>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lvlOverride w:ilvl="2"/>
    <w:lvlOverride w:ilvl="3"/>
    <w:lvlOverride w:ilvl="4"/>
    <w:lvlOverride w:ilvl="5"/>
    <w:lvlOverride w:ilvl="6"/>
    <w:lvlOverride w:ilvl="7"/>
    <w:lvlOverride w:ilvl="8"/>
  </w:num>
  <w:num w:numId="39">
    <w:abstractNumId w:val="20"/>
  </w:num>
  <w:num w:numId="4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4"/>
  </w:num>
  <w:num w:numId="44">
    <w:abstractNumId w:val="28"/>
    <w:lvlOverride w:ilvl="0">
      <w:startOverride w:val="1"/>
    </w:lvlOverride>
    <w:lvlOverride w:ilvl="1"/>
    <w:lvlOverride w:ilvl="2"/>
    <w:lvlOverride w:ilvl="3"/>
    <w:lvlOverride w:ilvl="4"/>
    <w:lvlOverride w:ilvl="5"/>
    <w:lvlOverride w:ilvl="6"/>
    <w:lvlOverride w:ilvl="7"/>
    <w:lvlOverride w:ilvl="8"/>
  </w:num>
  <w:num w:numId="45">
    <w:abstractNumId w:val="19"/>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3360D"/>
    <w:rsid w:val="00043D11"/>
    <w:rsid w:val="00055D60"/>
    <w:rsid w:val="00061126"/>
    <w:rsid w:val="000625B1"/>
    <w:rsid w:val="0008542A"/>
    <w:rsid w:val="000B37D9"/>
    <w:rsid w:val="000B3FFD"/>
    <w:rsid w:val="000C43E5"/>
    <w:rsid w:val="000C4453"/>
    <w:rsid w:val="000D656A"/>
    <w:rsid w:val="000E27BB"/>
    <w:rsid w:val="000F594E"/>
    <w:rsid w:val="00105578"/>
    <w:rsid w:val="001112E6"/>
    <w:rsid w:val="00115E7A"/>
    <w:rsid w:val="001202D6"/>
    <w:rsid w:val="0012234B"/>
    <w:rsid w:val="00135555"/>
    <w:rsid w:val="001436C9"/>
    <w:rsid w:val="00157C4A"/>
    <w:rsid w:val="0018216B"/>
    <w:rsid w:val="00190DD0"/>
    <w:rsid w:val="001960A5"/>
    <w:rsid w:val="001B3D11"/>
    <w:rsid w:val="001C7B07"/>
    <w:rsid w:val="0020666A"/>
    <w:rsid w:val="00216C06"/>
    <w:rsid w:val="00236FD8"/>
    <w:rsid w:val="002378AC"/>
    <w:rsid w:val="00266831"/>
    <w:rsid w:val="00284217"/>
    <w:rsid w:val="00294490"/>
    <w:rsid w:val="002A7B49"/>
    <w:rsid w:val="002D5B21"/>
    <w:rsid w:val="002E1412"/>
    <w:rsid w:val="002E7D97"/>
    <w:rsid w:val="003026CE"/>
    <w:rsid w:val="00312863"/>
    <w:rsid w:val="00326EEA"/>
    <w:rsid w:val="003448FB"/>
    <w:rsid w:val="00374ECA"/>
    <w:rsid w:val="0039131A"/>
    <w:rsid w:val="003A3E61"/>
    <w:rsid w:val="003B75EE"/>
    <w:rsid w:val="003C6DAB"/>
    <w:rsid w:val="003D05C3"/>
    <w:rsid w:val="003D1F47"/>
    <w:rsid w:val="003F0929"/>
    <w:rsid w:val="003F528B"/>
    <w:rsid w:val="00411692"/>
    <w:rsid w:val="00430304"/>
    <w:rsid w:val="0043105B"/>
    <w:rsid w:val="00435FF9"/>
    <w:rsid w:val="00445879"/>
    <w:rsid w:val="0047213D"/>
    <w:rsid w:val="004807CC"/>
    <w:rsid w:val="00484A47"/>
    <w:rsid w:val="00484F6F"/>
    <w:rsid w:val="004A7F16"/>
    <w:rsid w:val="004B2706"/>
    <w:rsid w:val="004C6733"/>
    <w:rsid w:val="004D0A26"/>
    <w:rsid w:val="004E305D"/>
    <w:rsid w:val="004E7984"/>
    <w:rsid w:val="004F5E4D"/>
    <w:rsid w:val="00502EE6"/>
    <w:rsid w:val="0050559A"/>
    <w:rsid w:val="00513782"/>
    <w:rsid w:val="00524594"/>
    <w:rsid w:val="00524DDD"/>
    <w:rsid w:val="00530898"/>
    <w:rsid w:val="005558D0"/>
    <w:rsid w:val="00575235"/>
    <w:rsid w:val="005766FA"/>
    <w:rsid w:val="00592BEE"/>
    <w:rsid w:val="005B05D8"/>
    <w:rsid w:val="005C0271"/>
    <w:rsid w:val="005C4513"/>
    <w:rsid w:val="005C481C"/>
    <w:rsid w:val="005C4ADA"/>
    <w:rsid w:val="005D1946"/>
    <w:rsid w:val="005F3A48"/>
    <w:rsid w:val="00614534"/>
    <w:rsid w:val="00615B7E"/>
    <w:rsid w:val="00621357"/>
    <w:rsid w:val="00634485"/>
    <w:rsid w:val="006524B7"/>
    <w:rsid w:val="00665800"/>
    <w:rsid w:val="0067340C"/>
    <w:rsid w:val="0067381F"/>
    <w:rsid w:val="0068101D"/>
    <w:rsid w:val="006822ED"/>
    <w:rsid w:val="00685B0E"/>
    <w:rsid w:val="006A7AB7"/>
    <w:rsid w:val="006B2674"/>
    <w:rsid w:val="006E6389"/>
    <w:rsid w:val="006F04CC"/>
    <w:rsid w:val="006F0A6E"/>
    <w:rsid w:val="006F30F8"/>
    <w:rsid w:val="006F62BA"/>
    <w:rsid w:val="00700DF1"/>
    <w:rsid w:val="00701B9E"/>
    <w:rsid w:val="00706B53"/>
    <w:rsid w:val="0071093C"/>
    <w:rsid w:val="00736C06"/>
    <w:rsid w:val="00760037"/>
    <w:rsid w:val="007617C8"/>
    <w:rsid w:val="00762C20"/>
    <w:rsid w:val="00763BD8"/>
    <w:rsid w:val="007A0EB7"/>
    <w:rsid w:val="007A1C9F"/>
    <w:rsid w:val="007B1CFA"/>
    <w:rsid w:val="007B578D"/>
    <w:rsid w:val="007C0652"/>
    <w:rsid w:val="007C766E"/>
    <w:rsid w:val="007D4251"/>
    <w:rsid w:val="007D46B1"/>
    <w:rsid w:val="007D49CE"/>
    <w:rsid w:val="007E2D4F"/>
    <w:rsid w:val="007E4CDF"/>
    <w:rsid w:val="007E70F8"/>
    <w:rsid w:val="00807750"/>
    <w:rsid w:val="00812F10"/>
    <w:rsid w:val="00820022"/>
    <w:rsid w:val="00820034"/>
    <w:rsid w:val="0083108D"/>
    <w:rsid w:val="008421B8"/>
    <w:rsid w:val="00861117"/>
    <w:rsid w:val="00861A61"/>
    <w:rsid w:val="00887C41"/>
    <w:rsid w:val="00892AFC"/>
    <w:rsid w:val="008936B4"/>
    <w:rsid w:val="008A67F1"/>
    <w:rsid w:val="008B0A68"/>
    <w:rsid w:val="008C19BE"/>
    <w:rsid w:val="008C3C4B"/>
    <w:rsid w:val="008D1526"/>
    <w:rsid w:val="008F0202"/>
    <w:rsid w:val="008F67BC"/>
    <w:rsid w:val="009535D2"/>
    <w:rsid w:val="00956B18"/>
    <w:rsid w:val="00961995"/>
    <w:rsid w:val="00975EB9"/>
    <w:rsid w:val="009812A5"/>
    <w:rsid w:val="00981C38"/>
    <w:rsid w:val="00997CD5"/>
    <w:rsid w:val="009B3D3A"/>
    <w:rsid w:val="009C666B"/>
    <w:rsid w:val="009D10D2"/>
    <w:rsid w:val="009E155A"/>
    <w:rsid w:val="009F0D8D"/>
    <w:rsid w:val="009F3BD0"/>
    <w:rsid w:val="00A16950"/>
    <w:rsid w:val="00A303B0"/>
    <w:rsid w:val="00A5071D"/>
    <w:rsid w:val="00A53363"/>
    <w:rsid w:val="00A5360A"/>
    <w:rsid w:val="00A561C5"/>
    <w:rsid w:val="00A610D3"/>
    <w:rsid w:val="00A64683"/>
    <w:rsid w:val="00A66A81"/>
    <w:rsid w:val="00A74BB7"/>
    <w:rsid w:val="00A7532A"/>
    <w:rsid w:val="00A7702A"/>
    <w:rsid w:val="00A81140"/>
    <w:rsid w:val="00AB78CF"/>
    <w:rsid w:val="00AC0680"/>
    <w:rsid w:val="00AC25BC"/>
    <w:rsid w:val="00AE7763"/>
    <w:rsid w:val="00B014D8"/>
    <w:rsid w:val="00B05E5A"/>
    <w:rsid w:val="00B17E67"/>
    <w:rsid w:val="00B343D6"/>
    <w:rsid w:val="00B42CDC"/>
    <w:rsid w:val="00B53290"/>
    <w:rsid w:val="00B64C7A"/>
    <w:rsid w:val="00B64CFB"/>
    <w:rsid w:val="00B703D7"/>
    <w:rsid w:val="00B7360E"/>
    <w:rsid w:val="00B868A5"/>
    <w:rsid w:val="00BB071F"/>
    <w:rsid w:val="00BB11DB"/>
    <w:rsid w:val="00BB2AD1"/>
    <w:rsid w:val="00BC1756"/>
    <w:rsid w:val="00BD048F"/>
    <w:rsid w:val="00BD07E6"/>
    <w:rsid w:val="00BD7483"/>
    <w:rsid w:val="00BE05AB"/>
    <w:rsid w:val="00BF358F"/>
    <w:rsid w:val="00BF68F0"/>
    <w:rsid w:val="00BF6974"/>
    <w:rsid w:val="00BF6E14"/>
    <w:rsid w:val="00C156E5"/>
    <w:rsid w:val="00C242A7"/>
    <w:rsid w:val="00C27236"/>
    <w:rsid w:val="00C34F96"/>
    <w:rsid w:val="00C62C95"/>
    <w:rsid w:val="00C65950"/>
    <w:rsid w:val="00C75CBC"/>
    <w:rsid w:val="00C80704"/>
    <w:rsid w:val="00C80F8C"/>
    <w:rsid w:val="00C85F1D"/>
    <w:rsid w:val="00C8760D"/>
    <w:rsid w:val="00CA2B38"/>
    <w:rsid w:val="00CB2F05"/>
    <w:rsid w:val="00CE0FA6"/>
    <w:rsid w:val="00CE217B"/>
    <w:rsid w:val="00CF3F65"/>
    <w:rsid w:val="00D03369"/>
    <w:rsid w:val="00D20156"/>
    <w:rsid w:val="00D36ABC"/>
    <w:rsid w:val="00D96441"/>
    <w:rsid w:val="00DC2CB7"/>
    <w:rsid w:val="00DC3082"/>
    <w:rsid w:val="00DD45AC"/>
    <w:rsid w:val="00DD5CD5"/>
    <w:rsid w:val="00DE1629"/>
    <w:rsid w:val="00DE5C27"/>
    <w:rsid w:val="00DF6C34"/>
    <w:rsid w:val="00E00BE5"/>
    <w:rsid w:val="00E27835"/>
    <w:rsid w:val="00E37AE3"/>
    <w:rsid w:val="00E429BA"/>
    <w:rsid w:val="00EF3513"/>
    <w:rsid w:val="00F01B6C"/>
    <w:rsid w:val="00F05A30"/>
    <w:rsid w:val="00F10A06"/>
    <w:rsid w:val="00F1205F"/>
    <w:rsid w:val="00F47FB5"/>
    <w:rsid w:val="00F614DA"/>
    <w:rsid w:val="00F638D6"/>
    <w:rsid w:val="00F662BC"/>
    <w:rsid w:val="00F717F4"/>
    <w:rsid w:val="00F75892"/>
    <w:rsid w:val="00F9546D"/>
    <w:rsid w:val="00FA1233"/>
    <w:rsid w:val="00FA363C"/>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A8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qForma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662BC"/>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unhideWhenUsed/>
    <w:qFormat/>
    <w:rsid w:val="008936B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8936B4"/>
    <w:rPr>
      <w:rFonts w:ascii="Palatino Linotype" w:eastAsia="Palatino Linotype" w:hAnsi="Palatino Linotype" w:cs="Palatino Linotyp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9803">
      <w:bodyDiv w:val="1"/>
      <w:marLeft w:val="0"/>
      <w:marRight w:val="0"/>
      <w:marTop w:val="0"/>
      <w:marBottom w:val="0"/>
      <w:divBdr>
        <w:top w:val="none" w:sz="0" w:space="0" w:color="auto"/>
        <w:left w:val="none" w:sz="0" w:space="0" w:color="auto"/>
        <w:bottom w:val="none" w:sz="0" w:space="0" w:color="auto"/>
        <w:right w:val="none" w:sz="0" w:space="0" w:color="auto"/>
      </w:divBdr>
    </w:div>
    <w:div w:id="28991799">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56362713">
      <w:bodyDiv w:val="1"/>
      <w:marLeft w:val="0"/>
      <w:marRight w:val="0"/>
      <w:marTop w:val="0"/>
      <w:marBottom w:val="0"/>
      <w:divBdr>
        <w:top w:val="none" w:sz="0" w:space="0" w:color="auto"/>
        <w:left w:val="none" w:sz="0" w:space="0" w:color="auto"/>
        <w:bottom w:val="none" w:sz="0" w:space="0" w:color="auto"/>
        <w:right w:val="none" w:sz="0" w:space="0" w:color="auto"/>
      </w:divBdr>
    </w:div>
    <w:div w:id="61410152">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84036675">
      <w:bodyDiv w:val="1"/>
      <w:marLeft w:val="0"/>
      <w:marRight w:val="0"/>
      <w:marTop w:val="0"/>
      <w:marBottom w:val="0"/>
      <w:divBdr>
        <w:top w:val="none" w:sz="0" w:space="0" w:color="auto"/>
        <w:left w:val="none" w:sz="0" w:space="0" w:color="auto"/>
        <w:bottom w:val="none" w:sz="0" w:space="0" w:color="auto"/>
        <w:right w:val="none" w:sz="0" w:space="0" w:color="auto"/>
      </w:divBdr>
    </w:div>
    <w:div w:id="106126979">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29632849">
      <w:bodyDiv w:val="1"/>
      <w:marLeft w:val="0"/>
      <w:marRight w:val="0"/>
      <w:marTop w:val="0"/>
      <w:marBottom w:val="0"/>
      <w:divBdr>
        <w:top w:val="none" w:sz="0" w:space="0" w:color="auto"/>
        <w:left w:val="none" w:sz="0" w:space="0" w:color="auto"/>
        <w:bottom w:val="none" w:sz="0" w:space="0" w:color="auto"/>
        <w:right w:val="none" w:sz="0" w:space="0" w:color="auto"/>
      </w:divBdr>
    </w:div>
    <w:div w:id="132068157">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55727857">
      <w:bodyDiv w:val="1"/>
      <w:marLeft w:val="0"/>
      <w:marRight w:val="0"/>
      <w:marTop w:val="0"/>
      <w:marBottom w:val="0"/>
      <w:divBdr>
        <w:top w:val="none" w:sz="0" w:space="0" w:color="auto"/>
        <w:left w:val="none" w:sz="0" w:space="0" w:color="auto"/>
        <w:bottom w:val="none" w:sz="0" w:space="0" w:color="auto"/>
        <w:right w:val="none" w:sz="0" w:space="0" w:color="auto"/>
      </w:divBdr>
    </w:div>
    <w:div w:id="160046113">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5183250">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6302061">
      <w:bodyDiv w:val="1"/>
      <w:marLeft w:val="0"/>
      <w:marRight w:val="0"/>
      <w:marTop w:val="0"/>
      <w:marBottom w:val="0"/>
      <w:divBdr>
        <w:top w:val="none" w:sz="0" w:space="0" w:color="auto"/>
        <w:left w:val="none" w:sz="0" w:space="0" w:color="auto"/>
        <w:bottom w:val="none" w:sz="0" w:space="0" w:color="auto"/>
        <w:right w:val="none" w:sz="0" w:space="0" w:color="auto"/>
      </w:divBdr>
    </w:div>
    <w:div w:id="391002629">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17406817">
      <w:bodyDiv w:val="1"/>
      <w:marLeft w:val="0"/>
      <w:marRight w:val="0"/>
      <w:marTop w:val="0"/>
      <w:marBottom w:val="0"/>
      <w:divBdr>
        <w:top w:val="none" w:sz="0" w:space="0" w:color="auto"/>
        <w:left w:val="none" w:sz="0" w:space="0" w:color="auto"/>
        <w:bottom w:val="none" w:sz="0" w:space="0" w:color="auto"/>
        <w:right w:val="none" w:sz="0" w:space="0" w:color="auto"/>
      </w:divBdr>
    </w:div>
    <w:div w:id="433405429">
      <w:bodyDiv w:val="1"/>
      <w:marLeft w:val="0"/>
      <w:marRight w:val="0"/>
      <w:marTop w:val="0"/>
      <w:marBottom w:val="0"/>
      <w:divBdr>
        <w:top w:val="none" w:sz="0" w:space="0" w:color="auto"/>
        <w:left w:val="none" w:sz="0" w:space="0" w:color="auto"/>
        <w:bottom w:val="none" w:sz="0" w:space="0" w:color="auto"/>
        <w:right w:val="none" w:sz="0" w:space="0" w:color="auto"/>
      </w:divBdr>
    </w:div>
    <w:div w:id="435904791">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43306805">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00238861">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5936697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9209593">
      <w:bodyDiv w:val="1"/>
      <w:marLeft w:val="0"/>
      <w:marRight w:val="0"/>
      <w:marTop w:val="0"/>
      <w:marBottom w:val="0"/>
      <w:divBdr>
        <w:top w:val="none" w:sz="0" w:space="0" w:color="auto"/>
        <w:left w:val="none" w:sz="0" w:space="0" w:color="auto"/>
        <w:bottom w:val="none" w:sz="0" w:space="0" w:color="auto"/>
        <w:right w:val="none" w:sz="0" w:space="0" w:color="auto"/>
      </w:divBdr>
    </w:div>
    <w:div w:id="784424620">
      <w:bodyDiv w:val="1"/>
      <w:marLeft w:val="0"/>
      <w:marRight w:val="0"/>
      <w:marTop w:val="0"/>
      <w:marBottom w:val="0"/>
      <w:divBdr>
        <w:top w:val="none" w:sz="0" w:space="0" w:color="auto"/>
        <w:left w:val="none" w:sz="0" w:space="0" w:color="auto"/>
        <w:bottom w:val="none" w:sz="0" w:space="0" w:color="auto"/>
        <w:right w:val="none" w:sz="0" w:space="0" w:color="auto"/>
      </w:divBdr>
    </w:div>
    <w:div w:id="806698803">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285700">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73928310">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62539360">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5133063">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62412936">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0539628">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170272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23771831">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77964030">
      <w:bodyDiv w:val="1"/>
      <w:marLeft w:val="0"/>
      <w:marRight w:val="0"/>
      <w:marTop w:val="0"/>
      <w:marBottom w:val="0"/>
      <w:divBdr>
        <w:top w:val="none" w:sz="0" w:space="0" w:color="auto"/>
        <w:left w:val="none" w:sz="0" w:space="0" w:color="auto"/>
        <w:bottom w:val="none" w:sz="0" w:space="0" w:color="auto"/>
        <w:right w:val="none" w:sz="0" w:space="0" w:color="auto"/>
      </w:divBdr>
    </w:div>
    <w:div w:id="1195772232">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96057781">
      <w:bodyDiv w:val="1"/>
      <w:marLeft w:val="0"/>
      <w:marRight w:val="0"/>
      <w:marTop w:val="0"/>
      <w:marBottom w:val="0"/>
      <w:divBdr>
        <w:top w:val="none" w:sz="0" w:space="0" w:color="auto"/>
        <w:left w:val="none" w:sz="0" w:space="0" w:color="auto"/>
        <w:bottom w:val="none" w:sz="0" w:space="0" w:color="auto"/>
        <w:right w:val="none" w:sz="0" w:space="0" w:color="auto"/>
      </w:divBdr>
    </w:div>
    <w:div w:id="1296252743">
      <w:bodyDiv w:val="1"/>
      <w:marLeft w:val="0"/>
      <w:marRight w:val="0"/>
      <w:marTop w:val="0"/>
      <w:marBottom w:val="0"/>
      <w:divBdr>
        <w:top w:val="none" w:sz="0" w:space="0" w:color="auto"/>
        <w:left w:val="none" w:sz="0" w:space="0" w:color="auto"/>
        <w:bottom w:val="none" w:sz="0" w:space="0" w:color="auto"/>
        <w:right w:val="none" w:sz="0" w:space="0" w:color="auto"/>
      </w:divBdr>
    </w:div>
    <w:div w:id="1297640263">
      <w:bodyDiv w:val="1"/>
      <w:marLeft w:val="0"/>
      <w:marRight w:val="0"/>
      <w:marTop w:val="0"/>
      <w:marBottom w:val="0"/>
      <w:divBdr>
        <w:top w:val="none" w:sz="0" w:space="0" w:color="auto"/>
        <w:left w:val="none" w:sz="0" w:space="0" w:color="auto"/>
        <w:bottom w:val="none" w:sz="0" w:space="0" w:color="auto"/>
        <w:right w:val="none" w:sz="0" w:space="0" w:color="auto"/>
      </w:divBdr>
    </w:div>
    <w:div w:id="1301764168">
      <w:bodyDiv w:val="1"/>
      <w:marLeft w:val="0"/>
      <w:marRight w:val="0"/>
      <w:marTop w:val="0"/>
      <w:marBottom w:val="0"/>
      <w:divBdr>
        <w:top w:val="none" w:sz="0" w:space="0" w:color="auto"/>
        <w:left w:val="none" w:sz="0" w:space="0" w:color="auto"/>
        <w:bottom w:val="none" w:sz="0" w:space="0" w:color="auto"/>
        <w:right w:val="none" w:sz="0" w:space="0" w:color="auto"/>
      </w:divBdr>
    </w:div>
    <w:div w:id="130812201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35765435">
      <w:bodyDiv w:val="1"/>
      <w:marLeft w:val="0"/>
      <w:marRight w:val="0"/>
      <w:marTop w:val="0"/>
      <w:marBottom w:val="0"/>
      <w:divBdr>
        <w:top w:val="none" w:sz="0" w:space="0" w:color="auto"/>
        <w:left w:val="none" w:sz="0" w:space="0" w:color="auto"/>
        <w:bottom w:val="none" w:sz="0" w:space="0" w:color="auto"/>
        <w:right w:val="none" w:sz="0" w:space="0" w:color="auto"/>
      </w:divBdr>
    </w:div>
    <w:div w:id="1339506365">
      <w:bodyDiv w:val="1"/>
      <w:marLeft w:val="0"/>
      <w:marRight w:val="0"/>
      <w:marTop w:val="0"/>
      <w:marBottom w:val="0"/>
      <w:divBdr>
        <w:top w:val="none" w:sz="0" w:space="0" w:color="auto"/>
        <w:left w:val="none" w:sz="0" w:space="0" w:color="auto"/>
        <w:bottom w:val="none" w:sz="0" w:space="0" w:color="auto"/>
        <w:right w:val="none" w:sz="0" w:space="0" w:color="auto"/>
      </w:divBdr>
    </w:div>
    <w:div w:id="1373963891">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51902001">
      <w:bodyDiv w:val="1"/>
      <w:marLeft w:val="0"/>
      <w:marRight w:val="0"/>
      <w:marTop w:val="0"/>
      <w:marBottom w:val="0"/>
      <w:divBdr>
        <w:top w:val="none" w:sz="0" w:space="0" w:color="auto"/>
        <w:left w:val="none" w:sz="0" w:space="0" w:color="auto"/>
        <w:bottom w:val="none" w:sz="0" w:space="0" w:color="auto"/>
        <w:right w:val="none" w:sz="0" w:space="0" w:color="auto"/>
      </w:divBdr>
    </w:div>
    <w:div w:id="147529056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825063">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1984741">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29315785">
      <w:bodyDiv w:val="1"/>
      <w:marLeft w:val="0"/>
      <w:marRight w:val="0"/>
      <w:marTop w:val="0"/>
      <w:marBottom w:val="0"/>
      <w:divBdr>
        <w:top w:val="none" w:sz="0" w:space="0" w:color="auto"/>
        <w:left w:val="none" w:sz="0" w:space="0" w:color="auto"/>
        <w:bottom w:val="none" w:sz="0" w:space="0" w:color="auto"/>
        <w:right w:val="none" w:sz="0" w:space="0" w:color="auto"/>
      </w:divBdr>
    </w:div>
    <w:div w:id="1642728709">
      <w:bodyDiv w:val="1"/>
      <w:marLeft w:val="0"/>
      <w:marRight w:val="0"/>
      <w:marTop w:val="0"/>
      <w:marBottom w:val="0"/>
      <w:divBdr>
        <w:top w:val="none" w:sz="0" w:space="0" w:color="auto"/>
        <w:left w:val="none" w:sz="0" w:space="0" w:color="auto"/>
        <w:bottom w:val="none" w:sz="0" w:space="0" w:color="auto"/>
        <w:right w:val="none" w:sz="0" w:space="0" w:color="auto"/>
      </w:divBdr>
    </w:div>
    <w:div w:id="1654721071">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06709242">
      <w:bodyDiv w:val="1"/>
      <w:marLeft w:val="0"/>
      <w:marRight w:val="0"/>
      <w:marTop w:val="0"/>
      <w:marBottom w:val="0"/>
      <w:divBdr>
        <w:top w:val="none" w:sz="0" w:space="0" w:color="auto"/>
        <w:left w:val="none" w:sz="0" w:space="0" w:color="auto"/>
        <w:bottom w:val="none" w:sz="0" w:space="0" w:color="auto"/>
        <w:right w:val="none" w:sz="0" w:space="0" w:color="auto"/>
      </w:divBdr>
    </w:div>
    <w:div w:id="1727875433">
      <w:bodyDiv w:val="1"/>
      <w:marLeft w:val="0"/>
      <w:marRight w:val="0"/>
      <w:marTop w:val="0"/>
      <w:marBottom w:val="0"/>
      <w:divBdr>
        <w:top w:val="none" w:sz="0" w:space="0" w:color="auto"/>
        <w:left w:val="none" w:sz="0" w:space="0" w:color="auto"/>
        <w:bottom w:val="none" w:sz="0" w:space="0" w:color="auto"/>
        <w:right w:val="none" w:sz="0" w:space="0" w:color="auto"/>
      </w:divBdr>
    </w:div>
    <w:div w:id="1733040848">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94707351">
      <w:bodyDiv w:val="1"/>
      <w:marLeft w:val="0"/>
      <w:marRight w:val="0"/>
      <w:marTop w:val="0"/>
      <w:marBottom w:val="0"/>
      <w:divBdr>
        <w:top w:val="none" w:sz="0" w:space="0" w:color="auto"/>
        <w:left w:val="none" w:sz="0" w:space="0" w:color="auto"/>
        <w:bottom w:val="none" w:sz="0" w:space="0" w:color="auto"/>
        <w:right w:val="none" w:sz="0" w:space="0" w:color="auto"/>
      </w:divBdr>
    </w:div>
    <w:div w:id="1809853683">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47986520">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74996022">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58216072">
      <w:bodyDiv w:val="1"/>
      <w:marLeft w:val="0"/>
      <w:marRight w:val="0"/>
      <w:marTop w:val="0"/>
      <w:marBottom w:val="0"/>
      <w:divBdr>
        <w:top w:val="none" w:sz="0" w:space="0" w:color="auto"/>
        <w:left w:val="none" w:sz="0" w:space="0" w:color="auto"/>
        <w:bottom w:val="none" w:sz="0" w:space="0" w:color="auto"/>
        <w:right w:val="none" w:sz="0" w:space="0" w:color="auto"/>
      </w:divBdr>
    </w:div>
    <w:div w:id="1964992614">
      <w:bodyDiv w:val="1"/>
      <w:marLeft w:val="0"/>
      <w:marRight w:val="0"/>
      <w:marTop w:val="0"/>
      <w:marBottom w:val="0"/>
      <w:divBdr>
        <w:top w:val="none" w:sz="0" w:space="0" w:color="auto"/>
        <w:left w:val="none" w:sz="0" w:space="0" w:color="auto"/>
        <w:bottom w:val="none" w:sz="0" w:space="0" w:color="auto"/>
        <w:right w:val="none" w:sz="0" w:space="0" w:color="auto"/>
      </w:divBdr>
    </w:div>
    <w:div w:id="1983343649">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02124966">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56538318">
      <w:bodyDiv w:val="1"/>
      <w:marLeft w:val="0"/>
      <w:marRight w:val="0"/>
      <w:marTop w:val="0"/>
      <w:marBottom w:val="0"/>
      <w:divBdr>
        <w:top w:val="none" w:sz="0" w:space="0" w:color="auto"/>
        <w:left w:val="none" w:sz="0" w:space="0" w:color="auto"/>
        <w:bottom w:val="none" w:sz="0" w:space="0" w:color="auto"/>
        <w:right w:val="none" w:sz="0" w:space="0" w:color="auto"/>
      </w:divBdr>
    </w:div>
    <w:div w:id="2065787005">
      <w:bodyDiv w:val="1"/>
      <w:marLeft w:val="0"/>
      <w:marRight w:val="0"/>
      <w:marTop w:val="0"/>
      <w:marBottom w:val="0"/>
      <w:divBdr>
        <w:top w:val="none" w:sz="0" w:space="0" w:color="auto"/>
        <w:left w:val="none" w:sz="0" w:space="0" w:color="auto"/>
        <w:bottom w:val="none" w:sz="0" w:space="0" w:color="auto"/>
        <w:right w:val="none" w:sz="0" w:space="0" w:color="auto"/>
      </w:divBdr>
    </w:div>
    <w:div w:id="2068724779">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68D8-11D8-46F9-B47B-A7F347D5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6218</Words>
  <Characters>34204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INFOEM500</cp:lastModifiedBy>
  <cp:revision>3</cp:revision>
  <cp:lastPrinted>2023-06-13T00:57:00Z</cp:lastPrinted>
  <dcterms:created xsi:type="dcterms:W3CDTF">2024-03-21T20:04:00Z</dcterms:created>
  <dcterms:modified xsi:type="dcterms:W3CDTF">2024-03-21T20:04:00Z</dcterms:modified>
</cp:coreProperties>
</file>