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89" w:rsidRPr="00855B85" w:rsidRDefault="00874A65">
      <w:pPr>
        <w:widowControl w:val="0"/>
        <w:pBdr>
          <w:top w:val="nil"/>
          <w:left w:val="nil"/>
          <w:bottom w:val="nil"/>
          <w:right w:val="nil"/>
          <w:between w:val="nil"/>
        </w:pBdr>
        <w:spacing w:after="0" w:line="276" w:lineRule="auto"/>
        <w:rPr>
          <w:rFonts w:ascii="Palatino Linotype" w:hAnsi="Palatino Linotype"/>
        </w:rPr>
      </w:pPr>
      <w:r>
        <w:rPr>
          <w:rFonts w:ascii="Palatino Linotype" w:hAnsi="Palatino Linotype"/>
        </w:rPr>
        <w:pict w14:anchorId="20939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rPr>
          <w:rFonts w:ascii="Palatino Linotype" w:hAnsi="Palatino Linotype"/>
        </w:rPr>
        <w:pict w14:anchorId="5921BF32">
          <v:shape id="_x0000_s1027" type="#_x0000_t136" style="position:absolute;margin-left:0;margin-top:0;width:50pt;height:50pt;z-index:251657728;visibility:hidden">
            <o:lock v:ext="edit" selection="t"/>
          </v:shape>
        </w:pict>
      </w:r>
      <w:r>
        <w:rPr>
          <w:rFonts w:ascii="Palatino Linotype" w:hAnsi="Palatino Linotype"/>
        </w:rPr>
        <w:pict w14:anchorId="5C749D66">
          <v:shape id="_x0000_s1026" type="#_x0000_t136" style="position:absolute;margin-left:0;margin-top:0;width:50pt;height:50pt;z-index:251658752;visibility:hidden">
            <o:lock v:ext="edit" selection="t"/>
          </v:shape>
        </w:pict>
      </w:r>
    </w:p>
    <w:p w:rsidR="00310189" w:rsidRPr="00855B85" w:rsidRDefault="00B2685B">
      <w:pPr>
        <w:spacing w:after="0" w:line="360" w:lineRule="auto"/>
        <w:ind w:right="-93"/>
        <w:jc w:val="both"/>
        <w:rPr>
          <w:rFonts w:ascii="Palatino Linotype" w:eastAsia="Palatino Linotype" w:hAnsi="Palatino Linotype" w:cs="Palatino Linotype"/>
          <w:b/>
        </w:rPr>
      </w:pPr>
      <w:r w:rsidRPr="00855B85">
        <w:rPr>
          <w:rFonts w:ascii="Palatino Linotype" w:eastAsia="Palatino Linotype" w:hAnsi="Palatino Linotype" w:cs="Palatino Linotype"/>
          <w:b/>
        </w:rPr>
        <w:t>VOTO PARTICULAR QUE FORMULAN EL COMISIONADO LUIS GUSTAVO PARRA NORIEGA Y LA COMISIONADA GUADALUPE RAMÍREZ PEÑA CON RELACIÓN A LA RESOLUCIÓN EMITIDA POR EL PLENO DEL INSTITUTO DE TRANSPARENCIA, ACCESO A LA INFORMACIÓN PÚBLICA Y PROTECCIÓN DE DATOS PERSONALES DEL ESTADO DE MÉXICO Y MUNICIPIOS EN EL RECURSO DE REVISIÓN 01035/INFOEM/IP/RR/2023, PROMOVIDO EN CONTRA DEL SISTEMA MUNICIPAL PARA EL DESARROLLO INTEGRAL DE LA FAMILIA DE TOLUCA.</w:t>
      </w:r>
    </w:p>
    <w:p w:rsidR="00310189" w:rsidRPr="00855B85" w:rsidRDefault="00310189">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rPr>
      </w:pPr>
    </w:p>
    <w:p w:rsidR="00310189" w:rsidRPr="00855B85" w:rsidRDefault="00B2685B">
      <w:pPr>
        <w:spacing w:after="0" w:line="360" w:lineRule="auto"/>
        <w:ind w:right="-93"/>
        <w:jc w:val="both"/>
        <w:rPr>
          <w:rFonts w:ascii="Palatino Linotype" w:eastAsia="Palatino Linotype" w:hAnsi="Palatino Linotype" w:cs="Palatino Linotype"/>
        </w:rPr>
      </w:pPr>
      <w:r w:rsidRPr="00855B85">
        <w:rPr>
          <w:rFonts w:ascii="Palatino Linotype" w:eastAsia="Palatino Linotype" w:hAnsi="Palatino Linotype" w:cs="Palatino Linotype"/>
        </w:rPr>
        <w:t xml:space="preserve">El Pleno del Instituto de Transparencia, Acceso a la Información Pública y Protección de Datos Personales del Estado de México resolvió por unanimidad de votos, la Resolución relativa al Recurso de Revisión </w:t>
      </w:r>
      <w:r w:rsidRPr="00855B85">
        <w:rPr>
          <w:rFonts w:ascii="Palatino Linotype" w:eastAsia="Palatino Linotype" w:hAnsi="Palatino Linotype" w:cs="Palatino Linotype"/>
          <w:b/>
        </w:rPr>
        <w:t xml:space="preserve">01035/INFOEM/IP/RR/2023, </w:t>
      </w:r>
      <w:r w:rsidRPr="00855B85">
        <w:rPr>
          <w:rFonts w:ascii="Palatino Linotype" w:eastAsia="Palatino Linotype" w:hAnsi="Palatino Linotype" w:cs="Palatino Linotype"/>
        </w:rPr>
        <w:t xml:space="preserve">presentada por el Comisionado  Presidente José Martínez Vilchis </w:t>
      </w:r>
      <w:r w:rsidRPr="00855B85">
        <w:rPr>
          <w:rFonts w:ascii="Palatino Linotype" w:eastAsia="Palatino Linotype" w:hAnsi="Palatino Linotype" w:cs="Palatino Linotype"/>
          <w:b/>
        </w:rPr>
        <w:t>conforme al criterio mayoritario del Pleno</w:t>
      </w:r>
      <w:r w:rsidRPr="00855B85">
        <w:rPr>
          <w:rFonts w:ascii="Palatino Linotype" w:eastAsia="Palatino Linotype" w:hAnsi="Palatino Linotype" w:cs="Palatino Linotype"/>
        </w:rPr>
        <w:t xml:space="preserve">, respecto de la cual, quienes suscriben, emiten </w:t>
      </w:r>
      <w:r w:rsidRPr="00855B85">
        <w:rPr>
          <w:rFonts w:ascii="Palatino Linotype" w:eastAsia="Palatino Linotype" w:hAnsi="Palatino Linotype" w:cs="Palatino Linotype"/>
          <w:b/>
        </w:rPr>
        <w:t>VOTO PARTICULAR CONCURRENTE</w:t>
      </w:r>
      <w:r w:rsidRPr="00855B85">
        <w:rPr>
          <w:rFonts w:ascii="Palatino Linotype" w:eastAsia="Palatino Linotype" w:hAnsi="Palatino Linotype" w:cs="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B2685B">
      <w:pPr>
        <w:spacing w:after="0" w:line="360" w:lineRule="auto"/>
        <w:jc w:val="both"/>
        <w:rPr>
          <w:rFonts w:ascii="Palatino Linotype" w:eastAsia="Palatino Linotype" w:hAnsi="Palatino Linotype" w:cs="Palatino Linotype"/>
        </w:rPr>
      </w:pPr>
      <w:r w:rsidRPr="00855B85">
        <w:rPr>
          <w:rFonts w:ascii="Palatino Linotype" w:eastAsia="Palatino Linotype" w:hAnsi="Palatino Linotype" w:cs="Palatino Linotype"/>
        </w:rPr>
        <w:t>A través de la solicitud de acceso a la información que nos ocupa, el Particular requirió todos los avisos de privacidad de sus bases de datos y los documentos de seguridad vigentes; en respuesta, el Sujeto Obligado proporcionó la liga electrónica en la que se encuentran publicados y disponible los Avisos de Pri</w:t>
      </w:r>
      <w:r w:rsidR="006B0DDB" w:rsidRPr="00855B85">
        <w:rPr>
          <w:rFonts w:ascii="Palatino Linotype" w:eastAsia="Palatino Linotype" w:hAnsi="Palatino Linotype" w:cs="Palatino Linotype"/>
        </w:rPr>
        <w:t>vacidad Integral y Simplificado</w:t>
      </w:r>
      <w:r w:rsidRPr="00855B85">
        <w:rPr>
          <w:rFonts w:ascii="Palatino Linotype" w:eastAsia="Palatino Linotype" w:hAnsi="Palatino Linotype" w:cs="Palatino Linotype"/>
        </w:rPr>
        <w:t xml:space="preserve">; asimismo, remitió el Acta de la Primera Sesión Extraordinaria del Comité de Transparencia, mediante la cual se aprobó por unanimidad de votos la clasificación en su totalidad como información </w:t>
      </w:r>
      <w:r w:rsidRPr="00855B85">
        <w:rPr>
          <w:rFonts w:ascii="Palatino Linotype" w:eastAsia="Palatino Linotype" w:hAnsi="Palatino Linotype" w:cs="Palatino Linotype"/>
        </w:rPr>
        <w:lastRenderedPageBreak/>
        <w:t xml:space="preserve">confidencial del Documento de Seguridad de las bases de datos personales del Sistema Municipal para el Desarrollo Integral de la Familia de Toluca. </w:t>
      </w:r>
    </w:p>
    <w:p w:rsidR="00310189" w:rsidRPr="00855B85" w:rsidRDefault="00310189">
      <w:pPr>
        <w:spacing w:after="0" w:line="360" w:lineRule="auto"/>
        <w:jc w:val="both"/>
        <w:rPr>
          <w:rFonts w:ascii="Palatino Linotype" w:eastAsia="Palatino Linotype" w:hAnsi="Palatino Linotype" w:cs="Palatino Linotype"/>
        </w:rPr>
      </w:pPr>
    </w:p>
    <w:p w:rsidR="00855B85" w:rsidRPr="00855B85" w:rsidRDefault="00B2685B">
      <w:pPr>
        <w:spacing w:after="0" w:line="360" w:lineRule="auto"/>
        <w:jc w:val="both"/>
        <w:rPr>
          <w:rFonts w:ascii="Palatino Linotype" w:eastAsia="Palatino Linotype" w:hAnsi="Palatino Linotype" w:cs="Palatino Linotype"/>
        </w:rPr>
      </w:pPr>
      <w:r w:rsidRPr="00855B85">
        <w:rPr>
          <w:rFonts w:ascii="Palatino Linotype" w:eastAsia="Palatino Linotype" w:hAnsi="Palatino Linotype" w:cs="Palatino Linotype"/>
        </w:rPr>
        <w:t>Derivado de lo anterior, la Ponencia Resolutora determinó ordenar la entrega del Documento de Seguridad en versión pública, en el que se clasifique como información confidencial la información relativa a la</w:t>
      </w:r>
      <w:r w:rsidR="00855B85" w:rsidRPr="00855B85">
        <w:rPr>
          <w:rFonts w:ascii="Palatino Linotype" w:eastAsia="Palatino Linotype" w:hAnsi="Palatino Linotype" w:cs="Palatino Linotype"/>
        </w:rPr>
        <w:t>s medidas de seguridad y cito la fracción II del artículo 49 de la Ley de la Ley de Protección de Datos Personales en Posesión de Sujetos Obligados del Estado de México y Municipios, además en dicho proyecto se estableció lo siguiente:</w:t>
      </w:r>
    </w:p>
    <w:p w:rsidR="00855B85" w:rsidRPr="00855B85" w:rsidRDefault="00855B85">
      <w:pPr>
        <w:spacing w:after="0" w:line="360" w:lineRule="auto"/>
        <w:jc w:val="both"/>
        <w:rPr>
          <w:rFonts w:ascii="Palatino Linotype" w:eastAsia="Palatino Linotype" w:hAnsi="Palatino Linotype" w:cs="Palatino Linotype"/>
        </w:rPr>
      </w:pPr>
    </w:p>
    <w:p w:rsidR="00855B85" w:rsidRPr="00116E76" w:rsidRDefault="00855B85" w:rsidP="00855B85">
      <w:pPr>
        <w:spacing w:after="0" w:line="360" w:lineRule="auto"/>
        <w:ind w:left="567" w:right="567"/>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En consecuencia, si bien es cierto que, el marco normativo señala que 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w:t>
      </w:r>
      <w:r w:rsidRPr="00116E76">
        <w:rPr>
          <w:rFonts w:ascii="Palatino Linotype" w:eastAsia="Palatino Linotype" w:hAnsi="Palatino Linotype" w:cs="Palatino Linotype"/>
          <w:b/>
          <w:i/>
          <w:sz w:val="20"/>
        </w:rPr>
        <w:t>de manera enunciativa mas no limitativa</w:t>
      </w:r>
      <w:r w:rsidRPr="00116E76">
        <w:rPr>
          <w:rFonts w:ascii="Palatino Linotype" w:eastAsia="Palatino Linotype" w:hAnsi="Palatino Linotype" w:cs="Palatino Linotype"/>
          <w:i/>
          <w:sz w:val="20"/>
        </w:rPr>
        <w:t xml:space="preserve"> son el nombre, cargo y adscripción del administrador de cada sistema y base de datos, las funciones y obligaciones del responsable, encargado o encargados y todas las personas que traten datos personales, así como el folio del registro del sistema y la estructura y descripción de los sistemas y bases de datos personales.</w:t>
      </w:r>
    </w:p>
    <w:p w:rsidR="00855B85" w:rsidRPr="00855B85" w:rsidRDefault="00855B85">
      <w:pPr>
        <w:spacing w:after="0" w:line="360" w:lineRule="auto"/>
        <w:jc w:val="both"/>
        <w:rPr>
          <w:rFonts w:ascii="Palatino Linotype" w:eastAsia="Palatino Linotype" w:hAnsi="Palatino Linotype" w:cs="Palatino Linotype"/>
        </w:rPr>
      </w:pPr>
    </w:p>
    <w:p w:rsidR="00310189" w:rsidRPr="00855B85" w:rsidRDefault="00B2685B">
      <w:pPr>
        <w:spacing w:after="0" w:line="360" w:lineRule="auto"/>
        <w:jc w:val="both"/>
        <w:rPr>
          <w:rFonts w:ascii="Palatino Linotype" w:eastAsia="Palatino Linotype" w:hAnsi="Palatino Linotype" w:cs="Palatino Linotype"/>
        </w:rPr>
      </w:pPr>
      <w:r w:rsidRPr="00855B85">
        <w:rPr>
          <w:rFonts w:ascii="Palatino Linotype" w:eastAsia="Palatino Linotype" w:hAnsi="Palatino Linotype" w:cs="Palatino Linotype"/>
        </w:rPr>
        <w:t xml:space="preserve">Al respecto, es preciso mencionar que, si bien, se comparte el sentido de la Resolución emitida en virtud de que procede ordenar la entrega del Documento de Seguridad en versión pública, también lo es que, </w:t>
      </w:r>
      <w:r w:rsidR="00855B85" w:rsidRPr="00855B85">
        <w:rPr>
          <w:rFonts w:ascii="Palatino Linotype" w:eastAsia="Palatino Linotype" w:hAnsi="Palatino Linotype" w:cs="Palatino Linotype"/>
        </w:rPr>
        <w:t xml:space="preserve">desde el punto de vista de los suscritos, se debió precisar que </w:t>
      </w:r>
      <w:r w:rsidRPr="00855B85">
        <w:rPr>
          <w:rFonts w:ascii="Palatino Linotype" w:eastAsia="Palatino Linotype" w:hAnsi="Palatino Linotype" w:cs="Palatino Linotype"/>
        </w:rPr>
        <w:t>el pro</w:t>
      </w:r>
      <w:r w:rsidR="00855B85" w:rsidRPr="00855B85">
        <w:rPr>
          <w:rFonts w:ascii="Palatino Linotype" w:eastAsia="Palatino Linotype" w:hAnsi="Palatino Linotype" w:cs="Palatino Linotype"/>
        </w:rPr>
        <w:t xml:space="preserve">grama general de capacitación, debe ser considerado público </w:t>
      </w:r>
      <w:r w:rsidRPr="00855B85">
        <w:rPr>
          <w:rFonts w:ascii="Palatino Linotype" w:eastAsia="Palatino Linotype" w:hAnsi="Palatino Linotype" w:cs="Palatino Linotype"/>
        </w:rPr>
        <w:t xml:space="preserve">de conformidad con las consideraciones siguientes. </w:t>
      </w: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855B85">
      <w:pPr>
        <w:spacing w:line="360" w:lineRule="auto"/>
        <w:jc w:val="both"/>
        <w:rPr>
          <w:rFonts w:ascii="Palatino Linotype" w:eastAsia="Palatino Linotype" w:hAnsi="Palatino Linotype" w:cs="Palatino Linotype"/>
          <w:b/>
        </w:rPr>
      </w:pPr>
      <w:r w:rsidRPr="00855B85">
        <w:rPr>
          <w:rFonts w:ascii="Palatino Linotype" w:eastAsia="Palatino Linotype" w:hAnsi="Palatino Linotype" w:cs="Palatino Linotype"/>
        </w:rPr>
        <w:lastRenderedPageBreak/>
        <w:t>L</w:t>
      </w:r>
      <w:r w:rsidR="00B2685B" w:rsidRPr="00855B85">
        <w:rPr>
          <w:rFonts w:ascii="Palatino Linotype" w:eastAsia="Palatino Linotype" w:hAnsi="Palatino Linotype" w:cs="Palatino Linotype"/>
        </w:rPr>
        <w:t xml:space="preserve">a Ley de Protección de Datos Personales en Posesión de Sujetos Obligados del Estado de México y Municipios tiene por objeto establecer las bases, principios y procedimiento para tutelar y garantizar el derecho que tienen todas las personas a la protección de sus datos personales, en posesión de los sujetos obligados, y establece lo siguiente respecto a los documentos de seguridad: </w:t>
      </w:r>
    </w:p>
    <w:p w:rsidR="00310189" w:rsidRPr="00855B85" w:rsidRDefault="00310189">
      <w:pPr>
        <w:spacing w:after="0" w:line="360" w:lineRule="auto"/>
        <w:jc w:val="both"/>
        <w:rPr>
          <w:rFonts w:ascii="Palatino Linotype" w:eastAsia="Palatino Linotype" w:hAnsi="Palatino Linotype" w:cs="Palatino Linotype"/>
        </w:rPr>
      </w:pPr>
    </w:p>
    <w:p w:rsidR="00310189" w:rsidRPr="00116E76" w:rsidRDefault="00B2685B">
      <w:pPr>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“Artículo 4. Para los efectos de esta Ley se entenderá por</w:t>
      </w:r>
    </w:p>
    <w:p w:rsidR="00310189" w:rsidRPr="00116E76" w:rsidRDefault="00B2685B">
      <w:pPr>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w:t>
      </w:r>
    </w:p>
    <w:p w:rsidR="00310189" w:rsidRPr="00116E76" w:rsidRDefault="00B2685B">
      <w:pPr>
        <w:ind w:left="851" w:right="899"/>
        <w:jc w:val="both"/>
        <w:rPr>
          <w:rFonts w:ascii="Palatino Linotype" w:eastAsia="Palatino Linotype" w:hAnsi="Palatino Linotype" w:cs="Palatino Linotype"/>
          <w:b/>
          <w:i/>
          <w:sz w:val="20"/>
          <w:u w:val="single"/>
        </w:rPr>
      </w:pPr>
      <w:r w:rsidRPr="00116E76">
        <w:rPr>
          <w:rFonts w:ascii="Palatino Linotype" w:eastAsia="Palatino Linotype" w:hAnsi="Palatino Linotype" w:cs="Palatino Linotype"/>
          <w:b/>
          <w:i/>
          <w:sz w:val="20"/>
        </w:rPr>
        <w:t>XVIII. Documento de seguridad:</w:t>
      </w:r>
      <w:r w:rsidRPr="00116E76">
        <w:rPr>
          <w:rFonts w:ascii="Palatino Linotype" w:eastAsia="Palatino Linotype" w:hAnsi="Palatino Linotype" w:cs="Palatino Linotype"/>
          <w:i/>
          <w:sz w:val="20"/>
        </w:rPr>
        <w:t xml:space="preserve"> </w:t>
      </w:r>
      <w:r w:rsidRPr="00116E76">
        <w:rPr>
          <w:rFonts w:ascii="Palatino Linotype" w:eastAsia="Palatino Linotype" w:hAnsi="Palatino Linotype" w:cs="Palatino Linotype"/>
          <w:b/>
          <w:i/>
          <w:sz w:val="20"/>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B2685B">
      <w:pPr>
        <w:spacing w:after="0" w:line="360" w:lineRule="auto"/>
        <w:jc w:val="both"/>
        <w:rPr>
          <w:rFonts w:ascii="Palatino Linotype" w:eastAsia="Palatino Linotype" w:hAnsi="Palatino Linotype" w:cs="Palatino Linotype"/>
        </w:rPr>
      </w:pPr>
      <w:r w:rsidRPr="00855B85">
        <w:rPr>
          <w:rFonts w:ascii="Palatino Linotype" w:eastAsia="Palatino Linotype" w:hAnsi="Palatino Linotype" w:cs="Palatino Linotype"/>
        </w:rPr>
        <w:t>Correlativo a lo anterior, cabe destacar que las medidas de seguridad prevista en la Ley previamente citada constituyen mínimos exigibles y que el Sujeto Obligado deberá adoptar medidas adicionales que estime necesarias para brindar mayor garantía a la protección y resguardo de los sistemas de bases de datos personales; y, en consecuencia, por la naturaleza de la información, las medidas de seguridad que se adopten serán consideradas como confidenciales.</w:t>
      </w: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B2685B">
      <w:pPr>
        <w:spacing w:after="0" w:line="360" w:lineRule="auto"/>
        <w:jc w:val="both"/>
        <w:rPr>
          <w:rFonts w:ascii="Palatino Linotype" w:eastAsia="Palatino Linotype" w:hAnsi="Palatino Linotype" w:cs="Palatino Linotype"/>
        </w:rPr>
      </w:pPr>
      <w:r w:rsidRPr="00855B85">
        <w:rPr>
          <w:rFonts w:ascii="Palatino Linotype" w:eastAsia="Palatino Linotype" w:hAnsi="Palatino Linotype" w:cs="Palatino Linotype"/>
        </w:rPr>
        <w:t xml:space="preserve">Es así que el artículo 49 de la Ley de Protección de Datos Personales de la Entidad describe el contenido mínimo del documento de seguridad, siendo el siguiente: </w:t>
      </w:r>
    </w:p>
    <w:p w:rsidR="00310189" w:rsidRPr="00855B85" w:rsidRDefault="00310189">
      <w:pPr>
        <w:spacing w:after="0" w:line="360" w:lineRule="auto"/>
        <w:jc w:val="both"/>
        <w:rPr>
          <w:rFonts w:ascii="Palatino Linotype" w:eastAsia="Palatino Linotype" w:hAnsi="Palatino Linotype" w:cs="Palatino Linotype"/>
        </w:rPr>
      </w:pP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b/>
          <w:i/>
          <w:sz w:val="20"/>
        </w:rPr>
        <w:t>Artículo 49. El documento de seguridad deberá contener como mínimo lo siguiente:</w:t>
      </w:r>
      <w:r w:rsidRPr="00116E76">
        <w:rPr>
          <w:rFonts w:ascii="Palatino Linotype" w:eastAsia="Palatino Linotype" w:hAnsi="Palatino Linotype" w:cs="Palatino Linotype"/>
          <w:i/>
          <w:sz w:val="20"/>
        </w:rPr>
        <w:t xml:space="preserve">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I. Respecto de los sistemas de datos personales: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a) El nombre.</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lastRenderedPageBreak/>
        <w:t xml:space="preserve"> b) El nombre, cargo y adscripción del administrador de cada sistema y base de datos.</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 c) Las funciones y obligaciones del responsable, encargado o encargados y todas las personas que traten datos personales.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d) El folio del registro del sistema y base de datos.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e) El inventario o la especificación detallada del tipo de datos personales contenidos.</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f) La estructura y descripción de los sistemas y bases de datos personales, lo cual consiste en precisar y describir el tipo de soporte, así como las características del lugar donde se resguardan. </w:t>
      </w:r>
    </w:p>
    <w:p w:rsidR="00310189" w:rsidRPr="00116E76" w:rsidRDefault="00B2685B">
      <w:pPr>
        <w:spacing w:line="276" w:lineRule="auto"/>
        <w:ind w:left="851" w:right="899"/>
        <w:jc w:val="both"/>
        <w:rPr>
          <w:rFonts w:ascii="Palatino Linotype" w:eastAsia="Palatino Linotype" w:hAnsi="Palatino Linotype" w:cs="Palatino Linotype"/>
          <w:b/>
          <w:i/>
          <w:sz w:val="20"/>
          <w:u w:val="single"/>
        </w:rPr>
      </w:pPr>
      <w:r w:rsidRPr="00116E76">
        <w:rPr>
          <w:rFonts w:ascii="Palatino Linotype" w:eastAsia="Palatino Linotype" w:hAnsi="Palatino Linotype" w:cs="Palatino Linotype"/>
          <w:b/>
          <w:i/>
          <w:sz w:val="20"/>
          <w:u w:val="single"/>
        </w:rPr>
        <w:t xml:space="preserve">II. Respecto de las medidas de seguridad implementadas deberá incluir lo siguiente: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a) Transferencia y remisiones.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b) Resguardo de soportes físicos y electrónicos.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c) Bitácoras para accesos, operación cotidiana y violaciones a la seguridad de los datos personales.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d) El análisis de riesgos.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e) El análisis de brecha.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f) Gestión de incidentes.</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 g) Acceso a las instalaciones.</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h) Identificación y autenticación.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i) Procedimientos de respaldo y recuperación de datos.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j) Plan de contingencia.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k) Auditorías.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l) Supresión y borrado seguro de datos.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m) El plan de trabajo. </w:t>
      </w:r>
    </w:p>
    <w:p w:rsidR="00310189" w:rsidRPr="00116E76" w:rsidRDefault="00B2685B">
      <w:pPr>
        <w:spacing w:line="276" w:lineRule="auto"/>
        <w:ind w:left="851" w:right="899"/>
        <w:jc w:val="both"/>
        <w:rPr>
          <w:rFonts w:ascii="Palatino Linotype" w:eastAsia="Palatino Linotype" w:hAnsi="Palatino Linotype" w:cs="Palatino Linotype"/>
          <w:i/>
          <w:sz w:val="20"/>
        </w:rPr>
      </w:pPr>
      <w:r w:rsidRPr="00116E76">
        <w:rPr>
          <w:rFonts w:ascii="Palatino Linotype" w:eastAsia="Palatino Linotype" w:hAnsi="Palatino Linotype" w:cs="Palatino Linotype"/>
          <w:i/>
          <w:sz w:val="20"/>
        </w:rPr>
        <w:t xml:space="preserve">n) Los mecanismos de monitoreo y revisión de las medidas de seguridad. </w:t>
      </w:r>
    </w:p>
    <w:p w:rsidR="00310189" w:rsidRPr="00116E76" w:rsidRDefault="00B2685B">
      <w:pPr>
        <w:spacing w:line="276" w:lineRule="auto"/>
        <w:ind w:left="851" w:right="899"/>
        <w:jc w:val="both"/>
        <w:rPr>
          <w:rFonts w:ascii="Palatino Linotype" w:eastAsia="Palatino Linotype" w:hAnsi="Palatino Linotype" w:cs="Palatino Linotype"/>
          <w:b/>
          <w:i/>
          <w:sz w:val="20"/>
          <w:u w:val="single"/>
        </w:rPr>
      </w:pPr>
      <w:r w:rsidRPr="00116E76">
        <w:rPr>
          <w:rFonts w:ascii="Palatino Linotype" w:eastAsia="Palatino Linotype" w:hAnsi="Palatino Linotype" w:cs="Palatino Linotype"/>
          <w:b/>
          <w:i/>
          <w:sz w:val="20"/>
          <w:u w:val="single"/>
        </w:rPr>
        <w:t xml:space="preserve">o) El programa general de capacitación. </w:t>
      </w:r>
    </w:p>
    <w:p w:rsidR="00310189" w:rsidRPr="00855B85" w:rsidRDefault="00310189">
      <w:pPr>
        <w:spacing w:after="0" w:line="360" w:lineRule="auto"/>
        <w:jc w:val="both"/>
        <w:rPr>
          <w:rFonts w:ascii="Palatino Linotype" w:eastAsia="Palatino Linotype" w:hAnsi="Palatino Linotype" w:cs="Palatino Linotype"/>
        </w:rPr>
      </w:pPr>
    </w:p>
    <w:p w:rsidR="00855B85" w:rsidRPr="00A45102" w:rsidRDefault="00B2685B">
      <w:pPr>
        <w:spacing w:after="0" w:line="360" w:lineRule="auto"/>
        <w:jc w:val="both"/>
        <w:rPr>
          <w:rFonts w:ascii="Palatino Linotype" w:eastAsia="Palatino Linotype" w:hAnsi="Palatino Linotype" w:cs="Palatino Linotype"/>
        </w:rPr>
      </w:pPr>
      <w:r w:rsidRPr="00855B85">
        <w:rPr>
          <w:rFonts w:ascii="Palatino Linotype" w:eastAsia="Palatino Linotype" w:hAnsi="Palatino Linotype" w:cs="Palatino Linotype"/>
        </w:rPr>
        <w:lastRenderedPageBreak/>
        <w:t xml:space="preserve">Es así que del precepto normativo previamente citado, se tiene que el programa general de capacitación se encuentra establecido en la fracción II, inciso o), </w:t>
      </w:r>
      <w:r w:rsidR="00855B85">
        <w:rPr>
          <w:rFonts w:ascii="Palatino Linotype" w:eastAsia="Palatino Linotype" w:hAnsi="Palatino Linotype" w:cs="Palatino Linotype"/>
        </w:rPr>
        <w:t>porque forma parte de las medidas de seguridad que se deben adoptar por parte de los Sujeto Obligados; sin embargo, dentro de la resolución, no se realizó un análisis detallado por cada una de las frac</w:t>
      </w:r>
      <w:r w:rsidR="00A45102">
        <w:rPr>
          <w:rFonts w:ascii="Palatino Linotype" w:eastAsia="Palatino Linotype" w:hAnsi="Palatino Linotype" w:cs="Palatino Linotype"/>
        </w:rPr>
        <w:t xml:space="preserve">ciones que indican el contenido, de tal manera que se precisa al Sujeto Obligado que no por el simple hecho de estar en la fracción II del artículo 49 de la Ley, </w:t>
      </w:r>
      <w:r w:rsidR="00A45102">
        <w:rPr>
          <w:rFonts w:ascii="Palatino Linotype" w:eastAsia="Palatino Linotype" w:hAnsi="Palatino Linotype" w:cs="Palatino Linotype"/>
          <w:i/>
        </w:rPr>
        <w:t>ipso facto</w:t>
      </w:r>
      <w:r w:rsidR="00A45102">
        <w:rPr>
          <w:rFonts w:ascii="Palatino Linotype" w:eastAsia="Palatino Linotype" w:hAnsi="Palatino Linotype" w:cs="Palatino Linotype"/>
        </w:rPr>
        <w:t>, corresponde a información clasificada.</w:t>
      </w:r>
    </w:p>
    <w:p w:rsidR="00855B85" w:rsidRDefault="00855B85">
      <w:pPr>
        <w:spacing w:after="0" w:line="360" w:lineRule="auto"/>
        <w:jc w:val="both"/>
        <w:rPr>
          <w:rFonts w:ascii="Palatino Linotype" w:eastAsia="Palatino Linotype" w:hAnsi="Palatino Linotype" w:cs="Palatino Linotype"/>
        </w:rPr>
      </w:pPr>
    </w:p>
    <w:p w:rsidR="00310189" w:rsidRPr="00855B85" w:rsidRDefault="00B2685B">
      <w:pPr>
        <w:spacing w:after="0" w:line="360" w:lineRule="auto"/>
        <w:jc w:val="both"/>
        <w:rPr>
          <w:rFonts w:ascii="Palatino Linotype" w:eastAsia="Palatino Linotype" w:hAnsi="Palatino Linotype" w:cs="Palatino Linotype"/>
          <w:color w:val="000000"/>
        </w:rPr>
      </w:pPr>
      <w:r w:rsidRPr="00855B85">
        <w:rPr>
          <w:rFonts w:ascii="Palatino Linotype" w:eastAsia="Palatino Linotype" w:hAnsi="Palatino Linotype" w:cs="Palatino Linotype"/>
        </w:rPr>
        <w:t>En este sentido, es necesario precisar que para el caso del programa general de capacitación, si bien es información que se encuentra señalada dentro de la fracción II del artículo 49 de la Ley de Protección de Datos del Estado de México, como parte de las medidas de seguridad implementadas dentro del documento de seguridad, también lo es que, la finalidad de este programa de capacitación es q</w:t>
      </w:r>
      <w:r w:rsidRPr="00855B85">
        <w:rPr>
          <w:rFonts w:ascii="Palatino Linotype" w:eastAsia="Palatino Linotype" w:hAnsi="Palatino Linotype" w:cs="Palatino Linotype"/>
          <w:color w:val="000000"/>
        </w:rPr>
        <w:t xml:space="preserve">ue todos y cada uno de los servidores públicos involucrados en el tratamiento de datos personales al interior del Sujeto Obligado, cuenten con cierto grado de especialización que les permita garantizar la observancia de los principios rectores de la protección de los datos personales a los cuales dan tratamiento en el ejercicio de sus funciones. </w:t>
      </w:r>
    </w:p>
    <w:p w:rsidR="00310189" w:rsidRPr="00855B85" w:rsidRDefault="00310189">
      <w:pPr>
        <w:spacing w:after="0" w:line="360" w:lineRule="auto"/>
        <w:jc w:val="both"/>
        <w:rPr>
          <w:rFonts w:ascii="Palatino Linotype" w:eastAsia="Palatino Linotype" w:hAnsi="Palatino Linotype" w:cs="Palatino Linotype"/>
          <w:color w:val="000000"/>
        </w:rPr>
      </w:pPr>
    </w:p>
    <w:p w:rsidR="00310189" w:rsidRPr="00855B85" w:rsidRDefault="00B2685B">
      <w:pPr>
        <w:spacing w:after="0" w:line="360" w:lineRule="auto"/>
        <w:jc w:val="both"/>
        <w:rPr>
          <w:rFonts w:ascii="Palatino Linotype" w:eastAsia="Palatino Linotype" w:hAnsi="Palatino Linotype" w:cs="Palatino Linotype"/>
          <w:color w:val="000000"/>
        </w:rPr>
      </w:pPr>
      <w:r w:rsidRPr="00855B85">
        <w:rPr>
          <w:rFonts w:ascii="Palatino Linotype" w:eastAsia="Palatino Linotype" w:hAnsi="Palatino Linotype" w:cs="Palatino Linotype"/>
          <w:color w:val="000000"/>
        </w:rPr>
        <w:t xml:space="preserve">Asimismo, el desarrollo de este programa de capacitación es dar cumplimiento a los artículos 30, fracción III; 33, fracción VIII y 35, fracción VIII de la Ley General de Protección de Datos Personales en Posesión de Sujetos Obligados, a través de la implementación de un programa de capacitación y actualización permanente de las personas servidoras públicas del Sujeto Obligado, sobre las obligaciones y cumplimiento de los principios y deberes en materia de protección de datos personales. </w:t>
      </w:r>
    </w:p>
    <w:p w:rsidR="00310189" w:rsidRPr="00855B85" w:rsidRDefault="00310189">
      <w:pPr>
        <w:spacing w:after="0" w:line="360" w:lineRule="auto"/>
        <w:jc w:val="both"/>
        <w:rPr>
          <w:rFonts w:ascii="Palatino Linotype" w:eastAsia="Palatino Linotype" w:hAnsi="Palatino Linotype" w:cs="Palatino Linotype"/>
          <w:color w:val="000000"/>
        </w:rPr>
      </w:pPr>
    </w:p>
    <w:p w:rsidR="00310189" w:rsidRPr="00855B85" w:rsidRDefault="00B2685B">
      <w:pPr>
        <w:spacing w:after="0" w:line="360" w:lineRule="auto"/>
        <w:jc w:val="both"/>
        <w:rPr>
          <w:rFonts w:ascii="Palatino Linotype" w:eastAsia="Palatino Linotype" w:hAnsi="Palatino Linotype" w:cs="Palatino Linotype"/>
          <w:color w:val="000000"/>
        </w:rPr>
      </w:pPr>
      <w:r w:rsidRPr="00855B85">
        <w:rPr>
          <w:rFonts w:ascii="Palatino Linotype" w:eastAsia="Palatino Linotype" w:hAnsi="Palatino Linotype" w:cs="Palatino Linotype"/>
          <w:color w:val="000000"/>
        </w:rPr>
        <w:lastRenderedPageBreak/>
        <w:t xml:space="preserve">Dicho programa de capacitación es una de las medidas de seguridad administrativa del tipo preventivo, efectiva y eficiente, en razón de que, permite que el tratamiento de datos personales se haga de una manera correcta y se evite el mal uso, sustracción, divulgación, ocultamiento, alteración, mutilación, destrucción total o parcial y de manera indebida de datos personales, que pongan en peligro la confidencialidad, integridad y disponibilidad de la información. </w:t>
      </w:r>
    </w:p>
    <w:p w:rsidR="00310189" w:rsidRPr="00855B85" w:rsidRDefault="00310189">
      <w:pPr>
        <w:spacing w:after="0" w:line="360" w:lineRule="auto"/>
        <w:jc w:val="both"/>
        <w:rPr>
          <w:rFonts w:ascii="Palatino Linotype" w:eastAsia="Palatino Linotype" w:hAnsi="Palatino Linotype" w:cs="Palatino Linotype"/>
          <w:color w:val="000000"/>
        </w:rPr>
      </w:pPr>
    </w:p>
    <w:p w:rsidR="00310189" w:rsidRDefault="00B2685B">
      <w:pPr>
        <w:spacing w:after="0" w:line="360" w:lineRule="auto"/>
        <w:jc w:val="both"/>
        <w:rPr>
          <w:rFonts w:ascii="Palatino Linotype" w:eastAsia="Palatino Linotype" w:hAnsi="Palatino Linotype" w:cs="Palatino Linotype"/>
          <w:color w:val="000000"/>
        </w:rPr>
      </w:pPr>
      <w:bookmarkStart w:id="0" w:name="_heading=h.30j0zll" w:colFirst="0" w:colLast="0"/>
      <w:bookmarkEnd w:id="0"/>
      <w:r w:rsidRPr="00855B85">
        <w:rPr>
          <w:rFonts w:ascii="Palatino Linotype" w:eastAsia="Palatino Linotype" w:hAnsi="Palatino Linotype" w:cs="Palatino Linotype"/>
          <w:color w:val="000000"/>
        </w:rPr>
        <w:t xml:space="preserve">En este entendido, en su contenido lo único que se podrá advertir son los distintos cursos o actividades programadas  por el Sujeto Obligado, </w:t>
      </w:r>
      <w:r w:rsidRPr="00855B85">
        <w:rPr>
          <w:rFonts w:ascii="Palatino Linotype" w:eastAsia="Palatino Linotype" w:hAnsi="Palatino Linotype" w:cs="Palatino Linotype"/>
          <w:color w:val="040C28"/>
        </w:rPr>
        <w:t xml:space="preserve">para alcanzar los objetivos antes señalados, por lo que </w:t>
      </w:r>
      <w:r w:rsidRPr="00855B85">
        <w:rPr>
          <w:rFonts w:ascii="Palatino Linotype" w:eastAsia="Palatino Linotype" w:hAnsi="Palatino Linotype" w:cs="Palatino Linotype"/>
          <w:color w:val="000000"/>
        </w:rPr>
        <w:t>se estima que dicho programa es de acceso público y no es procedente su clasificación como información confidencial, tal como se determinó en la</w:t>
      </w:r>
      <w:r w:rsidR="00255088">
        <w:rPr>
          <w:rFonts w:ascii="Palatino Linotype" w:eastAsia="Palatino Linotype" w:hAnsi="Palatino Linotype" w:cs="Palatino Linotype"/>
          <w:color w:val="000000"/>
        </w:rPr>
        <w:t>s</w:t>
      </w:r>
      <w:r w:rsidRPr="00855B85">
        <w:rPr>
          <w:rFonts w:ascii="Palatino Linotype" w:eastAsia="Palatino Linotype" w:hAnsi="Palatino Linotype" w:cs="Palatino Linotype"/>
          <w:color w:val="000000"/>
        </w:rPr>
        <w:t xml:space="preserve"> resoluc</w:t>
      </w:r>
      <w:r w:rsidRPr="00855B85">
        <w:rPr>
          <w:rFonts w:ascii="Palatino Linotype" w:eastAsia="Palatino Linotype" w:hAnsi="Palatino Linotype" w:cs="Palatino Linotype"/>
        </w:rPr>
        <w:t>i</w:t>
      </w:r>
      <w:r w:rsidR="00255088">
        <w:rPr>
          <w:rFonts w:ascii="Palatino Linotype" w:eastAsia="Palatino Linotype" w:hAnsi="Palatino Linotype" w:cs="Palatino Linotype"/>
        </w:rPr>
        <w:t>ones</w:t>
      </w:r>
      <w:r w:rsidRPr="00855B85">
        <w:rPr>
          <w:rFonts w:ascii="Palatino Linotype" w:eastAsia="Palatino Linotype" w:hAnsi="Palatino Linotype" w:cs="Palatino Linotype"/>
        </w:rPr>
        <w:t xml:space="preserve"> d</w:t>
      </w:r>
      <w:r w:rsidRPr="00855B85">
        <w:rPr>
          <w:rFonts w:ascii="Palatino Linotype" w:eastAsia="Palatino Linotype" w:hAnsi="Palatino Linotype" w:cs="Palatino Linotype"/>
          <w:color w:val="000000"/>
        </w:rPr>
        <w:t>e</w:t>
      </w:r>
      <w:r w:rsidR="00255088">
        <w:rPr>
          <w:rFonts w:ascii="Palatino Linotype" w:eastAsia="Palatino Linotype" w:hAnsi="Palatino Linotype" w:cs="Palatino Linotype"/>
          <w:color w:val="000000"/>
        </w:rPr>
        <w:t xml:space="preserve"> los</w:t>
      </w:r>
      <w:r w:rsidRPr="00855B85">
        <w:rPr>
          <w:rFonts w:ascii="Palatino Linotype" w:eastAsia="Palatino Linotype" w:hAnsi="Palatino Linotype" w:cs="Palatino Linotype"/>
          <w:color w:val="000000"/>
        </w:rPr>
        <w:t xml:space="preserve"> recurso</w:t>
      </w:r>
      <w:r w:rsidR="00255088">
        <w:rPr>
          <w:rFonts w:ascii="Palatino Linotype" w:eastAsia="Palatino Linotype" w:hAnsi="Palatino Linotype" w:cs="Palatino Linotype"/>
          <w:color w:val="000000"/>
        </w:rPr>
        <w:t>s</w:t>
      </w:r>
      <w:r w:rsidRPr="00855B85">
        <w:rPr>
          <w:rFonts w:ascii="Palatino Linotype" w:eastAsia="Palatino Linotype" w:hAnsi="Palatino Linotype" w:cs="Palatino Linotype"/>
          <w:color w:val="000000"/>
        </w:rPr>
        <w:t xml:space="preserve"> de revisión </w:t>
      </w:r>
      <w:r w:rsidRPr="00855B85">
        <w:rPr>
          <w:rFonts w:ascii="Palatino Linotype" w:eastAsia="Palatino Linotype" w:hAnsi="Palatino Linotype" w:cs="Palatino Linotype"/>
          <w:b/>
          <w:color w:val="000000"/>
        </w:rPr>
        <w:t xml:space="preserve">15254/INFOEM/IP/RR/2022 </w:t>
      </w:r>
      <w:r w:rsidRPr="00855B85">
        <w:rPr>
          <w:rFonts w:ascii="Palatino Linotype" w:eastAsia="Palatino Linotype" w:hAnsi="Palatino Linotype" w:cs="Palatino Linotype"/>
        </w:rPr>
        <w:t>aprobada en la Décima Sexta Sesión Ordinaria, celebrada el cuatr</w:t>
      </w:r>
      <w:r w:rsidR="00255088">
        <w:rPr>
          <w:rFonts w:ascii="Palatino Linotype" w:eastAsia="Palatino Linotype" w:hAnsi="Palatino Linotype" w:cs="Palatino Linotype"/>
        </w:rPr>
        <w:t xml:space="preserve">o de mayo de dos mil veintitrés y </w:t>
      </w:r>
      <w:r w:rsidR="00255088" w:rsidRPr="00255088">
        <w:rPr>
          <w:rFonts w:ascii="Palatino Linotype" w:eastAsia="Palatino Linotype" w:hAnsi="Palatino Linotype" w:cs="Palatino Linotype"/>
          <w:b/>
        </w:rPr>
        <w:t>11156/INFOEM/IP/RR/2022</w:t>
      </w:r>
      <w:r w:rsidRPr="00855B85">
        <w:rPr>
          <w:rFonts w:ascii="Palatino Linotype" w:eastAsia="Palatino Linotype" w:hAnsi="Palatino Linotype" w:cs="Palatino Linotype"/>
        </w:rPr>
        <w:t xml:space="preserve"> </w:t>
      </w:r>
      <w:r w:rsidRPr="00855B85">
        <w:rPr>
          <w:rFonts w:ascii="Palatino Linotype" w:eastAsia="Palatino Linotype" w:hAnsi="Palatino Linotype" w:cs="Palatino Linotype"/>
          <w:b/>
          <w:color w:val="000000"/>
        </w:rPr>
        <w:t xml:space="preserve"> </w:t>
      </w:r>
      <w:r w:rsidR="00343D68" w:rsidRPr="00343D68">
        <w:rPr>
          <w:rFonts w:ascii="Palatino Linotype" w:eastAsia="Palatino Linotype" w:hAnsi="Palatino Linotype" w:cs="Palatino Linotype"/>
          <w:color w:val="000000"/>
        </w:rPr>
        <w:t>aprobada en la S</w:t>
      </w:r>
      <w:r w:rsidR="00343D68">
        <w:rPr>
          <w:rFonts w:ascii="Palatino Linotype" w:eastAsia="Palatino Linotype" w:hAnsi="Palatino Linotype" w:cs="Palatino Linotype"/>
          <w:color w:val="000000"/>
        </w:rPr>
        <w:t>éptima</w:t>
      </w:r>
      <w:r w:rsidR="00343D68" w:rsidRPr="00343D68">
        <w:rPr>
          <w:rFonts w:ascii="Palatino Linotype" w:eastAsia="Palatino Linotype" w:hAnsi="Palatino Linotype" w:cs="Palatino Linotype"/>
          <w:color w:val="000000"/>
        </w:rPr>
        <w:t xml:space="preserve"> Sesión Ordinaria, celebrada el </w:t>
      </w:r>
      <w:r w:rsidR="00343D68">
        <w:rPr>
          <w:rFonts w:ascii="Palatino Linotype" w:eastAsia="Palatino Linotype" w:hAnsi="Palatino Linotype" w:cs="Palatino Linotype"/>
          <w:color w:val="000000"/>
        </w:rPr>
        <w:t xml:space="preserve">veintidós </w:t>
      </w:r>
      <w:r w:rsidR="00343D68" w:rsidRPr="00343D68">
        <w:rPr>
          <w:rFonts w:ascii="Palatino Linotype" w:eastAsia="Palatino Linotype" w:hAnsi="Palatino Linotype" w:cs="Palatino Linotype"/>
          <w:color w:val="000000"/>
        </w:rPr>
        <w:t xml:space="preserve">de </w:t>
      </w:r>
      <w:r w:rsidR="00343D68">
        <w:rPr>
          <w:rFonts w:ascii="Palatino Linotype" w:eastAsia="Palatino Linotype" w:hAnsi="Palatino Linotype" w:cs="Palatino Linotype"/>
          <w:color w:val="000000"/>
        </w:rPr>
        <w:t>febrero</w:t>
      </w:r>
      <w:r w:rsidR="00343D68" w:rsidRPr="00343D68">
        <w:rPr>
          <w:rFonts w:ascii="Palatino Linotype" w:eastAsia="Palatino Linotype" w:hAnsi="Palatino Linotype" w:cs="Palatino Linotype"/>
          <w:color w:val="000000"/>
        </w:rPr>
        <w:t xml:space="preserve"> de dos mil veintitrés</w:t>
      </w:r>
      <w:r w:rsidR="00343D68">
        <w:rPr>
          <w:rFonts w:ascii="Palatino Linotype" w:eastAsia="Palatino Linotype" w:hAnsi="Palatino Linotype" w:cs="Palatino Linotype"/>
          <w:color w:val="000000"/>
        </w:rPr>
        <w:t xml:space="preserve">, </w:t>
      </w:r>
      <w:r w:rsidRPr="00855B85">
        <w:rPr>
          <w:rFonts w:ascii="Palatino Linotype" w:eastAsia="Palatino Linotype" w:hAnsi="Palatino Linotype" w:cs="Palatino Linotype"/>
          <w:color w:val="000000"/>
        </w:rPr>
        <w:t xml:space="preserve">en </w:t>
      </w:r>
      <w:r w:rsidR="00343D68">
        <w:rPr>
          <w:rFonts w:ascii="Palatino Linotype" w:eastAsia="Palatino Linotype" w:hAnsi="Palatino Linotype" w:cs="Palatino Linotype"/>
          <w:color w:val="000000"/>
        </w:rPr>
        <w:t>las</w:t>
      </w:r>
      <w:r w:rsidRPr="00855B85">
        <w:rPr>
          <w:rFonts w:ascii="Palatino Linotype" w:eastAsia="Palatino Linotype" w:hAnsi="Palatino Linotype" w:cs="Palatino Linotype"/>
          <w:color w:val="000000"/>
        </w:rPr>
        <w:t xml:space="preserve"> que se analizó y </w:t>
      </w:r>
      <w:r w:rsidRPr="00343D68">
        <w:rPr>
          <w:rFonts w:ascii="Palatino Linotype" w:eastAsia="Palatino Linotype" w:hAnsi="Palatino Linotype" w:cs="Palatino Linotype"/>
          <w:b/>
          <w:color w:val="000000"/>
        </w:rPr>
        <w:t>resolvió por unanimidad de votos</w:t>
      </w:r>
      <w:r w:rsidRPr="00855B85">
        <w:rPr>
          <w:rFonts w:ascii="Palatino Linotype" w:eastAsia="Palatino Linotype" w:hAnsi="Palatino Linotype" w:cs="Palatino Linotype"/>
          <w:color w:val="000000"/>
        </w:rPr>
        <w:t xml:space="preserve">, la entrega del documento de seguridad en versión pública, </w:t>
      </w:r>
      <w:r w:rsidRPr="00855B85">
        <w:rPr>
          <w:rFonts w:ascii="Palatino Linotype" w:eastAsia="Palatino Linotype" w:hAnsi="Palatino Linotype" w:cs="Palatino Linotype"/>
        </w:rPr>
        <w:t>en la que se consideró la publicidad del</w:t>
      </w:r>
      <w:r w:rsidRPr="00855B85">
        <w:rPr>
          <w:rFonts w:ascii="Palatino Linotype" w:eastAsia="Palatino Linotype" w:hAnsi="Palatino Linotype" w:cs="Palatino Linotype"/>
          <w:color w:val="000000"/>
        </w:rPr>
        <w:t xml:space="preserve"> programa general de capacitación, en atención a las consideraciones previamente señaladas. </w:t>
      </w:r>
    </w:p>
    <w:p w:rsidR="00A45102" w:rsidRDefault="00A45102">
      <w:pPr>
        <w:spacing w:after="0" w:line="360" w:lineRule="auto"/>
        <w:jc w:val="both"/>
        <w:rPr>
          <w:rFonts w:ascii="Palatino Linotype" w:eastAsia="Palatino Linotype" w:hAnsi="Palatino Linotype" w:cs="Palatino Linotype"/>
          <w:color w:val="000000"/>
        </w:rPr>
      </w:pPr>
    </w:p>
    <w:p w:rsidR="00A45102" w:rsidRDefault="00A45102">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Incluso en los precedentes 14456/INFOEM/IP/RR/2022 y acumulado y el </w:t>
      </w:r>
      <w:r w:rsidR="00C937F2">
        <w:rPr>
          <w:rFonts w:ascii="Palatino Linotype" w:eastAsia="Palatino Linotype" w:hAnsi="Palatino Linotype" w:cs="Palatino Linotype"/>
          <w:color w:val="000000"/>
        </w:rPr>
        <w:t>16779</w:t>
      </w:r>
      <w:r w:rsidR="00C937F2">
        <w:rPr>
          <w:rFonts w:ascii="Palatino Linotype" w:eastAsia="Palatino Linotype" w:hAnsi="Palatino Linotype" w:cs="Palatino Linotype"/>
          <w:color w:val="000000"/>
        </w:rPr>
        <w:t>/INFOEM/IP/RR/2022</w:t>
      </w:r>
      <w:r>
        <w:rPr>
          <w:rFonts w:ascii="Palatino Linotype" w:eastAsia="Palatino Linotype" w:hAnsi="Palatino Linotype" w:cs="Palatino Linotype"/>
          <w:color w:val="000000"/>
        </w:rPr>
        <w:t xml:space="preserve">, los sujetos obligados entregaron en respuesta el documento denominado </w:t>
      </w:r>
      <w:r w:rsidR="00563166">
        <w:rPr>
          <w:rFonts w:ascii="Palatino Linotype" w:eastAsia="Palatino Linotype" w:hAnsi="Palatino Linotype" w:cs="Palatino Linotype"/>
          <w:color w:val="000000"/>
        </w:rPr>
        <w:t>Plan de Trabajo, el cual de acuerdo con los fundamentos siguientes debe elaborarse con las medidas de seguridad de los sistemas de datos como se muestra a continuación:</w:t>
      </w:r>
    </w:p>
    <w:p w:rsidR="00C937F2" w:rsidRDefault="00C937F2" w:rsidP="00563166">
      <w:pPr>
        <w:spacing w:after="0" w:line="360" w:lineRule="auto"/>
        <w:ind w:right="-150"/>
        <w:jc w:val="both"/>
        <w:textAlignment w:val="baseline"/>
        <w:rPr>
          <w:rFonts w:ascii="Palatino Linotype" w:hAnsi="Palatino Linotype" w:cs="Tahoma"/>
          <w:bCs/>
          <w:sz w:val="20"/>
          <w:szCs w:val="20"/>
          <w:lang w:eastAsia="es-ES"/>
        </w:rPr>
      </w:pPr>
    </w:p>
    <w:p w:rsidR="00563166" w:rsidRPr="00563166" w:rsidRDefault="00563166" w:rsidP="00563166">
      <w:pPr>
        <w:spacing w:after="0" w:line="360" w:lineRule="auto"/>
        <w:ind w:right="-150"/>
        <w:jc w:val="both"/>
        <w:textAlignment w:val="baseline"/>
        <w:rPr>
          <w:rFonts w:ascii="Palatino Linotype" w:hAnsi="Palatino Linotype" w:cs="Tahoma"/>
          <w:bCs/>
          <w:sz w:val="20"/>
          <w:szCs w:val="20"/>
          <w:lang w:eastAsia="es-ES"/>
        </w:rPr>
      </w:pPr>
      <w:r w:rsidRPr="00563166">
        <w:rPr>
          <w:rFonts w:ascii="Palatino Linotype" w:hAnsi="Palatino Linotype" w:cs="Tahoma"/>
          <w:bCs/>
          <w:sz w:val="20"/>
          <w:szCs w:val="20"/>
          <w:lang w:eastAsia="es-ES"/>
        </w:rPr>
        <w:t>Ley de Protección de Datos Personales en Posesión de Sujetos Obligados del Estado de México y Municipios:</w:t>
      </w:r>
    </w:p>
    <w:p w:rsidR="00563166" w:rsidRPr="00563166" w:rsidRDefault="00563166" w:rsidP="00563166">
      <w:pPr>
        <w:spacing w:after="0" w:line="360" w:lineRule="auto"/>
        <w:ind w:right="-150"/>
        <w:jc w:val="both"/>
        <w:textAlignment w:val="baseline"/>
        <w:rPr>
          <w:rFonts w:ascii="Palatino Linotype" w:hAnsi="Palatino Linotype" w:cs="Tahoma"/>
          <w:bCs/>
          <w:sz w:val="20"/>
          <w:szCs w:val="20"/>
          <w:lang w:eastAsia="es-ES"/>
        </w:rPr>
      </w:pPr>
    </w:p>
    <w:p w:rsidR="00563166" w:rsidRPr="00563166" w:rsidRDefault="00563166" w:rsidP="00563166">
      <w:pPr>
        <w:spacing w:after="0" w:line="360" w:lineRule="auto"/>
        <w:ind w:left="567" w:right="616"/>
        <w:textAlignment w:val="baseline"/>
        <w:rPr>
          <w:rFonts w:ascii="Palatino Linotype" w:hAnsi="Palatino Linotype" w:cs="Tahoma"/>
          <w:bCs/>
          <w:i/>
          <w:iCs/>
          <w:sz w:val="20"/>
          <w:szCs w:val="20"/>
          <w:lang w:eastAsia="es-ES"/>
        </w:rPr>
      </w:pPr>
      <w:r w:rsidRPr="00563166">
        <w:rPr>
          <w:rFonts w:ascii="Palatino Linotype" w:hAnsi="Palatino Linotype" w:cs="Tahoma"/>
          <w:bCs/>
          <w:i/>
          <w:iCs/>
          <w:sz w:val="20"/>
          <w:szCs w:val="20"/>
          <w:lang w:eastAsia="es-ES"/>
        </w:rPr>
        <w:lastRenderedPageBreak/>
        <w:t>Actividades interrelacionadas para establecer y mantener las medidas de seguridad</w:t>
      </w:r>
    </w:p>
    <w:p w:rsidR="00563166" w:rsidRPr="00563166" w:rsidRDefault="00563166" w:rsidP="00563166">
      <w:pPr>
        <w:spacing w:after="0" w:line="360" w:lineRule="auto"/>
        <w:ind w:left="567" w:right="616"/>
        <w:textAlignment w:val="baseline"/>
        <w:rPr>
          <w:rFonts w:ascii="Palatino Linotype" w:hAnsi="Palatino Linotype" w:cs="Tahoma"/>
          <w:bCs/>
          <w:i/>
          <w:iCs/>
          <w:sz w:val="20"/>
          <w:szCs w:val="20"/>
          <w:lang w:eastAsia="es-ES"/>
        </w:rPr>
      </w:pPr>
      <w:r w:rsidRPr="00563166">
        <w:rPr>
          <w:rFonts w:ascii="Palatino Linotype" w:hAnsi="Palatino Linotype" w:cs="Tahoma"/>
          <w:bCs/>
          <w:i/>
          <w:iCs/>
          <w:sz w:val="20"/>
          <w:szCs w:val="20"/>
          <w:lang w:eastAsia="es-ES"/>
        </w:rPr>
        <w:t>Artículo 46. Para establecer y mantener las medidas de seguridad para la protección de los datos personales, el responsable realizará, al menos, las actividades interrelacionadas siguientes:</w:t>
      </w:r>
    </w:p>
    <w:p w:rsidR="00563166" w:rsidRPr="00563166" w:rsidRDefault="00563166" w:rsidP="00563166">
      <w:pPr>
        <w:spacing w:after="0" w:line="360" w:lineRule="auto"/>
        <w:ind w:left="567" w:right="616"/>
        <w:textAlignment w:val="baseline"/>
        <w:rPr>
          <w:rFonts w:ascii="Palatino Linotype" w:hAnsi="Palatino Linotype" w:cs="Tahoma"/>
          <w:bCs/>
          <w:i/>
          <w:iCs/>
          <w:sz w:val="20"/>
          <w:szCs w:val="20"/>
          <w:lang w:eastAsia="es-ES"/>
        </w:rPr>
      </w:pPr>
      <w:r w:rsidRPr="00563166">
        <w:rPr>
          <w:rFonts w:ascii="Palatino Linotype" w:hAnsi="Palatino Linotype" w:cs="Tahoma"/>
          <w:bCs/>
          <w:i/>
          <w:iCs/>
          <w:sz w:val="20"/>
          <w:szCs w:val="20"/>
          <w:lang w:eastAsia="es-ES"/>
        </w:rPr>
        <w:t>…</w:t>
      </w:r>
    </w:p>
    <w:p w:rsidR="00563166" w:rsidRPr="00563166" w:rsidRDefault="00563166" w:rsidP="00563166">
      <w:pPr>
        <w:spacing w:after="0" w:line="360" w:lineRule="auto"/>
        <w:ind w:left="567" w:right="616"/>
        <w:textAlignment w:val="baseline"/>
        <w:rPr>
          <w:rFonts w:ascii="Palatino Linotype" w:hAnsi="Palatino Linotype" w:cs="Tahoma"/>
          <w:b/>
          <w:i/>
          <w:iCs/>
          <w:sz w:val="20"/>
          <w:szCs w:val="20"/>
          <w:lang w:eastAsia="es-ES"/>
        </w:rPr>
      </w:pPr>
      <w:r w:rsidRPr="00563166">
        <w:rPr>
          <w:rFonts w:ascii="Palatino Linotype" w:hAnsi="Palatino Linotype" w:cs="Tahoma"/>
          <w:b/>
          <w:i/>
          <w:iCs/>
          <w:sz w:val="20"/>
          <w:szCs w:val="20"/>
          <w:lang w:eastAsia="es-ES"/>
        </w:rPr>
        <w:t>VI. Elaborar un plan de trabajo para la implementación de las medidas de seguridad faltantes</w:t>
      </w:r>
      <w:r w:rsidRPr="00563166">
        <w:rPr>
          <w:rFonts w:ascii="Palatino Linotype" w:hAnsi="Palatino Linotype" w:cs="Tahoma"/>
          <w:bCs/>
          <w:i/>
          <w:iCs/>
          <w:sz w:val="20"/>
          <w:szCs w:val="20"/>
          <w:lang w:eastAsia="es-ES"/>
        </w:rPr>
        <w:t xml:space="preserve">, </w:t>
      </w:r>
      <w:r w:rsidRPr="00563166">
        <w:rPr>
          <w:rFonts w:ascii="Palatino Linotype" w:hAnsi="Palatino Linotype" w:cs="Tahoma"/>
          <w:b/>
          <w:i/>
          <w:iCs/>
          <w:sz w:val="20"/>
          <w:szCs w:val="20"/>
          <w:lang w:eastAsia="es-ES"/>
        </w:rPr>
        <w:t>así como las medidas para el cumplimiento cotidiano de las políticas de gestión y tratamiento de los datos personales</w:t>
      </w:r>
    </w:p>
    <w:p w:rsidR="00563166" w:rsidRPr="00563166" w:rsidRDefault="00563166" w:rsidP="00563166">
      <w:pPr>
        <w:spacing w:after="0" w:line="360" w:lineRule="auto"/>
        <w:ind w:left="567" w:right="616"/>
        <w:textAlignment w:val="baseline"/>
        <w:rPr>
          <w:rFonts w:ascii="Palatino Linotype" w:hAnsi="Palatino Linotype" w:cs="Tahoma"/>
          <w:bCs/>
          <w:i/>
          <w:iCs/>
          <w:sz w:val="20"/>
          <w:szCs w:val="20"/>
          <w:lang w:eastAsia="es-ES"/>
        </w:rPr>
      </w:pPr>
    </w:p>
    <w:p w:rsidR="00563166" w:rsidRPr="00563166" w:rsidRDefault="00563166" w:rsidP="00563166">
      <w:pPr>
        <w:spacing w:after="0" w:line="360" w:lineRule="auto"/>
        <w:ind w:left="567" w:right="616"/>
        <w:textAlignment w:val="baseline"/>
        <w:rPr>
          <w:rFonts w:ascii="Palatino Linotype" w:hAnsi="Palatino Linotype" w:cs="Tahoma"/>
          <w:bCs/>
          <w:i/>
          <w:iCs/>
          <w:sz w:val="20"/>
          <w:szCs w:val="20"/>
          <w:lang w:eastAsia="es-ES"/>
        </w:rPr>
      </w:pPr>
      <w:r w:rsidRPr="00563166">
        <w:rPr>
          <w:rFonts w:ascii="Palatino Linotype" w:hAnsi="Palatino Linotype" w:cs="Tahoma"/>
          <w:bCs/>
          <w:i/>
          <w:iCs/>
          <w:sz w:val="20"/>
          <w:szCs w:val="20"/>
          <w:lang w:eastAsia="es-ES"/>
        </w:rPr>
        <w:t>Contenido del Documento de Seguridad</w:t>
      </w:r>
    </w:p>
    <w:p w:rsidR="00563166" w:rsidRPr="00563166" w:rsidRDefault="00563166" w:rsidP="00563166">
      <w:pPr>
        <w:spacing w:after="0" w:line="360" w:lineRule="auto"/>
        <w:ind w:left="567" w:right="616"/>
        <w:textAlignment w:val="baseline"/>
        <w:rPr>
          <w:rFonts w:ascii="Palatino Linotype" w:hAnsi="Palatino Linotype" w:cs="Tahoma"/>
          <w:b/>
          <w:i/>
          <w:iCs/>
          <w:sz w:val="20"/>
          <w:szCs w:val="20"/>
          <w:lang w:eastAsia="es-ES"/>
        </w:rPr>
      </w:pPr>
      <w:r w:rsidRPr="00563166">
        <w:rPr>
          <w:rFonts w:ascii="Palatino Linotype" w:hAnsi="Palatino Linotype" w:cs="Tahoma"/>
          <w:b/>
          <w:i/>
          <w:iCs/>
          <w:sz w:val="20"/>
          <w:szCs w:val="20"/>
          <w:lang w:eastAsia="es-ES"/>
        </w:rPr>
        <w:t>Artículo 49. El documento de seguridad deberá contener como mínimo lo siguiente:</w:t>
      </w:r>
    </w:p>
    <w:p w:rsidR="00563166" w:rsidRPr="00563166" w:rsidRDefault="00563166" w:rsidP="00563166">
      <w:pPr>
        <w:spacing w:after="0" w:line="360" w:lineRule="auto"/>
        <w:ind w:left="567" w:right="616"/>
        <w:textAlignment w:val="baseline"/>
        <w:rPr>
          <w:rFonts w:ascii="Palatino Linotype" w:hAnsi="Palatino Linotype" w:cs="Tahoma"/>
          <w:bCs/>
          <w:i/>
          <w:iCs/>
          <w:sz w:val="20"/>
          <w:szCs w:val="20"/>
          <w:lang w:eastAsia="es-ES"/>
        </w:rPr>
      </w:pPr>
      <w:r w:rsidRPr="00563166">
        <w:rPr>
          <w:rFonts w:ascii="Palatino Linotype" w:hAnsi="Palatino Linotype" w:cs="Tahoma"/>
          <w:bCs/>
          <w:i/>
          <w:iCs/>
          <w:sz w:val="20"/>
          <w:szCs w:val="20"/>
          <w:lang w:eastAsia="es-ES"/>
        </w:rPr>
        <w:t>…</w:t>
      </w:r>
    </w:p>
    <w:p w:rsidR="00563166" w:rsidRPr="00563166" w:rsidRDefault="00563166" w:rsidP="00563166">
      <w:pPr>
        <w:spacing w:after="0" w:line="360" w:lineRule="auto"/>
        <w:ind w:left="567" w:right="616"/>
        <w:textAlignment w:val="baseline"/>
        <w:rPr>
          <w:rFonts w:ascii="Palatino Linotype" w:hAnsi="Palatino Linotype" w:cs="Tahoma"/>
          <w:b/>
          <w:i/>
          <w:iCs/>
          <w:sz w:val="20"/>
          <w:szCs w:val="20"/>
          <w:lang w:eastAsia="es-ES"/>
        </w:rPr>
      </w:pPr>
      <w:r w:rsidRPr="00563166">
        <w:rPr>
          <w:rFonts w:ascii="Palatino Linotype" w:hAnsi="Palatino Linotype" w:cs="Tahoma"/>
          <w:b/>
          <w:i/>
          <w:iCs/>
          <w:sz w:val="20"/>
          <w:szCs w:val="20"/>
          <w:lang w:eastAsia="es-ES"/>
        </w:rPr>
        <w:t>m) El plan de trabajo.</w:t>
      </w:r>
    </w:p>
    <w:p w:rsidR="00563166" w:rsidRPr="00563166" w:rsidRDefault="00563166" w:rsidP="00563166">
      <w:pPr>
        <w:spacing w:after="0" w:line="360" w:lineRule="auto"/>
        <w:ind w:left="567" w:right="616"/>
        <w:textAlignment w:val="baseline"/>
        <w:rPr>
          <w:rFonts w:ascii="Palatino Linotype" w:hAnsi="Palatino Linotype" w:cs="Tahoma"/>
          <w:bCs/>
          <w:i/>
          <w:iCs/>
          <w:sz w:val="20"/>
          <w:szCs w:val="20"/>
          <w:lang w:eastAsia="es-ES"/>
        </w:rPr>
      </w:pPr>
      <w:r w:rsidRPr="00563166">
        <w:rPr>
          <w:rFonts w:ascii="Palatino Linotype" w:hAnsi="Palatino Linotype" w:cs="Tahoma"/>
          <w:bCs/>
          <w:i/>
          <w:iCs/>
          <w:sz w:val="20"/>
          <w:szCs w:val="20"/>
          <w:lang w:eastAsia="es-ES"/>
        </w:rPr>
        <w:t xml:space="preserve">… </w:t>
      </w:r>
    </w:p>
    <w:p w:rsidR="00563166" w:rsidRPr="00855B85" w:rsidRDefault="00563166">
      <w:pPr>
        <w:spacing w:after="0" w:line="360" w:lineRule="auto"/>
        <w:jc w:val="both"/>
        <w:rPr>
          <w:rFonts w:ascii="Palatino Linotype" w:eastAsia="Palatino Linotype" w:hAnsi="Palatino Linotype" w:cs="Palatino Linotype"/>
        </w:rPr>
      </w:pPr>
    </w:p>
    <w:p w:rsidR="00310189" w:rsidRDefault="00563166">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de la revisión que se hizo por parte de las Ponencias Resolutoras de los precedentes indicados, se determinó que no existió una posible vulneración a los sistemas porque dichos documentos fueron elaborados sin contener medidas de seguridad por lo que no procede su clasificación ni la vista a la Direcció</w:t>
      </w:r>
      <w:bookmarkStart w:id="1" w:name="_GoBack"/>
      <w:bookmarkEnd w:id="1"/>
      <w:r>
        <w:rPr>
          <w:rFonts w:ascii="Palatino Linotype" w:eastAsia="Palatino Linotype" w:hAnsi="Palatino Linotype" w:cs="Palatino Linotype"/>
        </w:rPr>
        <w:t>n General de Protección de Datos Personales. De tal suerte que, las clasificaciones de información deben ser siempre de forma restrictiva y de acuerdo al contenido que debe tener el Programa General de Capacitación, no se advierte ningún elemento que justifique su eliminación de las versiones públicas; situación que debió establecerse dentro de la resolución.</w:t>
      </w:r>
    </w:p>
    <w:p w:rsidR="00563166" w:rsidRPr="00855B85" w:rsidRDefault="00563166">
      <w:pPr>
        <w:spacing w:after="0" w:line="360" w:lineRule="auto"/>
        <w:jc w:val="both"/>
        <w:rPr>
          <w:rFonts w:ascii="Palatino Linotype" w:eastAsia="Palatino Linotype" w:hAnsi="Palatino Linotype" w:cs="Palatino Linotype"/>
        </w:rPr>
      </w:pPr>
    </w:p>
    <w:p w:rsidR="00310189" w:rsidRPr="00855B85" w:rsidRDefault="00B2685B">
      <w:pPr>
        <w:spacing w:after="0" w:line="360" w:lineRule="auto"/>
        <w:jc w:val="both"/>
        <w:rPr>
          <w:rFonts w:ascii="Palatino Linotype" w:eastAsia="Palatino Linotype" w:hAnsi="Palatino Linotype" w:cs="Palatino Linotype"/>
        </w:rPr>
      </w:pPr>
      <w:r w:rsidRPr="00855B85">
        <w:rPr>
          <w:rFonts w:ascii="Palatino Linotype" w:eastAsia="Palatino Linotype" w:hAnsi="Palatino Linotype" w:cs="Palatino Linotype"/>
        </w:rPr>
        <w:t xml:space="preserve">Lo anterior expone razones suficientes para la emisión y presentación del presente </w:t>
      </w:r>
      <w:r w:rsidRPr="00855B85">
        <w:rPr>
          <w:rFonts w:ascii="Palatino Linotype" w:eastAsia="Palatino Linotype" w:hAnsi="Palatino Linotype" w:cs="Palatino Linotype"/>
          <w:b/>
        </w:rPr>
        <w:t>Voto Particular Concurrente</w:t>
      </w:r>
      <w:r w:rsidRPr="00855B85">
        <w:rPr>
          <w:rFonts w:ascii="Palatino Linotype" w:eastAsia="Palatino Linotype" w:hAnsi="Palatino Linotype" w:cs="Palatino Linotype"/>
        </w:rPr>
        <w:t>, relacionado con la resolución del Recurso de Revisión referido. -----------------------------------------------------------------------------------------</w:t>
      </w:r>
      <w:r w:rsidR="00343D68">
        <w:rPr>
          <w:rFonts w:ascii="Palatino Linotype" w:eastAsia="Palatino Linotype" w:hAnsi="Palatino Linotype" w:cs="Palatino Linotype"/>
        </w:rPr>
        <w:t>--------------</w:t>
      </w:r>
      <w:r w:rsidRPr="00855B85">
        <w:rPr>
          <w:rFonts w:ascii="Palatino Linotype" w:eastAsia="Palatino Linotype" w:hAnsi="Palatino Linotype" w:cs="Palatino Linotype"/>
        </w:rPr>
        <w:t>---------------------</w:t>
      </w: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eastAsia="Palatino Linotype" w:hAnsi="Palatino Linotype" w:cs="Palatino Linotype"/>
        </w:rPr>
      </w:pPr>
    </w:p>
    <w:p w:rsidR="00310189" w:rsidRPr="00855B85" w:rsidRDefault="00310189">
      <w:pPr>
        <w:spacing w:after="0" w:line="360" w:lineRule="auto"/>
        <w:jc w:val="both"/>
        <w:rPr>
          <w:rFonts w:ascii="Palatino Linotype" w:hAnsi="Palatino Linotype"/>
        </w:rPr>
      </w:pPr>
    </w:p>
    <w:p w:rsidR="00855B85" w:rsidRPr="00855B85" w:rsidRDefault="00855B85">
      <w:pPr>
        <w:spacing w:after="0" w:line="360" w:lineRule="auto"/>
        <w:jc w:val="both"/>
        <w:rPr>
          <w:rFonts w:ascii="Palatino Linotype" w:hAnsi="Palatino Linotype"/>
        </w:rPr>
      </w:pPr>
    </w:p>
    <w:sectPr w:rsidR="00855B85" w:rsidRPr="00855B85">
      <w:headerReference w:type="even" r:id="rId7"/>
      <w:headerReference w:type="default" r:id="rId8"/>
      <w:footerReference w:type="default" r:id="rId9"/>
      <w:headerReference w:type="first" r:id="rId10"/>
      <w:pgSz w:w="12240" w:h="15840"/>
      <w:pgMar w:top="1417" w:right="1701" w:bottom="1417" w:left="1701"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A65" w:rsidRDefault="00874A65">
      <w:pPr>
        <w:spacing w:after="0" w:line="240" w:lineRule="auto"/>
      </w:pPr>
      <w:r>
        <w:separator/>
      </w:r>
    </w:p>
  </w:endnote>
  <w:endnote w:type="continuationSeparator" w:id="0">
    <w:p w:rsidR="00874A65" w:rsidRDefault="0087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89" w:rsidRDefault="00B2685B">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937F2">
      <w:rPr>
        <w:b/>
        <w:noProof/>
        <w:color w:val="000000"/>
        <w:sz w:val="24"/>
        <w:szCs w:val="24"/>
      </w:rPr>
      <w:t>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937F2">
      <w:rPr>
        <w:b/>
        <w:noProof/>
        <w:color w:val="000000"/>
        <w:sz w:val="24"/>
        <w:szCs w:val="24"/>
      </w:rPr>
      <w:t>8</w:t>
    </w:r>
    <w:r>
      <w:rPr>
        <w:b/>
        <w:color w:val="000000"/>
        <w:sz w:val="24"/>
        <w:szCs w:val="24"/>
      </w:rPr>
      <w:fldChar w:fldCharType="end"/>
    </w:r>
  </w:p>
  <w:p w:rsidR="00310189" w:rsidRDefault="0031018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A65" w:rsidRDefault="00874A65">
      <w:pPr>
        <w:spacing w:after="0" w:line="240" w:lineRule="auto"/>
      </w:pPr>
      <w:r>
        <w:separator/>
      </w:r>
    </w:p>
  </w:footnote>
  <w:footnote w:type="continuationSeparator" w:id="0">
    <w:p w:rsidR="00874A65" w:rsidRDefault="00874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89" w:rsidRDefault="00874A65">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1.8pt;height:81.25pt;rotation:315;z-index:-251657728;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89" w:rsidRDefault="00310189">
    <w:pPr>
      <w:widowControl w:val="0"/>
      <w:pBdr>
        <w:top w:val="nil"/>
        <w:left w:val="nil"/>
        <w:bottom w:val="nil"/>
        <w:right w:val="nil"/>
        <w:between w:val="nil"/>
      </w:pBdr>
      <w:spacing w:after="0" w:line="276" w:lineRule="auto"/>
    </w:pPr>
  </w:p>
  <w:tbl>
    <w:tblPr>
      <w:tblStyle w:val="a0"/>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5387"/>
    </w:tblGrid>
    <w:tr w:rsidR="00310189">
      <w:trPr>
        <w:trHeight w:val="1843"/>
      </w:trPr>
      <w:tc>
        <w:tcPr>
          <w:tcW w:w="3402" w:type="dxa"/>
          <w:vAlign w:val="bottom"/>
        </w:tcPr>
        <w:p w:rsidR="00310189" w:rsidRDefault="00B2685B">
          <w:pPr>
            <w:pBdr>
              <w:top w:val="nil"/>
              <w:left w:val="nil"/>
              <w:bottom w:val="nil"/>
              <w:right w:val="nil"/>
              <w:between w:val="nil"/>
            </w:pBdr>
            <w:tabs>
              <w:tab w:val="center" w:pos="4252"/>
              <w:tab w:val="right" w:pos="8504"/>
              <w:tab w:val="center" w:pos="2614"/>
            </w:tabs>
            <w:ind w:left="-255"/>
            <w:rPr>
              <w:color w:val="000000"/>
            </w:rPr>
          </w:pPr>
          <w:r>
            <w:rPr>
              <w:noProof/>
              <w:lang w:val="es-MX"/>
            </w:rPr>
            <w:drawing>
              <wp:anchor distT="0" distB="0" distL="114300" distR="114300" simplePos="0" relativeHeight="251656704" behindDoc="0" locked="0" layoutInCell="1" hidden="0" allowOverlap="1">
                <wp:simplePos x="0" y="0"/>
                <wp:positionH relativeFrom="column">
                  <wp:posOffset>-329563</wp:posOffset>
                </wp:positionH>
                <wp:positionV relativeFrom="paragraph">
                  <wp:posOffset>-861058</wp:posOffset>
                </wp:positionV>
                <wp:extent cx="1873250" cy="112649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anchor>
            </w:drawing>
          </w:r>
        </w:p>
        <w:p w:rsidR="00310189" w:rsidRDefault="00310189">
          <w:pPr>
            <w:pBdr>
              <w:top w:val="nil"/>
              <w:left w:val="nil"/>
              <w:bottom w:val="nil"/>
              <w:right w:val="nil"/>
              <w:between w:val="nil"/>
            </w:pBdr>
            <w:tabs>
              <w:tab w:val="center" w:pos="4252"/>
              <w:tab w:val="right" w:pos="8504"/>
              <w:tab w:val="center" w:pos="2614"/>
            </w:tabs>
            <w:ind w:left="-255"/>
            <w:rPr>
              <w:color w:val="000000"/>
            </w:rPr>
          </w:pPr>
        </w:p>
      </w:tc>
      <w:tc>
        <w:tcPr>
          <w:tcW w:w="5387" w:type="dxa"/>
          <w:vAlign w:val="center"/>
        </w:tcPr>
        <w:p w:rsidR="00310189" w:rsidRDefault="00B2685B">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w:t>
          </w:r>
        </w:p>
        <w:p w:rsidR="00310189" w:rsidRDefault="00B2685B">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01035/INFOEM/IP/RR/2023</w:t>
          </w:r>
        </w:p>
        <w:p w:rsidR="00310189" w:rsidRDefault="00B2685B">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Sistema Municipal Para el Desarrollo Integral de la Familia de Toluca</w:t>
          </w:r>
        </w:p>
        <w:p w:rsidR="00310189" w:rsidRDefault="00B2685B">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José Martínez Vilchis</w:t>
          </w:r>
        </w:p>
      </w:tc>
    </w:tr>
  </w:tbl>
  <w:p w:rsidR="00310189" w:rsidRDefault="00310189">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89" w:rsidRDefault="00874A65">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1.8pt;height:81.25pt;rotation:315;z-index:-251658752;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89"/>
    <w:rsid w:val="00116E76"/>
    <w:rsid w:val="00255088"/>
    <w:rsid w:val="00310189"/>
    <w:rsid w:val="00326D6E"/>
    <w:rsid w:val="00327356"/>
    <w:rsid w:val="00343D68"/>
    <w:rsid w:val="00563166"/>
    <w:rsid w:val="005E7105"/>
    <w:rsid w:val="006B0DDB"/>
    <w:rsid w:val="007C0B0C"/>
    <w:rsid w:val="00855B85"/>
    <w:rsid w:val="00874A65"/>
    <w:rsid w:val="00A45102"/>
    <w:rsid w:val="00B2685B"/>
    <w:rsid w:val="00C937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44FA80-FC0E-4ABF-AC19-28E190C7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17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704"/>
    <w:rPr>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wCyiozlu4ghrgv0ETeMqDVbbQ==">CgMxLjAyCWguMzBqMHpsbDgAciExM2NGd05LN0VlSXZ0ck5hNnRNS3VJZmx6cG44bkVBZlA=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1797</Words>
  <Characters>9889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Cuenta Microsoft</cp:lastModifiedBy>
  <cp:revision>3</cp:revision>
  <dcterms:created xsi:type="dcterms:W3CDTF">2023-10-06T16:45:00Z</dcterms:created>
  <dcterms:modified xsi:type="dcterms:W3CDTF">2023-10-06T17:16:00Z</dcterms:modified>
</cp:coreProperties>
</file>