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E9B1D" w14:textId="0DD1E8DF" w:rsidR="00445879" w:rsidRDefault="001D21AF" w:rsidP="00CD15EF">
      <w:pPr>
        <w:spacing w:line="360" w:lineRule="auto"/>
        <w:jc w:val="both"/>
        <w:rPr>
          <w:rFonts w:ascii="Palatino Linotype" w:hAnsi="Palatino Linotype" w:cs="Tahoma"/>
          <w:b/>
        </w:rPr>
      </w:pPr>
      <w:r>
        <w:rPr>
          <w:rFonts w:ascii="Palatino Linotype" w:hAnsi="Palatino Linotype" w:cs="Tahoma"/>
          <w:b/>
        </w:rPr>
        <w:t>VOTO PARTICULAR QUE FORMULA DE LA COMISIONADA MARÍA DEL ROSARIO MEJÍA AYALA, CON RELACIÓN A LA RESOLUCIÓN EMITIDA POR EL PLENO DEL INSTITUTO DE TRANSPARENCIA, ACCESO A LA INFORMACIÓN PÚBLI</w:t>
      </w:r>
      <w:r w:rsidR="006F0B11">
        <w:rPr>
          <w:rFonts w:ascii="Palatino Linotype" w:hAnsi="Palatino Linotype" w:cs="Tahoma"/>
          <w:b/>
        </w:rPr>
        <w:t xml:space="preserve">CA Y PROTECCIÓN DE DATOS PERSONALES DEL ESTADO DE MÉXICO Y MUNICIPIOS AL RECURSO DE REVISIÓN </w:t>
      </w:r>
      <w:r w:rsidR="006F0B11">
        <w:rPr>
          <w:rFonts w:ascii="Palatino Linotype" w:eastAsia="Palatino Linotype" w:hAnsi="Palatino Linotype" w:cs="Palatino Linotype"/>
          <w:b/>
        </w:rPr>
        <w:t>13899/INFOEM/IP/RR/2022</w:t>
      </w:r>
      <w:r w:rsidR="006F0B11">
        <w:rPr>
          <w:rFonts w:ascii="Palatino Linotype" w:hAnsi="Palatino Linotype" w:cs="Tahoma"/>
          <w:b/>
        </w:rPr>
        <w:t xml:space="preserve">, PROMOVIDO EN CONTRA DEL </w:t>
      </w:r>
      <w:r w:rsidR="006F0B11" w:rsidRPr="006F0B11">
        <w:rPr>
          <w:rFonts w:ascii="Palatino Linotype" w:hAnsi="Palatino Linotype" w:cs="Tahoma"/>
          <w:b/>
        </w:rPr>
        <w:t>ORGANISMO PÚBLICO DESCENTRALIZADO MUNICIPAL PARA LA PRESTACIÓN DE LOS SERVICIOS DE AGUA POTABLE ALCANTARILLADO Y SANEAMIENTO DE CUAUTITLÁN IZCALLI DENOMINADO OPERAGUA, O.P.D.M</w:t>
      </w:r>
      <w:r w:rsidR="004D61EE">
        <w:rPr>
          <w:rFonts w:ascii="Palatino Linotype" w:hAnsi="Palatino Linotype" w:cs="Tahoma"/>
          <w:b/>
        </w:rPr>
        <w:t>.</w:t>
      </w:r>
    </w:p>
    <w:p w14:paraId="7528060F" w14:textId="77777777" w:rsidR="006F0B11" w:rsidRPr="00CD15EF" w:rsidRDefault="006F0B11" w:rsidP="00CD15EF">
      <w:pPr>
        <w:spacing w:line="360" w:lineRule="auto"/>
        <w:jc w:val="both"/>
        <w:rPr>
          <w:rFonts w:ascii="Palatino Linotype" w:hAnsi="Palatino Linotype" w:cs="Arial"/>
          <w:b/>
        </w:rPr>
      </w:pPr>
    </w:p>
    <w:p w14:paraId="51A10ACA" w14:textId="77777777" w:rsidR="007B1CFA" w:rsidRPr="00CD15EF" w:rsidRDefault="007B1CFA" w:rsidP="00CD15EF">
      <w:pPr>
        <w:pStyle w:val="Ttulo1"/>
        <w:numPr>
          <w:ilvl w:val="0"/>
          <w:numId w:val="2"/>
        </w:numPr>
        <w:spacing w:before="0" w:line="360" w:lineRule="auto"/>
        <w:ind w:left="993" w:hanging="567"/>
        <w:rPr>
          <w:rFonts w:ascii="Palatino Linotype" w:hAnsi="Palatino Linotype"/>
          <w:color w:val="000000" w:themeColor="text1"/>
          <w:sz w:val="24"/>
          <w:szCs w:val="24"/>
        </w:rPr>
      </w:pPr>
      <w:bookmarkStart w:id="0" w:name="_Toc70345222"/>
      <w:r w:rsidRPr="00CD15EF">
        <w:rPr>
          <w:rFonts w:ascii="Palatino Linotype" w:hAnsi="Palatino Linotype"/>
          <w:color w:val="000000" w:themeColor="text1"/>
          <w:sz w:val="24"/>
          <w:szCs w:val="24"/>
        </w:rPr>
        <w:t>Consideraciones Generales.</w:t>
      </w:r>
      <w:bookmarkEnd w:id="0"/>
    </w:p>
    <w:p w14:paraId="2A27C14C" w14:textId="77777777" w:rsidR="007B1CFA" w:rsidRPr="00CD15EF" w:rsidRDefault="007B1CFA" w:rsidP="00CD15EF">
      <w:pPr>
        <w:spacing w:line="360" w:lineRule="auto"/>
        <w:rPr>
          <w:rFonts w:ascii="Palatino Linotype" w:hAnsi="Palatino Linotype"/>
        </w:rPr>
      </w:pPr>
    </w:p>
    <w:p w14:paraId="209F526E" w14:textId="77777777" w:rsidR="006F0B11" w:rsidRDefault="00CF3F65" w:rsidP="006F0B11">
      <w:pPr>
        <w:spacing w:line="360" w:lineRule="auto"/>
        <w:jc w:val="both"/>
        <w:rPr>
          <w:rFonts w:ascii="Palatino Linotype" w:hAnsi="Palatino Linotype" w:cs="Arial"/>
        </w:rPr>
      </w:pPr>
      <w:r w:rsidRPr="00CD15EF">
        <w:rPr>
          <w:rFonts w:ascii="Palatino Linotype" w:hAnsi="Palatino Linotype" w:cs="Arial"/>
        </w:rPr>
        <w:t xml:space="preserve">En términos de lo dispuesto por los artículos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 se emite el presente Voto Particular, por no compartir en su totalidad </w:t>
      </w:r>
      <w:r w:rsidRPr="00CD15EF">
        <w:rPr>
          <w:rFonts w:ascii="Palatino Linotype" w:hAnsi="Palatino Linotype" w:cs="Arial"/>
        </w:rPr>
        <w:lastRenderedPageBreak/>
        <w:t>las consideraciones</w:t>
      </w:r>
      <w:r w:rsidR="006A7AB7" w:rsidRPr="00CD15EF">
        <w:rPr>
          <w:rFonts w:ascii="Palatino Linotype" w:hAnsi="Palatino Linotype" w:cs="Arial"/>
        </w:rPr>
        <w:t xml:space="preserve"> que sustentan la Resolución de</w:t>
      </w:r>
      <w:r w:rsidR="00677A69" w:rsidRPr="00CD15EF">
        <w:rPr>
          <w:rFonts w:ascii="Palatino Linotype" w:hAnsi="Palatino Linotype" w:cs="Arial"/>
        </w:rPr>
        <w:t>l</w:t>
      </w:r>
      <w:r w:rsidR="006A7AB7" w:rsidRPr="00CD15EF">
        <w:rPr>
          <w:rFonts w:ascii="Palatino Linotype" w:hAnsi="Palatino Linotype" w:cs="Arial"/>
        </w:rPr>
        <w:t xml:space="preserve"> </w:t>
      </w:r>
      <w:r w:rsidRPr="00CD15EF">
        <w:rPr>
          <w:rFonts w:ascii="Palatino Linotype" w:hAnsi="Palatino Linotype" w:cs="Arial"/>
        </w:rPr>
        <w:t xml:space="preserve">Recurso de Revisión </w:t>
      </w:r>
      <w:r w:rsidR="006F0B11">
        <w:rPr>
          <w:rFonts w:ascii="Palatino Linotype" w:eastAsia="Palatino Linotype" w:hAnsi="Palatino Linotype" w:cs="Palatino Linotype"/>
          <w:b/>
        </w:rPr>
        <w:t>13899/INFOEM/IP/RR/2022</w:t>
      </w:r>
      <w:r w:rsidRPr="00CD15EF">
        <w:rPr>
          <w:rFonts w:ascii="Palatino Linotype" w:hAnsi="Palatino Linotype" w:cs="Arial"/>
          <w:b/>
        </w:rPr>
        <w:t>,</w:t>
      </w:r>
      <w:r w:rsidRPr="00CD15EF">
        <w:rPr>
          <w:rFonts w:ascii="Palatino Linotype" w:hAnsi="Palatino Linotype" w:cs="Arial"/>
        </w:rPr>
        <w:t xml:space="preserve"> </w:t>
      </w:r>
      <w:r w:rsidR="008B0A68" w:rsidRPr="00CD15EF">
        <w:rPr>
          <w:rFonts w:ascii="Palatino Linotype" w:hAnsi="Palatino Linotype" w:cs="Arial"/>
        </w:rPr>
        <w:t xml:space="preserve">presentado conforme al criterio mayoritario del Pleno, </w:t>
      </w:r>
      <w:r w:rsidRPr="00CD15EF">
        <w:rPr>
          <w:rFonts w:ascii="Palatino Linotype" w:hAnsi="Palatino Linotype" w:cs="Arial"/>
        </w:rPr>
        <w:t>promovido en contra de</w:t>
      </w:r>
      <w:r w:rsidR="006F0B11">
        <w:rPr>
          <w:rFonts w:ascii="Palatino Linotype" w:hAnsi="Palatino Linotype" w:cs="Arial"/>
        </w:rPr>
        <w:t>l</w:t>
      </w:r>
      <w:r w:rsidR="00CB0D0E">
        <w:rPr>
          <w:rFonts w:ascii="Palatino Linotype" w:hAnsi="Palatino Linotype" w:cs="Arial"/>
        </w:rPr>
        <w:t xml:space="preserve"> </w:t>
      </w:r>
      <w:r w:rsidR="006F0B11" w:rsidRPr="006F0B11">
        <w:rPr>
          <w:rFonts w:ascii="Palatino Linotype" w:hAnsi="Palatino Linotype" w:cs="Arial"/>
        </w:rPr>
        <w:t xml:space="preserve">Organismo Público Descentralizado Municipal para la Prestación de los Servicios de Agua Potable Alcantarillado y Saneamiento de Cuautitlán Izcalli denominado OPERAGUA, O.P.D.M. </w:t>
      </w:r>
    </w:p>
    <w:p w14:paraId="4E7CC5A2" w14:textId="77777777" w:rsidR="006F0B11" w:rsidRDefault="006F0B11" w:rsidP="006F0B11">
      <w:pPr>
        <w:ind w:right="864"/>
        <w:jc w:val="both"/>
        <w:rPr>
          <w:rFonts w:ascii="Palatino Linotype" w:hAnsi="Palatino Linotype" w:cs="Arial"/>
        </w:rPr>
      </w:pPr>
    </w:p>
    <w:p w14:paraId="0CDB2610" w14:textId="77777777" w:rsidR="006F0B11" w:rsidRDefault="006F0B11" w:rsidP="006F0B11">
      <w:pPr>
        <w:ind w:right="864"/>
        <w:jc w:val="both"/>
        <w:rPr>
          <w:rFonts w:ascii="Palatino Linotype" w:hAnsi="Palatino Linotype" w:cs="Arial"/>
        </w:rPr>
      </w:pPr>
      <w:r w:rsidRPr="006F0B11">
        <w:rPr>
          <w:rFonts w:ascii="Palatino Linotype" w:hAnsi="Palatino Linotype" w:cs="Arial"/>
        </w:rPr>
        <w:t xml:space="preserve"> </w:t>
      </w:r>
      <w:r w:rsidR="00435FF9" w:rsidRPr="00CD15EF">
        <w:rPr>
          <w:rFonts w:ascii="Palatino Linotype" w:hAnsi="Palatino Linotype" w:cs="Arial"/>
        </w:rPr>
        <w:t>El particular solicitó</w:t>
      </w:r>
      <w:r>
        <w:rPr>
          <w:rFonts w:ascii="Palatino Linotype" w:hAnsi="Palatino Linotype" w:cs="Arial"/>
        </w:rPr>
        <w:t>:</w:t>
      </w:r>
    </w:p>
    <w:p w14:paraId="6B0F8C0D" w14:textId="77777777" w:rsidR="006F0B11" w:rsidRDefault="006F0B11" w:rsidP="006F0B11">
      <w:pPr>
        <w:ind w:left="864" w:right="864"/>
        <w:jc w:val="both"/>
        <w:rPr>
          <w:rFonts w:ascii="Palatino Linotype" w:hAnsi="Palatino Linotype" w:cs="Arial"/>
        </w:rPr>
      </w:pPr>
    </w:p>
    <w:p w14:paraId="0960CC5E" w14:textId="4E4FEBA2" w:rsidR="006F0B11" w:rsidRDefault="006F0B11" w:rsidP="006F0B11">
      <w:pP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r>
        <w:rPr>
          <w:rFonts w:ascii="Palatino Linotype" w:hAnsi="Palatino Linotype"/>
          <w:i/>
          <w:color w:val="000000"/>
          <w:sz w:val="22"/>
          <w:szCs w:val="22"/>
        </w:rPr>
        <w:t xml:space="preserve">Monto total pagado por el cambio de imagen institucional a inmuebles municipales y parque vehicular, cuantos inmuebles y total del parque vehicular que se </w:t>
      </w:r>
      <w:proofErr w:type="spellStart"/>
      <w:r>
        <w:rPr>
          <w:rFonts w:ascii="Palatino Linotype" w:hAnsi="Palatino Linotype"/>
          <w:i/>
          <w:color w:val="000000"/>
          <w:sz w:val="22"/>
          <w:szCs w:val="22"/>
        </w:rPr>
        <w:t>cambio</w:t>
      </w:r>
      <w:proofErr w:type="spellEnd"/>
      <w:r>
        <w:rPr>
          <w:rFonts w:ascii="Palatino Linotype" w:hAnsi="Palatino Linotype"/>
          <w:i/>
          <w:color w:val="000000"/>
          <w:sz w:val="22"/>
          <w:szCs w:val="22"/>
        </w:rPr>
        <w:t xml:space="preserve"> la imagen institucional de la nueva administración. Monto de la nómina que se </w:t>
      </w:r>
      <w:proofErr w:type="spellStart"/>
      <w:r>
        <w:rPr>
          <w:rFonts w:ascii="Palatino Linotype" w:hAnsi="Palatino Linotype"/>
          <w:i/>
          <w:color w:val="000000"/>
          <w:sz w:val="22"/>
          <w:szCs w:val="22"/>
        </w:rPr>
        <w:t>pago</w:t>
      </w:r>
      <w:proofErr w:type="spellEnd"/>
      <w:r>
        <w:rPr>
          <w:rFonts w:ascii="Palatino Linotype" w:hAnsi="Palatino Linotype"/>
          <w:i/>
          <w:color w:val="000000"/>
          <w:sz w:val="22"/>
          <w:szCs w:val="22"/>
        </w:rPr>
        <w:t xml:space="preserve"> en la primera quincena de junio 2022 a todo el personal municipal y a cuantos servidores públicos se les pago y a cuantos no. Lista de raya y de gratificación de los servidores públicos que laboran en </w:t>
      </w:r>
      <w:proofErr w:type="spellStart"/>
      <w:r>
        <w:rPr>
          <w:rFonts w:ascii="Palatino Linotype" w:hAnsi="Palatino Linotype"/>
          <w:i/>
          <w:color w:val="000000"/>
          <w:sz w:val="22"/>
          <w:szCs w:val="22"/>
        </w:rPr>
        <w:t>operagua</w:t>
      </w:r>
      <w:proofErr w:type="spellEnd"/>
      <w:r>
        <w:rPr>
          <w:rFonts w:ascii="Palatino Linotype" w:hAnsi="Palatino Linotype"/>
          <w:i/>
          <w:color w:val="000000"/>
          <w:sz w:val="22"/>
          <w:szCs w:val="22"/>
        </w:rPr>
        <w:t>.</w:t>
      </w:r>
      <w:r>
        <w:rPr>
          <w:rFonts w:ascii="Palatino Linotype" w:eastAsia="Palatino Linotype" w:hAnsi="Palatino Linotype" w:cs="Palatino Linotype"/>
          <w:i/>
          <w:color w:val="404040"/>
          <w:sz w:val="22"/>
          <w:szCs w:val="22"/>
        </w:rPr>
        <w:t>” (sic)</w:t>
      </w:r>
    </w:p>
    <w:p w14:paraId="23B6BBE2" w14:textId="77777777" w:rsidR="006F0B11" w:rsidRDefault="006F0B11" w:rsidP="006F0B11">
      <w:pPr>
        <w:ind w:left="864" w:right="864"/>
        <w:jc w:val="both"/>
        <w:rPr>
          <w:rFonts w:ascii="Palatino Linotype" w:eastAsia="Palatino Linotype" w:hAnsi="Palatino Linotype" w:cs="Palatino Linotype"/>
          <w:i/>
          <w:color w:val="404040"/>
          <w:sz w:val="22"/>
          <w:szCs w:val="22"/>
          <w:lang w:val="es-MX"/>
        </w:rPr>
      </w:pPr>
    </w:p>
    <w:p w14:paraId="7B8C7129" w14:textId="76D311B2" w:rsidR="006F0B11" w:rsidRDefault="00AD05CA" w:rsidP="006F0B11">
      <w:pPr>
        <w:spacing w:line="360" w:lineRule="auto"/>
        <w:jc w:val="both"/>
        <w:rPr>
          <w:rFonts w:ascii="Palatino Linotype" w:eastAsia="Palatino Linotype" w:hAnsi="Palatino Linotype" w:cs="Palatino Linotype"/>
          <w:lang w:val="es-MX"/>
        </w:rPr>
      </w:pPr>
      <w:r w:rsidRPr="00CD15EF">
        <w:rPr>
          <w:rFonts w:ascii="Palatino Linotype" w:hAnsi="Palatino Linotype" w:cs="Arial"/>
        </w:rPr>
        <w:t xml:space="preserve">El Sujeto Obligado, </w:t>
      </w:r>
      <w:r w:rsidR="006F0B11">
        <w:rPr>
          <w:rFonts w:ascii="Palatino Linotype" w:eastAsia="Palatino Linotype" w:hAnsi="Palatino Linotype" w:cs="Palatino Linotype"/>
        </w:rPr>
        <w:t xml:space="preserve">envió su respuesta a la solicitud de acceso a la información a través de SAIMEX, indicando:   </w:t>
      </w:r>
    </w:p>
    <w:p w14:paraId="468B4DF8" w14:textId="7E5F9AE1" w:rsidR="006F0B11" w:rsidRDefault="006F0B11" w:rsidP="006F0B11">
      <w:pPr>
        <w:pStyle w:val="Cita"/>
        <w:spacing w:before="0" w:after="0"/>
        <w:jc w:val="both"/>
        <w:rPr>
          <w:rFonts w:ascii="Palatino Linotype" w:eastAsia="Palatino Linotype" w:hAnsi="Palatino Linotype"/>
          <w:sz w:val="22"/>
          <w:szCs w:val="22"/>
        </w:rPr>
      </w:pPr>
      <w:r>
        <w:rPr>
          <w:rFonts w:ascii="Palatino Linotype" w:eastAsia="Palatino Linotype" w:hAnsi="Palatino Linotype"/>
          <w:sz w:val="22"/>
          <w:szCs w:val="22"/>
        </w:rPr>
        <w:t xml:space="preserve">“…, se informa que lo relacionado con el monto total pagado por el cambio de imagen institucional a inmuebles municipales y parque vehicular, cuantos inmuebles y total del parque vehicular que se cambió la imagen institucional de la nueva administración. Monto de la nómina que se pagó en la primera quincena de junio 2022 a todo el personal municipal, este Organismo Operador no genera ni administra la información requerida , toda vez que la misma en caso es generada, administrada </w:t>
      </w:r>
      <w:proofErr w:type="spellStart"/>
      <w:r>
        <w:rPr>
          <w:rFonts w:ascii="Palatino Linotype" w:eastAsia="Palatino Linotype" w:hAnsi="Palatino Linotype"/>
          <w:sz w:val="22"/>
          <w:szCs w:val="22"/>
        </w:rPr>
        <w:t>o</w:t>
      </w:r>
      <w:proofErr w:type="spellEnd"/>
      <w:r>
        <w:rPr>
          <w:rFonts w:ascii="Palatino Linotype" w:eastAsia="Palatino Linotype" w:hAnsi="Palatino Linotype"/>
          <w:sz w:val="22"/>
          <w:szCs w:val="22"/>
        </w:rPr>
        <w:t xml:space="preserve"> obra en posesión del Ayuntamiento de Cuautitlán Izcalli; por lo que se sugiere presentar su requerimiento de información ante el </w:t>
      </w:r>
      <w:r>
        <w:rPr>
          <w:rFonts w:ascii="Palatino Linotype" w:eastAsia="Palatino Linotype" w:hAnsi="Palatino Linotype"/>
          <w:sz w:val="22"/>
          <w:szCs w:val="22"/>
        </w:rPr>
        <w:lastRenderedPageBreak/>
        <w:t>citado Sujeto Obligado; ahora bien, se adjuntan en PDF la respuesta del servidor público habilitado responsable de dar respuesta su requerimiento de información, así mismo los integrantes del Comité de Transparencia analizaron y confirmaron la clasificación parcial de la información por contener datos personales y la entrega en versión publica de la información solicitada, por lo que mediante el acuerdo CT/5SO/35/2022, emitido en el punto seis y celebrado en la Quinta Sesión Ordinaria del Comité de Transparencia de este Organismo Operador, de fecha seis de agosto del dos mil veintidós.” (sic)</w:t>
      </w:r>
    </w:p>
    <w:p w14:paraId="218AADF1" w14:textId="34529363" w:rsidR="00D56F70" w:rsidRDefault="00D56F70" w:rsidP="006F0B11">
      <w:pPr>
        <w:tabs>
          <w:tab w:val="left" w:pos="2700"/>
        </w:tabs>
        <w:spacing w:line="360" w:lineRule="auto"/>
        <w:jc w:val="both"/>
        <w:rPr>
          <w:rFonts w:ascii="Palatino Linotype" w:hAnsi="Palatino Linotype" w:cs="Arial"/>
          <w:bCs/>
        </w:rPr>
      </w:pPr>
    </w:p>
    <w:p w14:paraId="380B7DA9" w14:textId="4CE00498" w:rsidR="006F0B11" w:rsidRDefault="006F0B11" w:rsidP="006F0B1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a través de SAIMEX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donde </w:t>
      </w:r>
      <w:r w:rsidR="009D4F8F">
        <w:rPr>
          <w:rFonts w:ascii="Palatino Linotype" w:eastAsia="Palatino Linotype" w:hAnsi="Palatino Linotype" w:cs="Palatino Linotype"/>
        </w:rPr>
        <w:t>indica</w:t>
      </w:r>
      <w:r>
        <w:rPr>
          <w:rFonts w:ascii="Palatino Linotype" w:eastAsia="Palatino Linotype" w:hAnsi="Palatino Linotype" w:cs="Palatino Linotype"/>
        </w:rPr>
        <w:t>:</w:t>
      </w:r>
    </w:p>
    <w:p w14:paraId="2BE088E6" w14:textId="77777777" w:rsidR="006F0B11" w:rsidRDefault="006F0B11" w:rsidP="006F0B11">
      <w:pPr>
        <w:tabs>
          <w:tab w:val="left" w:pos="2745"/>
        </w:tabs>
        <w:spacing w:line="360" w:lineRule="auto"/>
        <w:jc w:val="both"/>
        <w:rPr>
          <w:rFonts w:ascii="Palatino Linotype" w:eastAsia="Palatino Linotype" w:hAnsi="Palatino Linotype" w:cs="Palatino Linotype"/>
          <w:b/>
          <w:sz w:val="22"/>
          <w:szCs w:val="22"/>
        </w:rPr>
      </w:pPr>
    </w:p>
    <w:p w14:paraId="5FF0A47D" w14:textId="77777777" w:rsidR="006F0B11" w:rsidRPr="00AA2E55" w:rsidRDefault="006F0B11" w:rsidP="006F0B11">
      <w:pPr>
        <w:tabs>
          <w:tab w:val="left" w:pos="2745"/>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14:paraId="2DE32D72" w14:textId="77777777" w:rsidR="006F0B11" w:rsidRPr="00CB3D39" w:rsidRDefault="006F0B11" w:rsidP="006F0B1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CB3D39">
        <w:rPr>
          <w:rFonts w:ascii="Palatino Linotype" w:eastAsia="Palatino Linotype" w:hAnsi="Palatino Linotype" w:cs="Palatino Linotype"/>
          <w:i/>
          <w:color w:val="404040"/>
          <w:sz w:val="22"/>
          <w:szCs w:val="22"/>
        </w:rPr>
        <w:t>“</w:t>
      </w:r>
      <w:r w:rsidRPr="00CB3D39">
        <w:rPr>
          <w:rFonts w:ascii="Palatino Linotype" w:hAnsi="Palatino Linotype"/>
          <w:i/>
          <w:color w:val="000000"/>
          <w:sz w:val="22"/>
          <w:szCs w:val="22"/>
        </w:rPr>
        <w:t>Información incompleta y negativa de la información”</w:t>
      </w:r>
      <w:r w:rsidRPr="00CB3D39">
        <w:rPr>
          <w:rFonts w:ascii="Palatino Linotype" w:eastAsia="Palatino Linotype" w:hAnsi="Palatino Linotype" w:cs="Palatino Linotype"/>
          <w:i/>
          <w:color w:val="404040"/>
          <w:sz w:val="22"/>
          <w:szCs w:val="22"/>
        </w:rPr>
        <w:t xml:space="preserve"> (sic)</w:t>
      </w:r>
    </w:p>
    <w:p w14:paraId="7F5346AD" w14:textId="77777777" w:rsidR="006F0B11" w:rsidRDefault="006F0B11" w:rsidP="006F0B11">
      <w:pPr>
        <w:spacing w:line="360" w:lineRule="auto"/>
        <w:jc w:val="both"/>
        <w:rPr>
          <w:rFonts w:ascii="Palatino Linotype" w:eastAsia="Palatino Linotype" w:hAnsi="Palatino Linotype" w:cs="Palatino Linotype"/>
          <w:b/>
        </w:rPr>
      </w:pPr>
    </w:p>
    <w:p w14:paraId="38CB5A00" w14:textId="77777777" w:rsidR="006F0B11" w:rsidRDefault="006F0B11" w:rsidP="006F0B1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14:paraId="6C489547" w14:textId="77777777" w:rsidR="006F0B11" w:rsidRDefault="006F0B11" w:rsidP="006F0B1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bookmarkStart w:id="1" w:name="_heading=h.30j0zll" w:colFirst="0" w:colLast="0"/>
      <w:bookmarkEnd w:id="1"/>
      <w:r w:rsidRPr="00CB3D39">
        <w:rPr>
          <w:rFonts w:ascii="Palatino Linotype" w:eastAsia="Palatino Linotype" w:hAnsi="Palatino Linotype" w:cs="Palatino Linotype"/>
          <w:i/>
          <w:color w:val="404040"/>
          <w:sz w:val="22"/>
          <w:szCs w:val="22"/>
        </w:rPr>
        <w:t xml:space="preserve"> “</w:t>
      </w:r>
      <w:r w:rsidRPr="00CB3D39">
        <w:rPr>
          <w:rFonts w:ascii="Palatino Linotype" w:hAnsi="Palatino Linotype"/>
          <w:i/>
          <w:color w:val="000000"/>
          <w:sz w:val="22"/>
          <w:szCs w:val="22"/>
        </w:rPr>
        <w:t>Al ser un organismo público descentralizado cuenta con patrimonio y marco jurídico propio, no hay lugar para determinar incompetencia cuando no hubo aclaración sobre mi solicitud, debió dar trámite atendiendo lo solicitado al organismo</w:t>
      </w:r>
      <w:r w:rsidRPr="00CB3D39">
        <w:rPr>
          <w:rFonts w:ascii="Palatino Linotype" w:eastAsia="Palatino Linotype" w:hAnsi="Palatino Linotype" w:cs="Palatino Linotype"/>
          <w:i/>
          <w:color w:val="404040"/>
          <w:sz w:val="22"/>
          <w:szCs w:val="22"/>
        </w:rPr>
        <w:t>” (sic)</w:t>
      </w:r>
    </w:p>
    <w:p w14:paraId="491D15F5" w14:textId="77777777" w:rsidR="009D4F8F" w:rsidRPr="00CB3D39" w:rsidRDefault="009D4F8F" w:rsidP="006F0B1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89FE24D" w14:textId="7C9BA33B" w:rsidR="005F6DA3" w:rsidRDefault="009D4F8F" w:rsidP="005F6DA3">
      <w:pPr>
        <w:spacing w:line="360" w:lineRule="auto"/>
        <w:jc w:val="both"/>
        <w:rPr>
          <w:rFonts w:ascii="Palatino Linotype" w:eastAsia="Palatino Linotype" w:hAnsi="Palatino Linotype" w:cs="Palatino Linotype"/>
          <w:lang w:val="es-MX"/>
        </w:rPr>
      </w:pPr>
      <w:r w:rsidRPr="009D4F8F">
        <w:rPr>
          <w:rFonts w:ascii="Palatino Linotype" w:eastAsia="Palatino Linotype" w:hAnsi="Palatino Linotype" w:cs="Palatino Linotype"/>
        </w:rPr>
        <w:t xml:space="preserve">La resolución ordena </w:t>
      </w:r>
      <w:r w:rsidR="005F6DA3" w:rsidRPr="009D4F8F">
        <w:rPr>
          <w:rFonts w:ascii="Palatino Linotype" w:eastAsia="Palatino Linotype" w:hAnsi="Palatino Linotype" w:cs="Palatino Linotype"/>
        </w:rPr>
        <w:t>al</w:t>
      </w:r>
      <w:r w:rsidR="005F6DA3">
        <w:rPr>
          <w:rFonts w:ascii="Palatino Linotype" w:eastAsia="Palatino Linotype" w:hAnsi="Palatino Linotype" w:cs="Palatino Linotype"/>
        </w:rPr>
        <w:t xml:space="preserve"> </w:t>
      </w:r>
      <w:r w:rsidR="005F6DA3">
        <w:rPr>
          <w:rFonts w:ascii="Palatino Linotype" w:eastAsia="Palatino Linotype" w:hAnsi="Palatino Linotype" w:cs="Palatino Linotype"/>
          <w:b/>
        </w:rPr>
        <w:t>SUJETO OBLIGADO</w:t>
      </w:r>
      <w:r w:rsidR="005F6DA3">
        <w:rPr>
          <w:rFonts w:ascii="Palatino Linotype" w:eastAsia="Palatino Linotype" w:hAnsi="Palatino Linotype" w:cs="Palatino Linotype"/>
        </w:rPr>
        <w:t>, haga entrega, vía SAIMEX, previa búsqueda exhaustiva y razonable, en versión publica, el o los documentos donde conste lo siguiente:</w:t>
      </w:r>
    </w:p>
    <w:p w14:paraId="3CEEBF53" w14:textId="77777777" w:rsidR="005F6DA3" w:rsidRDefault="005F6DA3" w:rsidP="005F6DA3">
      <w:pPr>
        <w:numPr>
          <w:ilvl w:val="0"/>
          <w:numId w:val="33"/>
        </w:numPr>
        <w:spacing w:line="360" w:lineRule="auto"/>
        <w:ind w:right="49"/>
        <w:jc w:val="both"/>
        <w:rPr>
          <w:rFonts w:ascii="Palatino Linotype" w:eastAsia="Palatino Linotype" w:hAnsi="Palatino Linotype" w:cs="Palatino Linotype"/>
        </w:rPr>
      </w:pPr>
      <w:bookmarkStart w:id="2" w:name="_heading=h.17dp8vu"/>
      <w:bookmarkEnd w:id="2"/>
      <w:r>
        <w:rPr>
          <w:rFonts w:ascii="Palatino Linotype" w:eastAsia="Palatino Linotype" w:hAnsi="Palatino Linotype" w:cs="Palatino Linotype"/>
        </w:rPr>
        <w:lastRenderedPageBreak/>
        <w:t>Monto total por el cambio de imagen institucional a inmuebles del Sujeto obligado y a su parque vehicular; y,</w:t>
      </w:r>
    </w:p>
    <w:p w14:paraId="2E2EA666" w14:textId="77777777" w:rsidR="005F6DA3" w:rsidRDefault="005F6DA3" w:rsidP="005F6DA3">
      <w:pPr>
        <w:numPr>
          <w:ilvl w:val="0"/>
          <w:numId w:val="33"/>
        </w:num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Número de inmuebles y vehículos que tuvieron un cambio de imagen institucional. </w:t>
      </w:r>
    </w:p>
    <w:p w14:paraId="4EB26953" w14:textId="77777777" w:rsidR="005F6DA3" w:rsidRDefault="005F6DA3" w:rsidP="005F6DA3">
      <w:pPr>
        <w:pStyle w:val="Cita"/>
        <w:spacing w:before="0" w:after="0"/>
        <w:jc w:val="both"/>
        <w:rPr>
          <w:rFonts w:ascii="Palatino Linotype" w:eastAsia="Palatino Linotype" w:hAnsi="Palatino Linotype"/>
        </w:rPr>
      </w:pPr>
    </w:p>
    <w:p w14:paraId="3E869CD7" w14:textId="77777777" w:rsidR="00681CBA" w:rsidRDefault="00681CBA" w:rsidP="005F6DA3">
      <w:pPr>
        <w:spacing w:line="276" w:lineRule="auto"/>
        <w:ind w:left="851" w:right="900"/>
        <w:jc w:val="both"/>
        <w:rPr>
          <w:rFonts w:ascii="Palatino Linotype" w:eastAsia="Palatino Linotype" w:hAnsi="Palatino Linotype" w:cs="Palatino Linotype"/>
          <w:i/>
          <w:sz w:val="20"/>
          <w:szCs w:val="20"/>
          <w:lang w:val="es-MX"/>
        </w:rPr>
      </w:pPr>
    </w:p>
    <w:p w14:paraId="48B2DA24" w14:textId="351C8D98" w:rsidR="005F6DA3" w:rsidRDefault="009D4F8F" w:rsidP="005F6DA3">
      <w:pPr>
        <w:spacing w:line="360" w:lineRule="auto"/>
        <w:jc w:val="both"/>
        <w:rPr>
          <w:rFonts w:ascii="Palatino Linotype" w:eastAsia="Palatino Linotype" w:hAnsi="Palatino Linotype" w:cs="Palatino Linotype"/>
        </w:rPr>
      </w:pPr>
      <w:r w:rsidRPr="009D4F8F">
        <w:rPr>
          <w:rFonts w:ascii="Palatino Linotype" w:eastAsia="Palatino Linotype" w:hAnsi="Palatino Linotype" w:cs="Palatino Linotype"/>
        </w:rPr>
        <w:t xml:space="preserve">La resolución refiere </w:t>
      </w:r>
      <w:r w:rsidR="005F6DA3" w:rsidRPr="009D4F8F">
        <w:rPr>
          <w:rFonts w:ascii="Palatino Linotype" w:eastAsia="Palatino Linotype" w:hAnsi="Palatino Linotype" w:cs="Palatino Linotype"/>
        </w:rPr>
        <w:t xml:space="preserve">que, de las constancias que integran el expediente del recurso de revisión al rubro indicado, se tiene que la PARTE </w:t>
      </w:r>
      <w:proofErr w:type="gramStart"/>
      <w:r w:rsidR="005F6DA3" w:rsidRPr="009D4F8F">
        <w:rPr>
          <w:rFonts w:ascii="Palatino Linotype" w:eastAsia="Palatino Linotype" w:hAnsi="Palatino Linotype" w:cs="Palatino Linotype"/>
        </w:rPr>
        <w:t>RECURRENTE  además</w:t>
      </w:r>
      <w:proofErr w:type="gramEnd"/>
      <w:r w:rsidR="005F6DA3" w:rsidRPr="009D4F8F">
        <w:rPr>
          <w:rFonts w:ascii="Palatino Linotype" w:eastAsia="Palatino Linotype" w:hAnsi="Palatino Linotype" w:cs="Palatino Linotype"/>
        </w:rPr>
        <w:t xml:space="preserve"> de no inconformarse por los requerimientos formulados en los numerales tres, cuatro y cinco, no manifestó inconformidad respecto a la imposibilidad señalada por del SUJETO OBLIGADO para entregarle la información relativa a los inmuebles y parque vehicular de Ayuntamiento.</w:t>
      </w:r>
      <w:r w:rsidR="005F6DA3">
        <w:rPr>
          <w:rFonts w:ascii="Palatino Linotype" w:eastAsia="Palatino Linotype" w:hAnsi="Palatino Linotype" w:cs="Palatino Linotype"/>
        </w:rPr>
        <w:t xml:space="preserve"> </w:t>
      </w:r>
      <w:r w:rsidR="005F6DA3" w:rsidRPr="009D4F8F">
        <w:rPr>
          <w:rFonts w:ascii="Palatino Linotype" w:eastAsia="Palatino Linotype" w:hAnsi="Palatino Linotype" w:cs="Palatino Linotype"/>
        </w:rPr>
        <w:t xml:space="preserve"> </w:t>
      </w:r>
    </w:p>
    <w:p w14:paraId="68900B6A" w14:textId="77777777" w:rsidR="003D1CAB" w:rsidRPr="009D4F8F" w:rsidRDefault="003D1CAB" w:rsidP="005F6DA3">
      <w:pPr>
        <w:spacing w:line="360" w:lineRule="auto"/>
        <w:jc w:val="both"/>
        <w:rPr>
          <w:rFonts w:ascii="Palatino Linotype" w:eastAsia="Palatino Linotype" w:hAnsi="Palatino Linotype" w:cs="Palatino Linotype"/>
        </w:rPr>
      </w:pPr>
    </w:p>
    <w:p w14:paraId="1DBAAB9E" w14:textId="77777777" w:rsidR="003D1CAB" w:rsidRDefault="005F6DA3" w:rsidP="00DD20E8">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colige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cuenta con las competencias, facultades y atribuciones para conocer, administrar y generar la información relacionada con el monto total por el cambio de imagen institucional a inmuebles municipales y a su parque vehicular, y el número de inmuebles y vehículos que </w:t>
      </w:r>
      <w:r>
        <w:rPr>
          <w:rFonts w:ascii="Palatino Linotype" w:eastAsia="Palatino Linotype" w:hAnsi="Palatino Linotype" w:cs="Palatino Linotype"/>
        </w:rPr>
        <w:lastRenderedPageBreak/>
        <w:t xml:space="preserve">tuvieron un cambio de imagen institucional; referidos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su solicitud de información</w:t>
      </w:r>
      <w:r w:rsidR="009D4F8F">
        <w:rPr>
          <w:rFonts w:ascii="Palatino Linotype" w:eastAsia="Palatino Linotype" w:hAnsi="Palatino Linotype" w:cs="Palatino Linotype"/>
        </w:rPr>
        <w:t>.</w:t>
      </w:r>
    </w:p>
    <w:p w14:paraId="2ED21E93" w14:textId="1D5686EB" w:rsidR="00950BF3" w:rsidRPr="00DD20E8" w:rsidRDefault="009D4F8F" w:rsidP="00DD20E8">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no se comparte dicha consideración, ya que </w:t>
      </w:r>
      <w:r w:rsidR="00950BF3" w:rsidRPr="00DD20E8">
        <w:rPr>
          <w:rFonts w:ascii="Palatino Linotype" w:eastAsia="Palatino Linotype" w:hAnsi="Palatino Linotype" w:cs="Palatino Linotype"/>
        </w:rPr>
        <w:t xml:space="preserve">de conformidad con el Padrón de Sujetos Obligados en Materia de Transparencia y Acceso a la Información Pública del Estado de México y Municipios, consultable en https://www.infoem.org.mx/doc/docPleno/ACUERDOS/Acuerdo_padron_SO.pdf, </w:t>
      </w:r>
      <w:r w:rsidR="00DD20E8" w:rsidRPr="00DD20E8">
        <w:rPr>
          <w:rFonts w:ascii="Palatino Linotype" w:eastAsia="Palatino Linotype" w:hAnsi="Palatino Linotype" w:cs="Palatino Linotype"/>
        </w:rPr>
        <w:t xml:space="preserve">el Organismo Público Descentralizado Municipal para la Prestación de los Servicios de Agua Potable Alcantarillado y Saneamiento de Cuautitlán Izcalli denominado OPERAGUA, O.P.D.M. </w:t>
      </w:r>
      <w:r w:rsidR="00950BF3" w:rsidRPr="00DD20E8">
        <w:rPr>
          <w:rFonts w:ascii="Palatino Linotype" w:eastAsia="Palatino Linotype" w:hAnsi="Palatino Linotype" w:cs="Palatino Linotype"/>
        </w:rPr>
        <w:t>es un Sujeto Obligado</w:t>
      </w:r>
      <w:r w:rsidR="00DD20E8" w:rsidRPr="00DD20E8">
        <w:rPr>
          <w:rFonts w:ascii="Palatino Linotype" w:eastAsia="Palatino Linotype" w:hAnsi="Palatino Linotype" w:cs="Palatino Linotype"/>
        </w:rPr>
        <w:t xml:space="preserve"> diferente al Ayuntamiento de Cuautitlán Izcalli</w:t>
      </w:r>
      <w:r w:rsidR="00950BF3" w:rsidRPr="00DD20E8">
        <w:rPr>
          <w:rFonts w:ascii="Palatino Linotype" w:eastAsia="Palatino Linotype" w:hAnsi="Palatino Linotype" w:cs="Palatino Linotype"/>
        </w:rPr>
        <w:t>, tal como se aprecia a continuación:</w:t>
      </w:r>
    </w:p>
    <w:p w14:paraId="4E946828" w14:textId="37CC7F32" w:rsidR="00DD20E8" w:rsidRDefault="00DD20E8" w:rsidP="00CD15EF">
      <w:pPr>
        <w:tabs>
          <w:tab w:val="left" w:pos="709"/>
        </w:tabs>
        <w:spacing w:before="240" w:after="240" w:line="360" w:lineRule="auto"/>
        <w:jc w:val="both"/>
      </w:pPr>
      <w:r>
        <w:rPr>
          <w:noProof/>
          <w:lang w:val="es-MX" w:eastAsia="es-MX"/>
        </w:rPr>
        <w:drawing>
          <wp:inline distT="0" distB="0" distL="0" distR="0" wp14:anchorId="3B3880FF" wp14:editId="465C06E8">
            <wp:extent cx="4848225" cy="238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933" t="14939" r="35131" b="82360"/>
                    <a:stretch/>
                  </pic:blipFill>
                  <pic:spPr bwMode="auto">
                    <a:xfrm>
                      <a:off x="0" y="0"/>
                      <a:ext cx="4870389" cy="239214"/>
                    </a:xfrm>
                    <a:prstGeom prst="rect">
                      <a:avLst/>
                    </a:prstGeom>
                    <a:ln>
                      <a:noFill/>
                    </a:ln>
                    <a:extLst>
                      <a:ext uri="{53640926-AAD7-44D8-BBD7-CCE9431645EC}">
                        <a14:shadowObscured xmlns:a14="http://schemas.microsoft.com/office/drawing/2010/main"/>
                      </a:ext>
                    </a:extLst>
                  </pic:spPr>
                </pic:pic>
              </a:graphicData>
            </a:graphic>
          </wp:inline>
        </w:drawing>
      </w:r>
    </w:p>
    <w:p w14:paraId="6BD81E79" w14:textId="13E85452" w:rsidR="00DD20E8" w:rsidRDefault="00DD20E8" w:rsidP="00CD15EF">
      <w:pPr>
        <w:tabs>
          <w:tab w:val="left" w:pos="709"/>
        </w:tabs>
        <w:spacing w:before="240" w:after="240" w:line="360" w:lineRule="auto"/>
        <w:jc w:val="both"/>
      </w:pPr>
      <w:r>
        <w:rPr>
          <w:noProof/>
          <w:lang w:val="es-MX" w:eastAsia="es-MX"/>
        </w:rPr>
        <w:drawing>
          <wp:inline distT="0" distB="0" distL="0" distR="0" wp14:anchorId="52F782C3" wp14:editId="186F455E">
            <wp:extent cx="4984778" cy="247624"/>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45" t="71080" r="34638" b="26128"/>
                    <a:stretch/>
                  </pic:blipFill>
                  <pic:spPr bwMode="auto">
                    <a:xfrm>
                      <a:off x="0" y="0"/>
                      <a:ext cx="5103739" cy="253534"/>
                    </a:xfrm>
                    <a:prstGeom prst="rect">
                      <a:avLst/>
                    </a:prstGeom>
                    <a:ln>
                      <a:noFill/>
                    </a:ln>
                    <a:extLst>
                      <a:ext uri="{53640926-AAD7-44D8-BBD7-CCE9431645EC}">
                        <a14:shadowObscured xmlns:a14="http://schemas.microsoft.com/office/drawing/2010/main"/>
                      </a:ext>
                    </a:extLst>
                  </pic:spPr>
                </pic:pic>
              </a:graphicData>
            </a:graphic>
          </wp:inline>
        </w:drawing>
      </w:r>
    </w:p>
    <w:p w14:paraId="4E0B1729" w14:textId="3191219B" w:rsidR="00DD20E8" w:rsidRDefault="00DD20E8" w:rsidP="00CD15EF">
      <w:pPr>
        <w:tabs>
          <w:tab w:val="left" w:pos="709"/>
        </w:tabs>
        <w:spacing w:before="240" w:after="240" w:line="360" w:lineRule="auto"/>
        <w:jc w:val="both"/>
      </w:pPr>
      <w:r>
        <w:rPr>
          <w:noProof/>
          <w:lang w:val="es-MX" w:eastAsia="es-MX"/>
        </w:rPr>
        <w:drawing>
          <wp:inline distT="0" distB="0" distL="0" distR="0" wp14:anchorId="27C3181E" wp14:editId="2AFCEF0D">
            <wp:extent cx="5057775" cy="400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99" t="28077" r="34764" b="67502"/>
                    <a:stretch/>
                  </pic:blipFill>
                  <pic:spPr bwMode="auto">
                    <a:xfrm>
                      <a:off x="0" y="0"/>
                      <a:ext cx="5136161" cy="406250"/>
                    </a:xfrm>
                    <a:prstGeom prst="rect">
                      <a:avLst/>
                    </a:prstGeom>
                    <a:ln>
                      <a:noFill/>
                    </a:ln>
                    <a:extLst>
                      <a:ext uri="{53640926-AAD7-44D8-BBD7-CCE9431645EC}">
                        <a14:shadowObscured xmlns:a14="http://schemas.microsoft.com/office/drawing/2010/main"/>
                      </a:ext>
                    </a:extLst>
                  </pic:spPr>
                </pic:pic>
              </a:graphicData>
            </a:graphic>
          </wp:inline>
        </w:drawing>
      </w:r>
    </w:p>
    <w:p w14:paraId="014E7306" w14:textId="399F5AD0" w:rsidR="00DD20E8" w:rsidRDefault="00DD20E8" w:rsidP="00CD15EF">
      <w:pPr>
        <w:tabs>
          <w:tab w:val="left" w:pos="709"/>
        </w:tabs>
        <w:spacing w:before="240" w:after="240" w:line="360" w:lineRule="auto"/>
        <w:jc w:val="both"/>
      </w:pPr>
      <w:r>
        <w:rPr>
          <w:noProof/>
          <w:lang w:val="es-MX" w:eastAsia="es-MX"/>
        </w:rPr>
        <w:drawing>
          <wp:inline distT="0" distB="0" distL="0" distR="0" wp14:anchorId="316BA8CB" wp14:editId="43196E17">
            <wp:extent cx="5026587" cy="576538"/>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990" t="85647" r="34949" b="8014"/>
                    <a:stretch/>
                  </pic:blipFill>
                  <pic:spPr bwMode="auto">
                    <a:xfrm>
                      <a:off x="0" y="0"/>
                      <a:ext cx="5113548" cy="586512"/>
                    </a:xfrm>
                    <a:prstGeom prst="rect">
                      <a:avLst/>
                    </a:prstGeom>
                    <a:ln>
                      <a:noFill/>
                    </a:ln>
                    <a:extLst>
                      <a:ext uri="{53640926-AAD7-44D8-BBD7-CCE9431645EC}">
                        <a14:shadowObscured xmlns:a14="http://schemas.microsoft.com/office/drawing/2010/main"/>
                      </a:ext>
                    </a:extLst>
                  </pic:spPr>
                </pic:pic>
              </a:graphicData>
            </a:graphic>
          </wp:inline>
        </w:drawing>
      </w:r>
    </w:p>
    <w:p w14:paraId="373F2ECC" w14:textId="6444A486" w:rsidR="009D1A83" w:rsidRPr="009D1A83" w:rsidRDefault="009D1A83" w:rsidP="00CD15EF">
      <w:pPr>
        <w:tabs>
          <w:tab w:val="left" w:pos="709"/>
        </w:tabs>
        <w:spacing w:before="240" w:after="240" w:line="360" w:lineRule="auto"/>
        <w:jc w:val="both"/>
        <w:rPr>
          <w:rFonts w:ascii="Palatino Linotype" w:eastAsia="Palatino Linotype" w:hAnsi="Palatino Linotype" w:cs="Palatino Linotype"/>
        </w:rPr>
      </w:pPr>
      <w:r w:rsidRPr="009D1A83">
        <w:rPr>
          <w:rFonts w:ascii="Palatino Linotype" w:eastAsia="Palatino Linotype" w:hAnsi="Palatino Linotype" w:cs="Palatino Linotype"/>
        </w:rPr>
        <w:lastRenderedPageBreak/>
        <w:t xml:space="preserve">De conformidad </w:t>
      </w:r>
      <w:r>
        <w:rPr>
          <w:rFonts w:ascii="Palatino Linotype" w:eastAsia="Palatino Linotype" w:hAnsi="Palatino Linotype" w:cs="Palatino Linotype"/>
        </w:rPr>
        <w:t xml:space="preserve">con </w:t>
      </w:r>
      <w:r w:rsidRPr="009D1A83">
        <w:rPr>
          <w:rFonts w:ascii="Palatino Linotype" w:eastAsia="Palatino Linotype" w:hAnsi="Palatino Linotype" w:cs="Palatino Linotype"/>
        </w:rPr>
        <w:t>los artículos 12, segundo párrafo, 18, 24 último párrafo, y 160 primer párrafo de la Ley de Transparencia y Acceso a la Información Pública del Estado de México y Municipios, los sujetos obligados sólo proporcionarán la información pública que se les requiera y obre en sus archivos de acuerdo con sus facultades, competencias o funciones, en otras palabras, la que generen, documenten, administren o posean en el ejercicio de aquellas.</w:t>
      </w:r>
    </w:p>
    <w:p w14:paraId="44015FE7" w14:textId="77777777" w:rsidR="009D1A83" w:rsidRDefault="009D1A83" w:rsidP="00CD15EF">
      <w:pPr>
        <w:tabs>
          <w:tab w:val="left" w:pos="709"/>
        </w:tabs>
        <w:spacing w:before="240" w:after="240" w:line="360" w:lineRule="auto"/>
        <w:jc w:val="both"/>
        <w:rPr>
          <w:rFonts w:ascii="Palatino Linotype" w:eastAsia="Palatino Linotype" w:hAnsi="Palatino Linotype" w:cs="Palatino Linotype"/>
        </w:rPr>
      </w:pPr>
    </w:p>
    <w:p w14:paraId="4234961D" w14:textId="5E640895" w:rsidR="00DD20E8" w:rsidRPr="009D1A83" w:rsidRDefault="009D1A83" w:rsidP="00CD15EF">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w:t>
      </w:r>
      <w:r w:rsidR="003D1CAB">
        <w:rPr>
          <w:rFonts w:ascii="Palatino Linotype" w:eastAsia="Palatino Linotype" w:hAnsi="Palatino Linotype" w:cs="Palatino Linotype"/>
        </w:rPr>
        <w:t xml:space="preserve"> se</w:t>
      </w:r>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 xml:space="preserve">establece </w:t>
      </w:r>
      <w:r w:rsidR="00950BF3" w:rsidRPr="009D1A83">
        <w:rPr>
          <w:rFonts w:ascii="Palatino Linotype" w:eastAsia="Palatino Linotype" w:hAnsi="Palatino Linotype" w:cs="Palatino Linotype"/>
        </w:rPr>
        <w:t xml:space="preserve"> en</w:t>
      </w:r>
      <w:proofErr w:type="gramEnd"/>
      <w:r w:rsidR="00950BF3" w:rsidRPr="009D1A83">
        <w:rPr>
          <w:rFonts w:ascii="Palatino Linotype" w:eastAsia="Palatino Linotype" w:hAnsi="Palatino Linotype" w:cs="Palatino Linotype"/>
        </w:rPr>
        <w:t xml:space="preserve"> los </w:t>
      </w:r>
      <w:r w:rsidR="003D1CAB">
        <w:rPr>
          <w:rFonts w:ascii="Palatino Linotype" w:eastAsia="Palatino Linotype" w:hAnsi="Palatino Linotype" w:cs="Palatino Linotype"/>
        </w:rPr>
        <w:t xml:space="preserve">artículos 49, fracción II y 167 del ordenamiento legal precitado, </w:t>
      </w:r>
      <w:r w:rsidR="00950BF3" w:rsidRPr="009D1A83">
        <w:rPr>
          <w:rFonts w:ascii="Palatino Linotype" w:eastAsia="Palatino Linotype" w:hAnsi="Palatino Linotype" w:cs="Palatino Linotype"/>
        </w:rPr>
        <w:t xml:space="preserve"> lo siguiente:</w:t>
      </w:r>
    </w:p>
    <w:p w14:paraId="6664376E" w14:textId="0304680A" w:rsidR="00DD20E8" w:rsidRDefault="009D1A83" w:rsidP="009D1A83">
      <w:pPr>
        <w:ind w:left="1134"/>
        <w:jc w:val="both"/>
        <w:rPr>
          <w:i/>
        </w:rPr>
      </w:pPr>
      <w:r w:rsidRPr="009D1A83">
        <w:rPr>
          <w:i/>
        </w:rPr>
        <w:t>Artículo 49. Los Comités de Transparencia tendrán las siguientes atribuciones:</w:t>
      </w:r>
    </w:p>
    <w:p w14:paraId="57CF2658" w14:textId="1CF31741" w:rsidR="009D1A83" w:rsidRPr="009D1A83" w:rsidRDefault="009D1A83" w:rsidP="009D1A83">
      <w:pPr>
        <w:ind w:left="1134"/>
        <w:jc w:val="both"/>
        <w:rPr>
          <w:i/>
        </w:rPr>
      </w:pPr>
      <w:r>
        <w:rPr>
          <w:i/>
        </w:rPr>
        <w:t>….</w:t>
      </w:r>
    </w:p>
    <w:p w14:paraId="00CD56EB" w14:textId="77777777" w:rsidR="009D1A83" w:rsidRPr="009D1A83" w:rsidRDefault="009D1A83" w:rsidP="009D1A83">
      <w:pPr>
        <w:ind w:left="1134"/>
        <w:jc w:val="both"/>
        <w:rPr>
          <w:i/>
        </w:rPr>
      </w:pPr>
    </w:p>
    <w:p w14:paraId="3F76F076" w14:textId="738430BF" w:rsidR="009D1A83" w:rsidRPr="009D1A83" w:rsidRDefault="009D1A83" w:rsidP="009D1A83">
      <w:pPr>
        <w:ind w:left="1134"/>
        <w:jc w:val="both"/>
        <w:rPr>
          <w:i/>
        </w:rPr>
      </w:pPr>
      <w:r w:rsidRPr="009D1A83">
        <w:rPr>
          <w:i/>
        </w:rPr>
        <w:t xml:space="preserve">II. Confirmar, modificar o revocar las determinaciones </w:t>
      </w:r>
      <w:proofErr w:type="gramStart"/>
      <w:r w:rsidRPr="009D1A83">
        <w:rPr>
          <w:i/>
        </w:rPr>
        <w:t>que</w:t>
      </w:r>
      <w:proofErr w:type="gramEnd"/>
      <w:r w:rsidRPr="009D1A83">
        <w:rPr>
          <w:i/>
        </w:rPr>
        <w:t xml:space="preserve"> en materia de ampliación del plazo de respuesta, clasificación de la información y declaración de inexistencia o de incompetencia realicen los titulares de las áreas de los sujetos obligados;</w:t>
      </w:r>
    </w:p>
    <w:p w14:paraId="5EBC81D3" w14:textId="77777777" w:rsidR="009D1A83" w:rsidRPr="009D1A83" w:rsidRDefault="009D1A83" w:rsidP="009D1A83">
      <w:pPr>
        <w:ind w:left="1134"/>
        <w:jc w:val="both"/>
        <w:rPr>
          <w:i/>
        </w:rPr>
      </w:pPr>
    </w:p>
    <w:p w14:paraId="34CFDCE0" w14:textId="77777777" w:rsidR="009D1A83" w:rsidRDefault="009D1A83" w:rsidP="009D1A83">
      <w:pPr>
        <w:ind w:left="1134"/>
        <w:jc w:val="both"/>
        <w:rPr>
          <w:i/>
        </w:rPr>
      </w:pPr>
      <w:r w:rsidRPr="009D1A83">
        <w:rPr>
          <w:i/>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w:t>
      </w:r>
      <w:r w:rsidRPr="009D1A83">
        <w:rPr>
          <w:i/>
        </w:rPr>
        <w:lastRenderedPageBreak/>
        <w:t xml:space="preserve">recepción de la solicitud y, en su caso orientar al solicitante, el o los sujetos obligados competentes. </w:t>
      </w:r>
    </w:p>
    <w:p w14:paraId="5C33A121" w14:textId="77777777" w:rsidR="009D1A83" w:rsidRDefault="009D1A83" w:rsidP="009D1A83">
      <w:pPr>
        <w:ind w:left="1134"/>
        <w:jc w:val="both"/>
        <w:rPr>
          <w:i/>
        </w:rPr>
      </w:pPr>
    </w:p>
    <w:p w14:paraId="6C6E6D70" w14:textId="77777777" w:rsidR="009D1A83" w:rsidRDefault="009D1A83" w:rsidP="009D1A83">
      <w:pPr>
        <w:ind w:left="1134"/>
        <w:jc w:val="both"/>
        <w:rPr>
          <w:i/>
        </w:rPr>
      </w:pPr>
      <w:r w:rsidRPr="009D1A83">
        <w:rPr>
          <w:i/>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43B95557" w14:textId="77777777" w:rsidR="009D1A83" w:rsidRDefault="009D1A83" w:rsidP="009D1A83">
      <w:pPr>
        <w:ind w:left="1134"/>
        <w:jc w:val="both"/>
        <w:rPr>
          <w:i/>
        </w:rPr>
      </w:pPr>
    </w:p>
    <w:p w14:paraId="314F07F3" w14:textId="63695D78" w:rsidR="009D1A83" w:rsidRDefault="009D1A83" w:rsidP="009D1A83">
      <w:pPr>
        <w:ind w:left="1134"/>
        <w:jc w:val="both"/>
        <w:rPr>
          <w:i/>
        </w:rPr>
      </w:pPr>
      <w:r w:rsidRPr="009D1A83">
        <w:rPr>
          <w:i/>
        </w:rPr>
        <w:t xml:space="preserve"> Si transcurrido el plazo señalado en el primer párrafo de este artículo, el sujeto obligado no declina la competencia en los términos establecidos, podrá canalizar la solicitud ante el sujeto obligado competente.</w:t>
      </w:r>
    </w:p>
    <w:p w14:paraId="380BC917" w14:textId="6AD660F4" w:rsidR="009D1A83" w:rsidRDefault="009D1A83" w:rsidP="009D1A83">
      <w:pPr>
        <w:ind w:left="1134"/>
        <w:jc w:val="both"/>
        <w:rPr>
          <w:i/>
        </w:rPr>
      </w:pPr>
      <w:r>
        <w:rPr>
          <w:i/>
        </w:rPr>
        <w:t xml:space="preserve"> (…)</w:t>
      </w:r>
    </w:p>
    <w:p w14:paraId="3D5259FE" w14:textId="77777777" w:rsidR="009D1A83" w:rsidRDefault="009D1A83" w:rsidP="009D1A83">
      <w:pPr>
        <w:ind w:left="1134"/>
        <w:jc w:val="both"/>
        <w:rPr>
          <w:i/>
        </w:rPr>
      </w:pPr>
    </w:p>
    <w:p w14:paraId="6C257416" w14:textId="77777777" w:rsidR="003D1CAB" w:rsidRDefault="003D1CAB" w:rsidP="009D1A83">
      <w:pPr>
        <w:spacing w:line="360" w:lineRule="auto"/>
        <w:jc w:val="both"/>
        <w:rPr>
          <w:rFonts w:ascii="Palatino Linotype" w:eastAsia="Palatino Linotype" w:hAnsi="Palatino Linotype" w:cs="Palatino Linotype"/>
        </w:rPr>
      </w:pPr>
    </w:p>
    <w:p w14:paraId="4CB743DD" w14:textId="423DED05" w:rsidR="009D1A83" w:rsidRDefault="009D1A83" w:rsidP="009D1A83">
      <w:pPr>
        <w:spacing w:line="360" w:lineRule="auto"/>
        <w:jc w:val="both"/>
        <w:rPr>
          <w:rFonts w:ascii="Palatino Linotype" w:eastAsia="Palatino Linotype" w:hAnsi="Palatino Linotype" w:cs="Palatino Linotype"/>
        </w:rPr>
      </w:pPr>
      <w:r w:rsidRPr="009D1A83">
        <w:rPr>
          <w:rFonts w:ascii="Palatino Linotype" w:eastAsia="Palatino Linotype" w:hAnsi="Palatino Linotype" w:cs="Palatino Linotype"/>
        </w:rPr>
        <w:t xml:space="preserve">Es así que, de las constancias que integran el expediente del recurso de revisión al rubro indicado, se tiene que la solicitud de acceso a la información se realizó </w:t>
      </w:r>
      <w:proofErr w:type="gramStart"/>
      <w:r w:rsidRPr="009D1A83">
        <w:rPr>
          <w:rFonts w:ascii="Palatino Linotype" w:eastAsia="Palatino Linotype" w:hAnsi="Palatino Linotype" w:cs="Palatino Linotype"/>
        </w:rPr>
        <w:t>el  veintisiete</w:t>
      </w:r>
      <w:proofErr w:type="gramEnd"/>
      <w:r w:rsidRPr="009D1A83">
        <w:rPr>
          <w:rFonts w:ascii="Palatino Linotype" w:eastAsia="Palatino Linotype" w:hAnsi="Palatino Linotype" w:cs="Palatino Linotype"/>
        </w:rPr>
        <w:t xml:space="preserve"> de junio de dos mil veintidós, mientras que el sujeto Obligado manifestó su incompetencia hasta el diez de agosto de dos mil veintidós</w:t>
      </w:r>
      <w:r>
        <w:rPr>
          <w:rFonts w:ascii="Palatino Linotype" w:eastAsia="Palatino Linotype" w:hAnsi="Palatino Linotype" w:cs="Palatino Linotype"/>
        </w:rPr>
        <w:t>,  transcurriendo con exceso el párrafo de los tres días a  que hace referencia el numeral citado.</w:t>
      </w:r>
    </w:p>
    <w:p w14:paraId="5BE1D4C0" w14:textId="77777777" w:rsidR="003D1CAB" w:rsidRDefault="003D1CAB" w:rsidP="009D1A83">
      <w:pPr>
        <w:spacing w:line="360" w:lineRule="auto"/>
        <w:jc w:val="both"/>
        <w:rPr>
          <w:rFonts w:ascii="Palatino Linotype" w:eastAsia="Palatino Linotype" w:hAnsi="Palatino Linotype" w:cs="Palatino Linotype"/>
        </w:rPr>
      </w:pPr>
    </w:p>
    <w:p w14:paraId="677779E7" w14:textId="73E34FBF" w:rsidR="009D1A83" w:rsidRDefault="009D1A83" w:rsidP="009D1A83">
      <w:pPr>
        <w:pStyle w:val="Prrafodelista"/>
        <w:spacing w:line="360" w:lineRule="auto"/>
        <w:ind w:left="0"/>
        <w:jc w:val="both"/>
        <w:rPr>
          <w:rFonts w:ascii="Palatino Linotype" w:hAnsi="Palatino Linotype"/>
        </w:rPr>
      </w:pPr>
      <w:r>
        <w:rPr>
          <w:rFonts w:ascii="Palatino Linotype" w:eastAsia="Palatino Linotype" w:hAnsi="Palatino Linotype" w:cs="Palatino Linotype"/>
        </w:rPr>
        <w:t xml:space="preserve">El </w:t>
      </w:r>
      <w:r w:rsidR="003D1CAB">
        <w:rPr>
          <w:rFonts w:ascii="Palatino Linotype" w:eastAsia="Palatino Linotype" w:hAnsi="Palatino Linotype" w:cs="Palatino Linotype"/>
        </w:rPr>
        <w:t>solicitante</w:t>
      </w:r>
      <w:r>
        <w:rPr>
          <w:rFonts w:ascii="Palatino Linotype" w:eastAsia="Palatino Linotype" w:hAnsi="Palatino Linotype" w:cs="Palatino Linotype"/>
        </w:rPr>
        <w:t xml:space="preserve"> manifiesta que no hubo </w:t>
      </w:r>
      <w:r w:rsidR="003D1CAB">
        <w:rPr>
          <w:rFonts w:ascii="Palatino Linotype" w:eastAsia="Palatino Linotype" w:hAnsi="Palatino Linotype" w:cs="Palatino Linotype"/>
        </w:rPr>
        <w:t>aclaración</w:t>
      </w:r>
      <w:r>
        <w:rPr>
          <w:rFonts w:ascii="Palatino Linotype" w:eastAsia="Palatino Linotype" w:hAnsi="Palatino Linotype" w:cs="Palatino Linotype"/>
        </w:rPr>
        <w:t xml:space="preserve"> y que se debe dar trámite a su solicitud</w:t>
      </w:r>
      <w:r w:rsidR="003D1CAB">
        <w:rPr>
          <w:rFonts w:ascii="Palatino Linotype" w:eastAsia="Palatino Linotype" w:hAnsi="Palatino Linotype" w:cs="Palatino Linotype"/>
        </w:rPr>
        <w:t xml:space="preserve">, </w:t>
      </w:r>
      <w:r>
        <w:rPr>
          <w:rFonts w:ascii="Palatino Linotype" w:eastAsia="Palatino Linotype" w:hAnsi="Palatino Linotype" w:cs="Palatino Linotype"/>
        </w:rPr>
        <w:t xml:space="preserve"> sin embargo se </w:t>
      </w:r>
      <w:r w:rsidR="003D1CAB">
        <w:rPr>
          <w:rFonts w:ascii="Palatino Linotype" w:eastAsia="Palatino Linotype" w:hAnsi="Palatino Linotype" w:cs="Palatino Linotype"/>
        </w:rPr>
        <w:t>precisa</w:t>
      </w:r>
      <w:r>
        <w:rPr>
          <w:rFonts w:ascii="Palatino Linotype" w:eastAsia="Palatino Linotype" w:hAnsi="Palatino Linotype" w:cs="Palatino Linotype"/>
        </w:rPr>
        <w:t xml:space="preserve"> que el </w:t>
      </w:r>
      <w:r w:rsidR="003D1CAB" w:rsidRPr="003D1CAB">
        <w:rPr>
          <w:rFonts w:ascii="Palatino Linotype" w:eastAsia="Palatino Linotype" w:hAnsi="Palatino Linotype" w:cs="Palatino Linotype"/>
        </w:rPr>
        <w:t>solicitante</w:t>
      </w:r>
      <w:r w:rsidRPr="003D1CAB">
        <w:rPr>
          <w:rFonts w:ascii="Palatino Linotype" w:eastAsia="Palatino Linotype" w:hAnsi="Palatino Linotype" w:cs="Palatino Linotype"/>
        </w:rPr>
        <w:t xml:space="preserve"> </w:t>
      </w:r>
      <w:r w:rsidRPr="003D1CAB">
        <w:rPr>
          <w:rFonts w:ascii="Palatino Linotype" w:hAnsi="Palatino Linotype" w:cs="Arial"/>
        </w:rPr>
        <w:t>puede</w:t>
      </w:r>
      <w:r w:rsidR="003D1CAB" w:rsidRPr="003D1CAB">
        <w:rPr>
          <w:rFonts w:ascii="Palatino Linotype" w:hAnsi="Palatino Linotype" w:cs="Arial"/>
        </w:rPr>
        <w:t xml:space="preserve"> no ser experto </w:t>
      </w:r>
      <w:r w:rsidRPr="003D1CAB">
        <w:rPr>
          <w:rFonts w:ascii="Palatino Linotype" w:hAnsi="Palatino Linotype" w:cs="Arial"/>
        </w:rPr>
        <w:t>en la materia</w:t>
      </w:r>
      <w:r>
        <w:rPr>
          <w:rFonts w:ascii="Palatino Linotype" w:hAnsi="Palatino Linotype" w:cs="Arial"/>
          <w:b/>
        </w:rPr>
        <w:t xml:space="preserve"> </w:t>
      </w:r>
      <w:r w:rsidRPr="003D1CAB">
        <w:rPr>
          <w:rFonts w:ascii="Palatino Linotype" w:hAnsi="Palatino Linotype" w:cs="Arial"/>
        </w:rPr>
        <w:t xml:space="preserve">y conocer desconocer </w:t>
      </w:r>
      <w:r w:rsidR="003D1CAB" w:rsidRPr="003D1CAB">
        <w:rPr>
          <w:rFonts w:ascii="Palatino Linotype" w:hAnsi="Palatino Linotype" w:cs="Arial"/>
        </w:rPr>
        <w:t>la competencia, por lo que</w:t>
      </w:r>
      <w:r w:rsidR="003D1CAB">
        <w:rPr>
          <w:rFonts w:ascii="Palatino Linotype" w:hAnsi="Palatino Linotype" w:cs="Arial"/>
          <w:b/>
        </w:rPr>
        <w:t xml:space="preserve">  </w:t>
      </w:r>
      <w:r>
        <w:rPr>
          <w:rFonts w:ascii="Palatino Linotype" w:hAnsi="Palatino Linotype" w:cs="Arial"/>
          <w:b/>
        </w:rPr>
        <w:t xml:space="preserve"> </w:t>
      </w:r>
      <w:r w:rsidR="003D1CAB">
        <w:rPr>
          <w:rFonts w:ascii="Palatino Linotype" w:hAnsi="Palatino Linotype"/>
          <w:sz w:val="23"/>
          <w:szCs w:val="23"/>
        </w:rPr>
        <w:t xml:space="preserve">el Sujeto Obligado deberá dar el trámite correspondiente a la solicitud de información a efecto de realizar un análisis </w:t>
      </w:r>
      <w:r w:rsidR="003D1CAB">
        <w:rPr>
          <w:rFonts w:ascii="Palatino Linotype" w:hAnsi="Palatino Linotype"/>
          <w:sz w:val="23"/>
          <w:szCs w:val="23"/>
        </w:rPr>
        <w:lastRenderedPageBreak/>
        <w:t xml:space="preserve">minucioso de las facultades, competencias o funciones de cada una de las Unidades Administrativas que lo integran y, si posterior a ello, se corrobora la incompetencia para la atención del requerimiento, en razón de que es otro el Sujeto Obligado poseedor de la documentación, como aconteció en la especie,  correspondía a su Comité de Transparencia confirmar la declaratoria de incompetencia y notificarle dicha determinación al particular, ello en términos de lo dispuesto en el artículo 49, fracción II de la Ley de Transparencia Local, </w:t>
      </w:r>
      <w:r w:rsidR="003D1CAB" w:rsidRPr="003D1CAB">
        <w:rPr>
          <w:rFonts w:ascii="Palatino Linotype" w:hAnsi="Palatino Linotype"/>
          <w:b/>
          <w:sz w:val="23"/>
          <w:szCs w:val="23"/>
        </w:rPr>
        <w:t>al ser este el acto jurídico idóneo que genera seguridad jurídica</w:t>
      </w:r>
      <w:r w:rsidR="003D1CAB">
        <w:rPr>
          <w:rFonts w:ascii="Palatino Linotype" w:hAnsi="Palatino Linotype"/>
          <w:sz w:val="23"/>
          <w:szCs w:val="23"/>
        </w:rPr>
        <w:t xml:space="preserve"> de que el Ente ante quien se presentó la solicitud, carece de facultades, competencias o funciones para poseer o generar la información requerida, como se refiere en el </w:t>
      </w:r>
      <w:r w:rsidR="003D1CAB" w:rsidRPr="003D1CAB">
        <w:rPr>
          <w:rFonts w:ascii="Palatino Linotype" w:hAnsi="Palatino Linotype"/>
          <w:sz w:val="23"/>
          <w:szCs w:val="23"/>
        </w:rPr>
        <w:t>Criterio Reiterado 01/19</w:t>
      </w:r>
      <w:r w:rsidR="003D1CAB">
        <w:rPr>
          <w:rFonts w:ascii="Palatino Linotype" w:hAnsi="Palatino Linotype"/>
          <w:sz w:val="23"/>
          <w:szCs w:val="23"/>
        </w:rPr>
        <w:t>.</w:t>
      </w:r>
    </w:p>
    <w:p w14:paraId="5CBAA1B8" w14:textId="112CE77A" w:rsidR="009D1A83" w:rsidRDefault="009D1A83" w:rsidP="009D1A83">
      <w:pPr>
        <w:spacing w:line="360" w:lineRule="auto"/>
        <w:jc w:val="both"/>
        <w:rPr>
          <w:rFonts w:ascii="Palatino Linotype" w:eastAsia="Palatino Linotype" w:hAnsi="Palatino Linotype" w:cs="Palatino Linotype"/>
        </w:rPr>
      </w:pPr>
    </w:p>
    <w:p w14:paraId="2DAF5F43" w14:textId="77777777" w:rsidR="00DD20E8" w:rsidRPr="009D1A83" w:rsidRDefault="00DD20E8" w:rsidP="009D1A83">
      <w:pPr>
        <w:ind w:left="1134"/>
        <w:jc w:val="both"/>
        <w:rPr>
          <w:i/>
        </w:rPr>
      </w:pPr>
    </w:p>
    <w:p w14:paraId="35DA9282" w14:textId="77777777" w:rsidR="00950BF3" w:rsidRDefault="00950BF3" w:rsidP="003D1CAB">
      <w:pPr>
        <w:ind w:left="1134"/>
        <w:jc w:val="both"/>
        <w:rPr>
          <w:rFonts w:ascii="Palatino Linotype" w:hAnsi="Palatino Linotype"/>
          <w:sz w:val="23"/>
          <w:szCs w:val="23"/>
        </w:rPr>
      </w:pPr>
      <w:r>
        <w:rPr>
          <w:rFonts w:ascii="Palatino Linotype" w:hAnsi="Palatino Linotype"/>
          <w:b/>
          <w:sz w:val="23"/>
          <w:szCs w:val="23"/>
        </w:rPr>
        <w:t xml:space="preserve">DECLARATORIA DE INCOMPETENCIA DEL SUJETO OBLIGADO. SUPUESTO PARA CONFIRMARLA POR ACUERDO DEL COMITÉ DE TRANSPARENCIA. </w:t>
      </w:r>
      <w:r>
        <w:rPr>
          <w:rFonts w:ascii="Palatino Linotype" w:hAnsi="Palatino Linotype"/>
          <w:sz w:val="23"/>
          <w:szCs w:val="23"/>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al ejercer el derecho de acceso a la información pública cabe la posibilidad de que existan atribuciones concurrentes entre dos o más Sujetos Obligados que impiden </w:t>
      </w:r>
      <w:r>
        <w:rPr>
          <w:rFonts w:ascii="Palatino Linotype" w:hAnsi="Palatino Linotype"/>
          <w:sz w:val="23"/>
          <w:szCs w:val="23"/>
        </w:rPr>
        <w:lastRenderedPageBreak/>
        <w:t>determinar dentro del término legal de tres días hábiles, si se posee o no la información por el Sujeto Obligado requerido;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1D3363CA" w14:textId="77777777" w:rsidR="00950BF3" w:rsidRDefault="00950BF3" w:rsidP="003D1CAB">
      <w:pPr>
        <w:ind w:left="1134"/>
        <w:jc w:val="both"/>
        <w:rPr>
          <w:rFonts w:ascii="Palatino Linotype" w:hAnsi="Palatino Linotype"/>
          <w:b/>
          <w:sz w:val="22"/>
          <w:szCs w:val="22"/>
        </w:rPr>
      </w:pPr>
      <w:r>
        <w:rPr>
          <w:rFonts w:ascii="Palatino Linotype" w:hAnsi="Palatino Linotype"/>
          <w:b/>
          <w:sz w:val="22"/>
          <w:szCs w:val="22"/>
        </w:rPr>
        <w:t>Precedentes</w:t>
      </w:r>
    </w:p>
    <w:p w14:paraId="5787F8B3" w14:textId="77777777" w:rsidR="00950BF3" w:rsidRDefault="00950BF3" w:rsidP="003D1CAB">
      <w:pPr>
        <w:ind w:left="1134"/>
        <w:jc w:val="both"/>
        <w:rPr>
          <w:rFonts w:ascii="Palatino Linotype" w:hAnsi="Palatino Linotype"/>
          <w:b/>
          <w:sz w:val="12"/>
          <w:szCs w:val="12"/>
        </w:rPr>
      </w:pPr>
    </w:p>
    <w:p w14:paraId="165CCD56" w14:textId="77777777" w:rsidR="00950BF3" w:rsidRDefault="00950BF3" w:rsidP="003D1CAB">
      <w:pPr>
        <w:pStyle w:val="Prrafodelista"/>
        <w:numPr>
          <w:ilvl w:val="0"/>
          <w:numId w:val="34"/>
        </w:numPr>
        <w:ind w:left="1134" w:firstLine="0"/>
        <w:jc w:val="both"/>
        <w:rPr>
          <w:rFonts w:ascii="Palatino Linotype" w:hAnsi="Palatino Linotype"/>
          <w:sz w:val="22"/>
          <w:szCs w:val="22"/>
        </w:rPr>
      </w:pPr>
      <w:r>
        <w:rPr>
          <w:rFonts w:ascii="Palatino Linotype" w:hAnsi="Palatino Linotype"/>
          <w:sz w:val="22"/>
          <w:szCs w:val="22"/>
        </w:rPr>
        <w:t>En materia de acceso a la información pública. 5600/INFOEM/IP/RR/2019. Aprobado por unanimidad de votos. Ayuntamiento de Huixquilucan. Comisionada Ponente Zulema Martínez Sánchez.</w:t>
      </w:r>
    </w:p>
    <w:p w14:paraId="013E1BB6" w14:textId="77777777" w:rsidR="00950BF3" w:rsidRDefault="00950BF3" w:rsidP="003D1CAB">
      <w:pPr>
        <w:pStyle w:val="Prrafodelista"/>
        <w:numPr>
          <w:ilvl w:val="0"/>
          <w:numId w:val="34"/>
        </w:numPr>
        <w:ind w:left="1134" w:firstLine="0"/>
        <w:jc w:val="both"/>
        <w:rPr>
          <w:rFonts w:ascii="Palatino Linotype" w:hAnsi="Palatino Linotype"/>
          <w:sz w:val="22"/>
          <w:szCs w:val="22"/>
        </w:rPr>
      </w:pPr>
      <w:r>
        <w:rPr>
          <w:rFonts w:ascii="Palatino Linotype" w:hAnsi="Palatino Linotype"/>
          <w:sz w:val="22"/>
          <w:szCs w:val="22"/>
        </w:rPr>
        <w:t xml:space="preserve">En materia de acceso a la información pública. 5151/INFOEM/IP/RR/2019. Aprobado por unanimidad de votos, emitiendo voto particular el Comisionado Luis Gustavo Parra Noriega. Ayuntamiento de Naucalpan de Juárez. Comisionado Ponente Javier Martínez Cruz. </w:t>
      </w:r>
    </w:p>
    <w:p w14:paraId="46B9C2D3" w14:textId="77777777" w:rsidR="00950BF3" w:rsidRDefault="00950BF3" w:rsidP="003D1CAB">
      <w:pPr>
        <w:pStyle w:val="Prrafodelista"/>
        <w:numPr>
          <w:ilvl w:val="0"/>
          <w:numId w:val="34"/>
        </w:numPr>
        <w:ind w:left="1134" w:firstLine="0"/>
        <w:jc w:val="both"/>
        <w:rPr>
          <w:rFonts w:ascii="Palatino Linotype" w:hAnsi="Palatino Linotype"/>
          <w:sz w:val="22"/>
          <w:szCs w:val="22"/>
        </w:rPr>
      </w:pPr>
      <w:r>
        <w:rPr>
          <w:rFonts w:ascii="Palatino Linotype" w:hAnsi="Palatino Linotype"/>
          <w:sz w:val="22"/>
          <w:szCs w:val="22"/>
        </w:rPr>
        <w:t xml:space="preserve">En materia de acceso a la información pública. 5272/INFOEM/IP/RR/2019 y acumulado. Aprobado por unanimidad de votos de los presentes. Organismo Público Descentralizado para la Prestación de Servicios de Agua Potable, </w:t>
      </w:r>
      <w:r>
        <w:rPr>
          <w:rFonts w:ascii="Palatino Linotype" w:hAnsi="Palatino Linotype"/>
          <w:sz w:val="22"/>
          <w:szCs w:val="22"/>
        </w:rPr>
        <w:lastRenderedPageBreak/>
        <w:t xml:space="preserve">Alcantarillado y Saneamiento del Municipio de Naucalpan de Juárez. Comisionada Ponente Eva </w:t>
      </w:r>
      <w:proofErr w:type="spellStart"/>
      <w:r>
        <w:rPr>
          <w:rFonts w:ascii="Palatino Linotype" w:hAnsi="Palatino Linotype"/>
          <w:sz w:val="22"/>
          <w:szCs w:val="22"/>
        </w:rPr>
        <w:t>Abaid</w:t>
      </w:r>
      <w:proofErr w:type="spellEnd"/>
      <w:r>
        <w:rPr>
          <w:rFonts w:ascii="Palatino Linotype" w:hAnsi="Palatino Linotype"/>
          <w:sz w:val="22"/>
          <w:szCs w:val="22"/>
        </w:rPr>
        <w:t xml:space="preserve"> Yapur. </w:t>
      </w:r>
    </w:p>
    <w:p w14:paraId="4683B101" w14:textId="77777777" w:rsidR="003D1CAB" w:rsidRDefault="003D1CAB" w:rsidP="003D1CAB">
      <w:pPr>
        <w:pStyle w:val="Prrafodelista"/>
        <w:ind w:left="1134"/>
        <w:jc w:val="both"/>
        <w:rPr>
          <w:rFonts w:ascii="Palatino Linotype" w:hAnsi="Palatino Linotype"/>
          <w:sz w:val="22"/>
          <w:szCs w:val="22"/>
        </w:rPr>
      </w:pPr>
    </w:p>
    <w:p w14:paraId="595ED0D8" w14:textId="77777777" w:rsidR="003D1CAB" w:rsidRDefault="003D1CAB" w:rsidP="003D1CAB">
      <w:pPr>
        <w:pStyle w:val="Prrafodelista"/>
        <w:ind w:left="1134"/>
        <w:jc w:val="both"/>
        <w:rPr>
          <w:rFonts w:ascii="Palatino Linotype" w:hAnsi="Palatino Linotype"/>
          <w:sz w:val="22"/>
          <w:szCs w:val="22"/>
        </w:rPr>
      </w:pPr>
    </w:p>
    <w:p w14:paraId="1780E2A6" w14:textId="0B0BA8FE" w:rsidR="003D1CAB" w:rsidRPr="003D1CAB" w:rsidRDefault="003D1CAB" w:rsidP="003D1CAB">
      <w:pPr>
        <w:spacing w:line="360" w:lineRule="auto"/>
        <w:jc w:val="both"/>
        <w:rPr>
          <w:rFonts w:ascii="Palatino Linotype" w:hAnsi="Palatino Linotype"/>
          <w:sz w:val="23"/>
          <w:szCs w:val="23"/>
        </w:rPr>
      </w:pPr>
      <w:r w:rsidRPr="003D1CAB">
        <w:rPr>
          <w:rFonts w:ascii="Palatino Linotype" w:hAnsi="Palatino Linotype"/>
          <w:sz w:val="23"/>
          <w:szCs w:val="23"/>
        </w:rPr>
        <w:t xml:space="preserve">Por tanto se concluye que se debió ordenar el acuerdo de incompetencia, ya que se solicita información a un Organismo Público Descentralizado Municipal relativa a inmuebles municipales </w:t>
      </w:r>
      <w:proofErr w:type="gramStart"/>
      <w:r w:rsidRPr="003D1CAB">
        <w:rPr>
          <w:rFonts w:ascii="Palatino Linotype" w:hAnsi="Palatino Linotype"/>
          <w:sz w:val="23"/>
          <w:szCs w:val="23"/>
        </w:rPr>
        <w:t>y  la</w:t>
      </w:r>
      <w:proofErr w:type="gramEnd"/>
      <w:r w:rsidRPr="003D1CAB">
        <w:rPr>
          <w:rFonts w:ascii="Palatino Linotype" w:hAnsi="Palatino Linotype"/>
          <w:sz w:val="23"/>
          <w:szCs w:val="23"/>
        </w:rPr>
        <w:t xml:space="preserve"> nómina de todo el personal municipal, por tanto</w:t>
      </w:r>
      <w:r>
        <w:rPr>
          <w:rFonts w:ascii="Palatino Linotype" w:hAnsi="Palatino Linotype"/>
          <w:sz w:val="23"/>
          <w:szCs w:val="23"/>
        </w:rPr>
        <w:t xml:space="preserve"> el sujeto Obligado </w:t>
      </w:r>
      <w:r w:rsidRPr="003D1CAB">
        <w:rPr>
          <w:rFonts w:ascii="Palatino Linotype" w:hAnsi="Palatino Linotype"/>
          <w:sz w:val="23"/>
          <w:szCs w:val="23"/>
        </w:rPr>
        <w:t xml:space="preserve"> no genera ni administra la información requerida.</w:t>
      </w:r>
    </w:p>
    <w:p w14:paraId="6777334A" w14:textId="78DD258A" w:rsidR="003D1CAB" w:rsidRPr="003D1CAB" w:rsidRDefault="003D1CAB" w:rsidP="003D1CAB">
      <w:pPr>
        <w:jc w:val="both"/>
        <w:rPr>
          <w:rFonts w:ascii="Palatino Linotype" w:hAnsi="Palatino Linotype"/>
          <w:sz w:val="23"/>
          <w:szCs w:val="23"/>
        </w:rPr>
      </w:pPr>
    </w:p>
    <w:sectPr w:rsidR="003D1CAB" w:rsidRPr="003D1CAB" w:rsidSect="001D21AF">
      <w:headerReference w:type="even" r:id="rId12"/>
      <w:headerReference w:type="default" r:id="rId13"/>
      <w:footerReference w:type="default" r:id="rId14"/>
      <w:headerReference w:type="first" r:id="rId15"/>
      <w:pgSz w:w="12240" w:h="15840"/>
      <w:pgMar w:top="2410" w:right="1701" w:bottom="1928" w:left="1701"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E7FE9" w14:textId="77777777" w:rsidR="0050281B" w:rsidRDefault="0050281B" w:rsidP="00C80F8C">
      <w:r>
        <w:separator/>
      </w:r>
    </w:p>
  </w:endnote>
  <w:endnote w:type="continuationSeparator" w:id="0">
    <w:p w14:paraId="39BB9515" w14:textId="77777777" w:rsidR="0050281B" w:rsidRDefault="0050281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95305" w14:textId="77777777" w:rsidR="00D56F70" w:rsidRPr="0010196A" w:rsidRDefault="00D56F70" w:rsidP="00D56F70">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D1CAB">
      <w:rPr>
        <w:rFonts w:ascii="Palatino Linotype" w:hAnsi="Palatino Linotype" w:cs="Arial"/>
        <w:bCs/>
        <w:noProof/>
        <w:sz w:val="22"/>
        <w:szCs w:val="22"/>
      </w:rPr>
      <w:t>10</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D1CAB">
      <w:rPr>
        <w:rFonts w:ascii="Palatino Linotype" w:hAnsi="Palatino Linotype" w:cs="Arial"/>
        <w:bCs/>
        <w:noProof/>
        <w:sz w:val="22"/>
        <w:szCs w:val="22"/>
      </w:rPr>
      <w:t>10</w:t>
    </w:r>
    <w:r w:rsidRPr="0010196A">
      <w:rPr>
        <w:rFonts w:ascii="Palatino Linotype" w:hAnsi="Palatino Linotype" w:cs="Arial"/>
        <w:bCs/>
        <w:sz w:val="22"/>
        <w:szCs w:val="22"/>
      </w:rPr>
      <w:fldChar w:fldCharType="end"/>
    </w:r>
  </w:p>
  <w:p w14:paraId="08635751" w14:textId="77777777" w:rsidR="006F30F8" w:rsidRDefault="006F30F8" w:rsidP="006F30F8">
    <w:pPr>
      <w:pStyle w:val="Piedepgina"/>
      <w:ind w:firstLine="708"/>
    </w:pPr>
  </w:p>
  <w:p w14:paraId="38ED859D" w14:textId="77777777" w:rsidR="006F30F8" w:rsidRDefault="006F30F8" w:rsidP="006F30F8">
    <w:pPr>
      <w:pStyle w:val="Piedepgina"/>
      <w:ind w:firstLine="708"/>
    </w:pPr>
  </w:p>
  <w:p w14:paraId="0B2BAE82" w14:textId="77777777" w:rsidR="006F30F8" w:rsidRDefault="006F30F8" w:rsidP="006F30F8">
    <w:pPr>
      <w:pStyle w:val="Piedepgina"/>
      <w:ind w:firstLine="708"/>
    </w:pPr>
  </w:p>
  <w:p w14:paraId="25D26CDF" w14:textId="77777777" w:rsidR="006F30F8" w:rsidRDefault="006F30F8" w:rsidP="006F30F8">
    <w:pPr>
      <w:pStyle w:val="Piedepgina"/>
      <w:ind w:firstLine="708"/>
    </w:pPr>
  </w:p>
  <w:p w14:paraId="14A770F8" w14:textId="77777777" w:rsidR="006F30F8" w:rsidRDefault="006F30F8" w:rsidP="006F30F8">
    <w:pPr>
      <w:pStyle w:val="Piedepgina"/>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47B96" w14:textId="77777777" w:rsidR="0050281B" w:rsidRDefault="0050281B" w:rsidP="00C80F8C">
      <w:r>
        <w:separator/>
      </w:r>
    </w:p>
  </w:footnote>
  <w:footnote w:type="continuationSeparator" w:id="0">
    <w:p w14:paraId="2FD473D6" w14:textId="77777777" w:rsidR="0050281B" w:rsidRDefault="0050281B"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EB71" w14:textId="4D1910B5" w:rsidR="001112E6" w:rsidRDefault="00000000">
    <w:pPr>
      <w:pStyle w:val="Encabezado"/>
    </w:pPr>
    <w:r>
      <w:rPr>
        <w:noProof/>
      </w:rPr>
      <w:pict w14:anchorId="528B8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7" o:spid="_x0000_s1026" type="#_x0000_t136" style="position:absolute;margin-left:0;margin-top:0;width:620.2pt;height:82.65pt;rotation:315;z-index:-251654144;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BDCD7" w14:textId="77777777" w:rsidR="001D21AF" w:rsidRPr="00F47FB5" w:rsidRDefault="00000000" w:rsidP="001D21AF">
    <w:pPr>
      <w:pStyle w:val="Encabezado"/>
      <w:tabs>
        <w:tab w:val="clear" w:pos="4252"/>
        <w:tab w:val="clear" w:pos="8504"/>
        <w:tab w:val="left" w:pos="2326"/>
      </w:tabs>
      <w:ind w:left="2835"/>
      <w:rPr>
        <w:rFonts w:ascii="Palatino Linotype" w:hAnsi="Palatino Linotype"/>
      </w:rPr>
    </w:pPr>
    <w:r>
      <w:rPr>
        <w:noProof/>
      </w:rPr>
      <w:pict w14:anchorId="0BD8E0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620.2pt;height:82.65pt;rotation:315;z-index:-251649024;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r w:rsidR="001D21AF">
      <w:rPr>
        <w:rFonts w:ascii="Palatino Linotype" w:hAnsi="Palatino Linotype"/>
        <w:noProof/>
        <w:lang w:val="es-MX" w:eastAsia="es-MX"/>
      </w:rPr>
      <w:drawing>
        <wp:anchor distT="0" distB="0" distL="114300" distR="114300" simplePos="0" relativeHeight="251666432" behindDoc="1" locked="0" layoutInCell="1" allowOverlap="1" wp14:anchorId="318E31DD" wp14:editId="351A412F">
          <wp:simplePos x="0" y="0"/>
          <wp:positionH relativeFrom="column">
            <wp:posOffset>-631825</wp:posOffset>
          </wp:positionH>
          <wp:positionV relativeFrom="paragraph">
            <wp:posOffset>-357505</wp:posOffset>
          </wp:positionV>
          <wp:extent cx="7604125" cy="9903677"/>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67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D21AF">
      <w:rPr>
        <w:rFonts w:ascii="Palatino Linotype" w:hAnsi="Palatino Linotype" w:cs="Tahoma"/>
        <w:b/>
      </w:rPr>
      <w:t>Voto Particular</w:t>
    </w:r>
  </w:p>
  <w:p w14:paraId="1FC3E67F" w14:textId="70F1CCB4" w:rsidR="001D21AF" w:rsidRPr="006F0B11" w:rsidRDefault="001D21AF" w:rsidP="001D21AF">
    <w:pPr>
      <w:pStyle w:val="Encabezado"/>
      <w:ind w:left="2835" w:right="-250"/>
      <w:rPr>
        <w:rFonts w:ascii="Palatino Linotype" w:hAnsi="Palatino Linotype" w:cs="Tahoma"/>
      </w:rPr>
    </w:pPr>
    <w:r>
      <w:rPr>
        <w:rFonts w:ascii="Palatino Linotype" w:hAnsi="Palatino Linotype" w:cs="Tahoma"/>
        <w:b/>
      </w:rPr>
      <w:t xml:space="preserve">Recurso de Revisión: </w:t>
    </w:r>
    <w:r w:rsidR="006F0B11" w:rsidRPr="006F0B11">
      <w:rPr>
        <w:rFonts w:ascii="Palatino Linotype" w:eastAsia="Palatino Linotype" w:hAnsi="Palatino Linotype" w:cs="Palatino Linotype"/>
      </w:rPr>
      <w:t>13899/INFOEM/IP/RR/2022</w:t>
    </w:r>
  </w:p>
  <w:p w14:paraId="396E4711" w14:textId="057D975E" w:rsidR="001D21AF" w:rsidRPr="00F47FB5" w:rsidRDefault="001D21AF" w:rsidP="001D21AF">
    <w:pPr>
      <w:pStyle w:val="Encabezado"/>
      <w:ind w:left="2835" w:right="-250"/>
      <w:rPr>
        <w:rFonts w:ascii="Palatino Linotype" w:hAnsi="Palatino Linotype"/>
      </w:rPr>
    </w:pPr>
    <w:r>
      <w:rPr>
        <w:rFonts w:ascii="Palatino Linotype" w:hAnsi="Palatino Linotype" w:cs="Tahoma"/>
        <w:b/>
      </w:rPr>
      <w:t>Sujeto Obligado:</w:t>
    </w:r>
    <w:r>
      <w:rPr>
        <w:rFonts w:ascii="Palatino Linotype" w:eastAsia="Palatino Linotype" w:hAnsi="Palatino Linotype" w:cs="Palatino Linotype"/>
        <w:b/>
      </w:rPr>
      <w:t xml:space="preserve"> </w:t>
    </w:r>
    <w:r w:rsidR="006F0B11" w:rsidRPr="006F0B11">
      <w:rPr>
        <w:rFonts w:ascii="Palatino Linotype" w:hAnsi="Palatino Linotype" w:cs="Arial"/>
      </w:rPr>
      <w:t>Organismo Público Descentralizado Municipal para la Prestación de los Servicios de Agua Potable Alcantarillado y Saneamiento de Cuautitlán Izcalli denominado OPERAGUA, O.P.D.M</w:t>
    </w:r>
    <w:r w:rsidR="006F0B11" w:rsidRPr="006F0B11">
      <w:rPr>
        <w:rFonts w:ascii="Palatino Linotype" w:hAnsi="Palatino Linotype" w:cs="Arial"/>
        <w:b/>
      </w:rPr>
      <w:t xml:space="preserve">.  </w:t>
    </w:r>
  </w:p>
  <w:p w14:paraId="56A9221A" w14:textId="3A24C921" w:rsidR="001D21AF" w:rsidRPr="00F47FB5" w:rsidRDefault="001D21AF" w:rsidP="001D21AF">
    <w:pPr>
      <w:pStyle w:val="Encabezado"/>
      <w:ind w:left="2835" w:right="-250"/>
      <w:rPr>
        <w:rFonts w:ascii="Palatino Linotype" w:eastAsia="Palatino Linotype" w:hAnsi="Palatino Linotype" w:cs="Palatino Linotype"/>
      </w:rPr>
    </w:pPr>
    <w:r>
      <w:rPr>
        <w:rFonts w:ascii="Palatino Linotype" w:hAnsi="Palatino Linotype" w:cs="Tahoma"/>
        <w:b/>
      </w:rPr>
      <w:t xml:space="preserve">Comisionado Ponente: </w:t>
    </w:r>
    <w:r>
      <w:rPr>
        <w:rFonts w:ascii="Palatino Linotype" w:eastAsia="Palatino Linotype" w:hAnsi="Palatino Linotype" w:cs="Palatino Linotype"/>
      </w:rPr>
      <w:t>Guadalupe Ramírez Peña</w:t>
    </w:r>
  </w:p>
  <w:p w14:paraId="05BBC56B" w14:textId="738BF157" w:rsidR="00634485" w:rsidRPr="00A81140" w:rsidRDefault="00000000" w:rsidP="001D21AF">
    <w:pPr>
      <w:pStyle w:val="Encabezado"/>
      <w:tabs>
        <w:tab w:val="clear" w:pos="4252"/>
        <w:tab w:val="clear" w:pos="8504"/>
        <w:tab w:val="left" w:pos="6780"/>
      </w:tabs>
      <w:rPr>
        <w:rFonts w:ascii="Palatino Linotype" w:hAnsi="Palatino Linotype"/>
      </w:rPr>
    </w:pPr>
    <w:r>
      <w:rPr>
        <w:noProof/>
      </w:rPr>
      <w:pict w14:anchorId="634C2E34">
        <v:shape id="PowerPlusWaterMarkObject20234158" o:spid="_x0000_s1027" type="#_x0000_t136" style="position:absolute;margin-left:0;margin-top:0;width:620.2pt;height:82.65pt;rotation:315;z-index:-251652096;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r w:rsidR="00B53290">
      <w:rPr>
        <w:rFonts w:ascii="Palatino Linotype" w:hAnsi="Palatino Linotype"/>
        <w:noProof/>
        <w:lang w:val="es-MX" w:eastAsia="es-MX"/>
      </w:rPr>
      <w:drawing>
        <wp:anchor distT="0" distB="0" distL="114300" distR="114300" simplePos="0" relativeHeight="251658240" behindDoc="1" locked="0" layoutInCell="1" allowOverlap="1" wp14:anchorId="46D381A4" wp14:editId="0AC9934B">
          <wp:simplePos x="0" y="0"/>
          <wp:positionH relativeFrom="column">
            <wp:posOffset>-631825</wp:posOffset>
          </wp:positionH>
          <wp:positionV relativeFrom="paragraph">
            <wp:posOffset>-357505</wp:posOffset>
          </wp:positionV>
          <wp:extent cx="7604125" cy="9903677"/>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67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D21AF">
      <w:rPr>
        <w:rFonts w:ascii="Palatino Linotype" w:hAnsi="Palatino Linotype"/>
      </w:rPr>
      <w:tab/>
    </w:r>
  </w:p>
  <w:p w14:paraId="0F9141D0" w14:textId="05149624" w:rsidR="00634485" w:rsidRDefault="006F30F8" w:rsidP="006F30F8">
    <w:pPr>
      <w:pStyle w:val="Encabezado"/>
      <w:tabs>
        <w:tab w:val="clear" w:pos="4252"/>
        <w:tab w:val="clear" w:pos="8504"/>
        <w:tab w:val="left" w:pos="2326"/>
      </w:tabs>
    </w:pPr>
    <w:r>
      <w:tab/>
    </w:r>
  </w:p>
  <w:p w14:paraId="01D08E3E" w14:textId="77777777" w:rsidR="006F30F8" w:rsidRDefault="006F30F8" w:rsidP="006F30F8">
    <w:pPr>
      <w:pStyle w:val="Encabezado"/>
      <w:tabs>
        <w:tab w:val="clear" w:pos="4252"/>
        <w:tab w:val="clear" w:pos="8504"/>
        <w:tab w:val="left" w:pos="2326"/>
      </w:tabs>
    </w:pPr>
  </w:p>
  <w:p w14:paraId="529674EB" w14:textId="77777777" w:rsidR="00634485" w:rsidRDefault="00634485" w:rsidP="00C80F8C">
    <w:pPr>
      <w:pStyle w:val="Encabezado"/>
      <w:tabs>
        <w:tab w:val="clear" w:pos="4252"/>
        <w:tab w:val="clear" w:pos="8504"/>
        <w:tab w:val="left" w:pos="2326"/>
      </w:tabs>
    </w:pPr>
  </w:p>
  <w:p w14:paraId="71104997" w14:textId="77777777" w:rsidR="00634485" w:rsidRDefault="00634485" w:rsidP="00C80F8C">
    <w:pPr>
      <w:pStyle w:val="Encabezado"/>
      <w:tabs>
        <w:tab w:val="clear" w:pos="4252"/>
        <w:tab w:val="clear" w:pos="8504"/>
        <w:tab w:val="left" w:pos="23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5106B" w14:textId="6EC0913B" w:rsidR="001112E6" w:rsidRDefault="00000000">
    <w:pPr>
      <w:pStyle w:val="Encabezado"/>
    </w:pPr>
    <w:r>
      <w:rPr>
        <w:noProof/>
      </w:rPr>
      <w:pict w14:anchorId="0C31D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6" o:spid="_x0000_s1025" type="#_x0000_t136" style="position:absolute;margin-left:0;margin-top:0;width:620.2pt;height:82.65pt;rotation:315;z-index:-251656192;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0536F"/>
    <w:multiLevelType w:val="multilevel"/>
    <w:tmpl w:val="3DF44C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957EE"/>
    <w:multiLevelType w:val="multilevel"/>
    <w:tmpl w:val="06DEC8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8446B2"/>
    <w:multiLevelType w:val="hybridMultilevel"/>
    <w:tmpl w:val="ABCC5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1E4B03"/>
    <w:multiLevelType w:val="multilevel"/>
    <w:tmpl w:val="D0FCE85C"/>
    <w:lvl w:ilvl="0">
      <w:start w:val="1"/>
      <w:numFmt w:val="bullet"/>
      <w:pStyle w:val="Listaconvietas3"/>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72451BE"/>
    <w:multiLevelType w:val="multilevel"/>
    <w:tmpl w:val="7CF6803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F74690"/>
    <w:multiLevelType w:val="hybridMultilevel"/>
    <w:tmpl w:val="83D2900A"/>
    <w:lvl w:ilvl="0" w:tplc="DBB656B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A40091A"/>
    <w:multiLevelType w:val="hybridMultilevel"/>
    <w:tmpl w:val="C2A6F4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B8E2722"/>
    <w:multiLevelType w:val="hybridMultilevel"/>
    <w:tmpl w:val="90E4DF46"/>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3C2BA9"/>
    <w:multiLevelType w:val="hybridMultilevel"/>
    <w:tmpl w:val="35F0A35A"/>
    <w:lvl w:ilvl="0" w:tplc="41E44494">
      <w:start w:val="1"/>
      <w:numFmt w:val="upperRoman"/>
      <w:lvlText w:val="%1."/>
      <w:lvlJc w:val="left"/>
      <w:pPr>
        <w:ind w:left="668" w:hanging="207"/>
        <w:jc w:val="right"/>
      </w:pPr>
      <w:rPr>
        <w:rFonts w:ascii="Palatino Linotype" w:eastAsia="Palatino Linotype" w:hAnsi="Palatino Linotype" w:cs="Palatino Linotype" w:hint="default"/>
        <w:b/>
        <w:bCs/>
        <w:w w:val="100"/>
        <w:sz w:val="24"/>
        <w:szCs w:val="24"/>
        <w:lang w:val="es-ES" w:eastAsia="en-US" w:bidi="ar-SA"/>
      </w:rPr>
    </w:lvl>
    <w:lvl w:ilvl="1" w:tplc="440258E8">
      <w:numFmt w:val="bullet"/>
      <w:lvlText w:val="•"/>
      <w:lvlJc w:val="left"/>
      <w:pPr>
        <w:ind w:left="1500" w:hanging="207"/>
      </w:pPr>
      <w:rPr>
        <w:rFonts w:hint="default"/>
        <w:lang w:val="es-ES" w:eastAsia="en-US" w:bidi="ar-SA"/>
      </w:rPr>
    </w:lvl>
    <w:lvl w:ilvl="2" w:tplc="203CFD4E">
      <w:numFmt w:val="bullet"/>
      <w:lvlText w:val="•"/>
      <w:lvlJc w:val="left"/>
      <w:pPr>
        <w:ind w:left="2340" w:hanging="207"/>
      </w:pPr>
      <w:rPr>
        <w:rFonts w:hint="default"/>
        <w:lang w:val="es-ES" w:eastAsia="en-US" w:bidi="ar-SA"/>
      </w:rPr>
    </w:lvl>
    <w:lvl w:ilvl="3" w:tplc="2AB820C0">
      <w:numFmt w:val="bullet"/>
      <w:lvlText w:val="•"/>
      <w:lvlJc w:val="left"/>
      <w:pPr>
        <w:ind w:left="3180" w:hanging="207"/>
      </w:pPr>
      <w:rPr>
        <w:rFonts w:hint="default"/>
        <w:lang w:val="es-ES" w:eastAsia="en-US" w:bidi="ar-SA"/>
      </w:rPr>
    </w:lvl>
    <w:lvl w:ilvl="4" w:tplc="D2FA4CD4">
      <w:numFmt w:val="bullet"/>
      <w:lvlText w:val="•"/>
      <w:lvlJc w:val="left"/>
      <w:pPr>
        <w:ind w:left="4020" w:hanging="207"/>
      </w:pPr>
      <w:rPr>
        <w:rFonts w:hint="default"/>
        <w:lang w:val="es-ES" w:eastAsia="en-US" w:bidi="ar-SA"/>
      </w:rPr>
    </w:lvl>
    <w:lvl w:ilvl="5" w:tplc="CB76FB7A">
      <w:numFmt w:val="bullet"/>
      <w:lvlText w:val="•"/>
      <w:lvlJc w:val="left"/>
      <w:pPr>
        <w:ind w:left="4860" w:hanging="207"/>
      </w:pPr>
      <w:rPr>
        <w:rFonts w:hint="default"/>
        <w:lang w:val="es-ES" w:eastAsia="en-US" w:bidi="ar-SA"/>
      </w:rPr>
    </w:lvl>
    <w:lvl w:ilvl="6" w:tplc="3B64F1A4">
      <w:numFmt w:val="bullet"/>
      <w:lvlText w:val="•"/>
      <w:lvlJc w:val="left"/>
      <w:pPr>
        <w:ind w:left="5700" w:hanging="207"/>
      </w:pPr>
      <w:rPr>
        <w:rFonts w:hint="default"/>
        <w:lang w:val="es-ES" w:eastAsia="en-US" w:bidi="ar-SA"/>
      </w:rPr>
    </w:lvl>
    <w:lvl w:ilvl="7" w:tplc="AEAEBFB2">
      <w:numFmt w:val="bullet"/>
      <w:lvlText w:val="•"/>
      <w:lvlJc w:val="left"/>
      <w:pPr>
        <w:ind w:left="6540" w:hanging="207"/>
      </w:pPr>
      <w:rPr>
        <w:rFonts w:hint="default"/>
        <w:lang w:val="es-ES" w:eastAsia="en-US" w:bidi="ar-SA"/>
      </w:rPr>
    </w:lvl>
    <w:lvl w:ilvl="8" w:tplc="A0322C94">
      <w:numFmt w:val="bullet"/>
      <w:lvlText w:val="•"/>
      <w:lvlJc w:val="left"/>
      <w:pPr>
        <w:ind w:left="7380" w:hanging="207"/>
      </w:pPr>
      <w:rPr>
        <w:rFonts w:hint="default"/>
        <w:lang w:val="es-ES" w:eastAsia="en-US" w:bidi="ar-SA"/>
      </w:rPr>
    </w:lvl>
  </w:abstractNum>
  <w:abstractNum w:abstractNumId="9" w15:restartNumberingAfterBreak="0">
    <w:nsid w:val="2E8673F3"/>
    <w:multiLevelType w:val="hybridMultilevel"/>
    <w:tmpl w:val="A83A3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2F3CAC"/>
    <w:multiLevelType w:val="multilevel"/>
    <w:tmpl w:val="83B6757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dstrike w:val="0"/>
        <w:u w:val="none"/>
        <w:effect w:val="none"/>
      </w:r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B06866"/>
    <w:multiLevelType w:val="multilevel"/>
    <w:tmpl w:val="C62E7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10510C"/>
    <w:multiLevelType w:val="hybridMultilevel"/>
    <w:tmpl w:val="A0BAAABA"/>
    <w:lvl w:ilvl="0" w:tplc="ABA677E8">
      <w:start w:val="1"/>
      <w:numFmt w:val="decimal"/>
      <w:lvlText w:val="%1."/>
      <w:lvlJc w:val="left"/>
      <w:pPr>
        <w:ind w:left="720" w:hanging="360"/>
      </w:pPr>
      <w:rPr>
        <w:rFonts w:ascii="Palatino Linotype" w:eastAsiaTheme="minorHAnsi" w:hAnsi="Palatino Linotype"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03544E9"/>
    <w:multiLevelType w:val="hybridMultilevel"/>
    <w:tmpl w:val="19DE9FCC"/>
    <w:lvl w:ilvl="0" w:tplc="022A4E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7202FA"/>
    <w:multiLevelType w:val="hybridMultilevel"/>
    <w:tmpl w:val="F65A62FC"/>
    <w:lvl w:ilvl="0" w:tplc="FCA01E7E">
      <w:start w:val="1"/>
      <w:numFmt w:val="decimal"/>
      <w:lvlText w:val="%1."/>
      <w:lvlJc w:val="left"/>
      <w:pPr>
        <w:ind w:left="502"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D050D4"/>
    <w:multiLevelType w:val="hybridMultilevel"/>
    <w:tmpl w:val="5082D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2F3D9A"/>
    <w:multiLevelType w:val="multilevel"/>
    <w:tmpl w:val="E79270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5FA6617"/>
    <w:multiLevelType w:val="hybridMultilevel"/>
    <w:tmpl w:val="969A0A4A"/>
    <w:lvl w:ilvl="0" w:tplc="5DFCE37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4058CA"/>
    <w:multiLevelType w:val="hybridMultilevel"/>
    <w:tmpl w:val="79B2033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4" w15:restartNumberingAfterBreak="0">
    <w:nsid w:val="6EF2122C"/>
    <w:multiLevelType w:val="hybridMultilevel"/>
    <w:tmpl w:val="0B46D1F6"/>
    <w:lvl w:ilvl="0" w:tplc="080A0015">
      <w:start w:val="6"/>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FC64EC3"/>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6" w15:restartNumberingAfterBreak="0">
    <w:nsid w:val="733F0354"/>
    <w:multiLevelType w:val="multilevel"/>
    <w:tmpl w:val="1C2E9BD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7" w15:restartNumberingAfterBreak="0">
    <w:nsid w:val="7506282F"/>
    <w:multiLevelType w:val="hybridMultilevel"/>
    <w:tmpl w:val="755246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5A50FB4"/>
    <w:multiLevelType w:val="hybridMultilevel"/>
    <w:tmpl w:val="4D7E3554"/>
    <w:lvl w:ilvl="0" w:tplc="52AAAC06">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E43C81"/>
    <w:multiLevelType w:val="hybridMultilevel"/>
    <w:tmpl w:val="CE9022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C495833"/>
    <w:multiLevelType w:val="hybridMultilevel"/>
    <w:tmpl w:val="BAFCD3C4"/>
    <w:lvl w:ilvl="0" w:tplc="877AF396">
      <w:start w:val="1"/>
      <w:numFmt w:val="decimal"/>
      <w:lvlText w:val="%1."/>
      <w:lvlJc w:val="left"/>
      <w:pPr>
        <w:ind w:left="102" w:hanging="708"/>
      </w:pPr>
      <w:rPr>
        <w:rFonts w:hint="default"/>
        <w:w w:val="100"/>
        <w:lang w:val="es-ES" w:eastAsia="en-US" w:bidi="ar-SA"/>
      </w:rPr>
    </w:lvl>
    <w:lvl w:ilvl="1" w:tplc="8D02E80A">
      <w:start w:val="1"/>
      <w:numFmt w:val="decimal"/>
      <w:lvlText w:val="%2."/>
      <w:lvlJc w:val="left"/>
      <w:pPr>
        <w:ind w:left="822" w:hanging="243"/>
      </w:pPr>
      <w:rPr>
        <w:rFonts w:hint="default"/>
        <w:i/>
        <w:iCs/>
        <w:w w:val="100"/>
        <w:lang w:val="es-ES" w:eastAsia="en-US" w:bidi="ar-SA"/>
      </w:rPr>
    </w:lvl>
    <w:lvl w:ilvl="2" w:tplc="473C4F98">
      <w:numFmt w:val="bullet"/>
      <w:lvlText w:val="•"/>
      <w:lvlJc w:val="left"/>
      <w:pPr>
        <w:ind w:left="1735" w:hanging="243"/>
      </w:pPr>
      <w:rPr>
        <w:rFonts w:hint="default"/>
        <w:lang w:val="es-ES" w:eastAsia="en-US" w:bidi="ar-SA"/>
      </w:rPr>
    </w:lvl>
    <w:lvl w:ilvl="3" w:tplc="EA8EF28A">
      <w:numFmt w:val="bullet"/>
      <w:lvlText w:val="•"/>
      <w:lvlJc w:val="left"/>
      <w:pPr>
        <w:ind w:left="2651" w:hanging="243"/>
      </w:pPr>
      <w:rPr>
        <w:rFonts w:hint="default"/>
        <w:lang w:val="es-ES" w:eastAsia="en-US" w:bidi="ar-SA"/>
      </w:rPr>
    </w:lvl>
    <w:lvl w:ilvl="4" w:tplc="217AAC02">
      <w:numFmt w:val="bullet"/>
      <w:lvlText w:val="•"/>
      <w:lvlJc w:val="left"/>
      <w:pPr>
        <w:ind w:left="3566" w:hanging="243"/>
      </w:pPr>
      <w:rPr>
        <w:rFonts w:hint="default"/>
        <w:lang w:val="es-ES" w:eastAsia="en-US" w:bidi="ar-SA"/>
      </w:rPr>
    </w:lvl>
    <w:lvl w:ilvl="5" w:tplc="61CA1260">
      <w:numFmt w:val="bullet"/>
      <w:lvlText w:val="•"/>
      <w:lvlJc w:val="left"/>
      <w:pPr>
        <w:ind w:left="4482" w:hanging="243"/>
      </w:pPr>
      <w:rPr>
        <w:rFonts w:hint="default"/>
        <w:lang w:val="es-ES" w:eastAsia="en-US" w:bidi="ar-SA"/>
      </w:rPr>
    </w:lvl>
    <w:lvl w:ilvl="6" w:tplc="5F0CA8B4">
      <w:numFmt w:val="bullet"/>
      <w:lvlText w:val="•"/>
      <w:lvlJc w:val="left"/>
      <w:pPr>
        <w:ind w:left="5397" w:hanging="243"/>
      </w:pPr>
      <w:rPr>
        <w:rFonts w:hint="default"/>
        <w:lang w:val="es-ES" w:eastAsia="en-US" w:bidi="ar-SA"/>
      </w:rPr>
    </w:lvl>
    <w:lvl w:ilvl="7" w:tplc="7256AF64">
      <w:numFmt w:val="bullet"/>
      <w:lvlText w:val="•"/>
      <w:lvlJc w:val="left"/>
      <w:pPr>
        <w:ind w:left="6313" w:hanging="243"/>
      </w:pPr>
      <w:rPr>
        <w:rFonts w:hint="default"/>
        <w:lang w:val="es-ES" w:eastAsia="en-US" w:bidi="ar-SA"/>
      </w:rPr>
    </w:lvl>
    <w:lvl w:ilvl="8" w:tplc="292E0FB8">
      <w:numFmt w:val="bullet"/>
      <w:lvlText w:val="•"/>
      <w:lvlJc w:val="left"/>
      <w:pPr>
        <w:ind w:left="7228" w:hanging="243"/>
      </w:pPr>
      <w:rPr>
        <w:rFonts w:hint="default"/>
        <w:lang w:val="es-ES" w:eastAsia="en-US" w:bidi="ar-SA"/>
      </w:rPr>
    </w:lvl>
  </w:abstractNum>
  <w:abstractNum w:abstractNumId="32" w15:restartNumberingAfterBreak="0">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04931336">
    <w:abstractNumId w:val="2"/>
  </w:num>
  <w:num w:numId="2" w16cid:durableId="924847828">
    <w:abstractNumId w:val="32"/>
  </w:num>
  <w:num w:numId="3" w16cid:durableId="81686231">
    <w:abstractNumId w:val="7"/>
  </w:num>
  <w:num w:numId="4" w16cid:durableId="1851947220">
    <w:abstractNumId w:val="12"/>
  </w:num>
  <w:num w:numId="5" w16cid:durableId="1550533968">
    <w:abstractNumId w:val="24"/>
  </w:num>
  <w:num w:numId="6" w16cid:durableId="2123915192">
    <w:abstractNumId w:val="21"/>
  </w:num>
  <w:num w:numId="7" w16cid:durableId="395594739">
    <w:abstractNumId w:val="17"/>
  </w:num>
  <w:num w:numId="8" w16cid:durableId="350880901">
    <w:abstractNumId w:val="28"/>
  </w:num>
  <w:num w:numId="9" w16cid:durableId="21172091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621733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79325481">
    <w:abstractNumId w:val="9"/>
  </w:num>
  <w:num w:numId="12" w16cid:durableId="802386416">
    <w:abstractNumId w:val="29"/>
  </w:num>
  <w:num w:numId="13" w16cid:durableId="16813935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8141412">
    <w:abstractNumId w:val="20"/>
  </w:num>
  <w:num w:numId="15" w16cid:durableId="255598513">
    <w:abstractNumId w:val="13"/>
  </w:num>
  <w:num w:numId="16" w16cid:durableId="6827545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70425389">
    <w:abstractNumId w:val="23"/>
  </w:num>
  <w:num w:numId="18" w16cid:durableId="1889029597">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476664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39172283">
    <w:abstractNumId w:val="15"/>
  </w:num>
  <w:num w:numId="21" w16cid:durableId="1276787320">
    <w:abstractNumId w:val="14"/>
  </w:num>
  <w:num w:numId="22" w16cid:durableId="206728928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098248">
    <w:abstractNumId w:val="6"/>
  </w:num>
  <w:num w:numId="24" w16cid:durableId="85661093">
    <w:abstractNumId w:val="3"/>
  </w:num>
  <w:num w:numId="25" w16cid:durableId="1638487212">
    <w:abstractNumId w:val="31"/>
  </w:num>
  <w:num w:numId="26" w16cid:durableId="1834835359">
    <w:abstractNumId w:val="8"/>
  </w:num>
  <w:num w:numId="27" w16cid:durableId="1113593086">
    <w:abstractNumId w:val="22"/>
  </w:num>
  <w:num w:numId="28" w16cid:durableId="442313385">
    <w:abstractNumId w:val="11"/>
  </w:num>
  <w:num w:numId="29" w16cid:durableId="127869122">
    <w:abstractNumId w:val="27"/>
  </w:num>
  <w:num w:numId="30" w16cid:durableId="221067372">
    <w:abstractNumId w:val="16"/>
  </w:num>
  <w:num w:numId="31" w16cid:durableId="1998994980">
    <w:abstractNumId w:val="0"/>
  </w:num>
  <w:num w:numId="32" w16cid:durableId="301037571">
    <w:abstractNumId w:val="18"/>
  </w:num>
  <w:num w:numId="33" w16cid:durableId="470743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551592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6120"/>
    <w:rsid w:val="00013AE3"/>
    <w:rsid w:val="00017FF7"/>
    <w:rsid w:val="0003360D"/>
    <w:rsid w:val="00043D11"/>
    <w:rsid w:val="00055D60"/>
    <w:rsid w:val="00060A6A"/>
    <w:rsid w:val="0008542A"/>
    <w:rsid w:val="000B37D9"/>
    <w:rsid w:val="000B3FFD"/>
    <w:rsid w:val="000C43E5"/>
    <w:rsid w:val="000C4453"/>
    <w:rsid w:val="000D656A"/>
    <w:rsid w:val="000E3A59"/>
    <w:rsid w:val="001112E6"/>
    <w:rsid w:val="00115E7A"/>
    <w:rsid w:val="00130CC9"/>
    <w:rsid w:val="00135555"/>
    <w:rsid w:val="001472F6"/>
    <w:rsid w:val="001503F9"/>
    <w:rsid w:val="00173CB8"/>
    <w:rsid w:val="0018216B"/>
    <w:rsid w:val="001B223B"/>
    <w:rsid w:val="001B3D11"/>
    <w:rsid w:val="001C7B07"/>
    <w:rsid w:val="001D21AF"/>
    <w:rsid w:val="00216C06"/>
    <w:rsid w:val="002378AC"/>
    <w:rsid w:val="00265F5A"/>
    <w:rsid w:val="00284217"/>
    <w:rsid w:val="00294490"/>
    <w:rsid w:val="002A4A91"/>
    <w:rsid w:val="002C344D"/>
    <w:rsid w:val="002D5B21"/>
    <w:rsid w:val="002E7D97"/>
    <w:rsid w:val="002F3130"/>
    <w:rsid w:val="00312863"/>
    <w:rsid w:val="0034391E"/>
    <w:rsid w:val="003D1CAB"/>
    <w:rsid w:val="003D1F47"/>
    <w:rsid w:val="003F528B"/>
    <w:rsid w:val="00411692"/>
    <w:rsid w:val="00430304"/>
    <w:rsid w:val="0043105B"/>
    <w:rsid w:val="00435FF9"/>
    <w:rsid w:val="004440FC"/>
    <w:rsid w:val="00445879"/>
    <w:rsid w:val="0047213D"/>
    <w:rsid w:val="004807CC"/>
    <w:rsid w:val="00481794"/>
    <w:rsid w:val="00484A47"/>
    <w:rsid w:val="004B2706"/>
    <w:rsid w:val="004D0A26"/>
    <w:rsid w:val="004D61EE"/>
    <w:rsid w:val="004E305D"/>
    <w:rsid w:val="004E7984"/>
    <w:rsid w:val="004F5E4D"/>
    <w:rsid w:val="0050281B"/>
    <w:rsid w:val="00502EE6"/>
    <w:rsid w:val="0050559A"/>
    <w:rsid w:val="00513782"/>
    <w:rsid w:val="00524594"/>
    <w:rsid w:val="00524DDD"/>
    <w:rsid w:val="00530898"/>
    <w:rsid w:val="00575235"/>
    <w:rsid w:val="005766FA"/>
    <w:rsid w:val="005C0271"/>
    <w:rsid w:val="005C481C"/>
    <w:rsid w:val="005C4ADA"/>
    <w:rsid w:val="005D1946"/>
    <w:rsid w:val="005F3A48"/>
    <w:rsid w:val="005F6DA3"/>
    <w:rsid w:val="00621357"/>
    <w:rsid w:val="00634485"/>
    <w:rsid w:val="0067340C"/>
    <w:rsid w:val="00677A69"/>
    <w:rsid w:val="0068101D"/>
    <w:rsid w:val="00681CBA"/>
    <w:rsid w:val="00685B0E"/>
    <w:rsid w:val="006877E5"/>
    <w:rsid w:val="00691DDD"/>
    <w:rsid w:val="006A7AB7"/>
    <w:rsid w:val="006B2674"/>
    <w:rsid w:val="006E4E6D"/>
    <w:rsid w:val="006E6389"/>
    <w:rsid w:val="006F0A6E"/>
    <w:rsid w:val="006F0B11"/>
    <w:rsid w:val="006F30F8"/>
    <w:rsid w:val="0071093C"/>
    <w:rsid w:val="00716498"/>
    <w:rsid w:val="00736C06"/>
    <w:rsid w:val="00760037"/>
    <w:rsid w:val="007617C8"/>
    <w:rsid w:val="00762C20"/>
    <w:rsid w:val="007A0EB7"/>
    <w:rsid w:val="007A1C9F"/>
    <w:rsid w:val="007B1CFA"/>
    <w:rsid w:val="007C766E"/>
    <w:rsid w:val="007D4251"/>
    <w:rsid w:val="007D46B1"/>
    <w:rsid w:val="007D49CE"/>
    <w:rsid w:val="007E2D4F"/>
    <w:rsid w:val="007E70F8"/>
    <w:rsid w:val="00820022"/>
    <w:rsid w:val="00820034"/>
    <w:rsid w:val="00861117"/>
    <w:rsid w:val="00861A61"/>
    <w:rsid w:val="00892AFC"/>
    <w:rsid w:val="00892E48"/>
    <w:rsid w:val="008A27BE"/>
    <w:rsid w:val="008B0A68"/>
    <w:rsid w:val="008D1526"/>
    <w:rsid w:val="008F67BC"/>
    <w:rsid w:val="00950BF3"/>
    <w:rsid w:val="00961995"/>
    <w:rsid w:val="00975EB9"/>
    <w:rsid w:val="009B48EA"/>
    <w:rsid w:val="009D1A83"/>
    <w:rsid w:val="009D4F8F"/>
    <w:rsid w:val="009D7CB3"/>
    <w:rsid w:val="009E155A"/>
    <w:rsid w:val="009F0D8D"/>
    <w:rsid w:val="00A16950"/>
    <w:rsid w:val="00A303B0"/>
    <w:rsid w:val="00A53363"/>
    <w:rsid w:val="00A610D3"/>
    <w:rsid w:val="00A74BB7"/>
    <w:rsid w:val="00A81140"/>
    <w:rsid w:val="00AB78CF"/>
    <w:rsid w:val="00AC0680"/>
    <w:rsid w:val="00AD05CA"/>
    <w:rsid w:val="00AE7763"/>
    <w:rsid w:val="00B014D8"/>
    <w:rsid w:val="00B05E5A"/>
    <w:rsid w:val="00B44639"/>
    <w:rsid w:val="00B53290"/>
    <w:rsid w:val="00B64CFB"/>
    <w:rsid w:val="00B703D7"/>
    <w:rsid w:val="00B7360E"/>
    <w:rsid w:val="00B81A90"/>
    <w:rsid w:val="00B868A5"/>
    <w:rsid w:val="00BB11DB"/>
    <w:rsid w:val="00BB2AD1"/>
    <w:rsid w:val="00BC1756"/>
    <w:rsid w:val="00BD07E6"/>
    <w:rsid w:val="00BD7483"/>
    <w:rsid w:val="00BF68F0"/>
    <w:rsid w:val="00BF6974"/>
    <w:rsid w:val="00C13A14"/>
    <w:rsid w:val="00C27236"/>
    <w:rsid w:val="00C342FB"/>
    <w:rsid w:val="00C51EA6"/>
    <w:rsid w:val="00C65950"/>
    <w:rsid w:val="00C75CBC"/>
    <w:rsid w:val="00C80F8C"/>
    <w:rsid w:val="00C85F1D"/>
    <w:rsid w:val="00C8760D"/>
    <w:rsid w:val="00C87990"/>
    <w:rsid w:val="00CB0D0E"/>
    <w:rsid w:val="00CD0317"/>
    <w:rsid w:val="00CD15EF"/>
    <w:rsid w:val="00CF3F65"/>
    <w:rsid w:val="00D03369"/>
    <w:rsid w:val="00D20156"/>
    <w:rsid w:val="00D36ABC"/>
    <w:rsid w:val="00D37C56"/>
    <w:rsid w:val="00D56BA0"/>
    <w:rsid w:val="00D56F70"/>
    <w:rsid w:val="00D96441"/>
    <w:rsid w:val="00DC2CB7"/>
    <w:rsid w:val="00DC3082"/>
    <w:rsid w:val="00DD20E8"/>
    <w:rsid w:val="00DD45AC"/>
    <w:rsid w:val="00DD5CD5"/>
    <w:rsid w:val="00DD7F67"/>
    <w:rsid w:val="00DE1629"/>
    <w:rsid w:val="00DE5C27"/>
    <w:rsid w:val="00E021AA"/>
    <w:rsid w:val="00E0691E"/>
    <w:rsid w:val="00E429BA"/>
    <w:rsid w:val="00EE3517"/>
    <w:rsid w:val="00EE4FCB"/>
    <w:rsid w:val="00F05A30"/>
    <w:rsid w:val="00F36BC4"/>
    <w:rsid w:val="00F614DA"/>
    <w:rsid w:val="00F717F4"/>
    <w:rsid w:val="00F75892"/>
    <w:rsid w:val="00F9546D"/>
    <w:rsid w:val="00FA1233"/>
    <w:rsid w:val="00FB48D6"/>
    <w:rsid w:val="00FC6C2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8CC70D"/>
  <w14:defaultImageDpi w14:val="330"/>
  <w15:docId w15:val="{5D8D9115-10DB-4B94-8BD1-9EA11293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CAB"/>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112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B1C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B1CF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2674"/>
    <w:pPr>
      <w:ind w:left="720"/>
      <w:contextualSpacing/>
    </w:pPr>
  </w:style>
  <w:style w:type="character" w:styleId="Hipervnculo">
    <w:name w:val="Hyperlink"/>
    <w:basedOn w:val="Fuentedeprrafopredeter"/>
    <w:uiPriority w:val="99"/>
    <w:unhideWhenUsed/>
    <w:rsid w:val="001112E6"/>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12E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112E6"/>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1112E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12E6"/>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1112E6"/>
    <w:rPr>
      <w:rFonts w:asciiTheme="majorHAnsi" w:eastAsiaTheme="majorEastAsia" w:hAnsiTheme="majorHAnsi" w:cstheme="majorBidi"/>
      <w:b/>
      <w:bCs/>
      <w:color w:val="365F91" w:themeColor="accent1" w:themeShade="BF"/>
      <w:sz w:val="28"/>
      <w:szCs w:val="28"/>
      <w:lang w:val="es-ES"/>
    </w:rPr>
  </w:style>
  <w:style w:type="paragraph" w:styleId="TtuloTDC">
    <w:name w:val="TOC Heading"/>
    <w:basedOn w:val="Ttulo1"/>
    <w:next w:val="Normal"/>
    <w:uiPriority w:val="39"/>
    <w:unhideWhenUsed/>
    <w:qFormat/>
    <w:rsid w:val="001112E6"/>
    <w:pPr>
      <w:spacing w:before="240" w:line="259" w:lineRule="auto"/>
      <w:outlineLvl w:val="9"/>
    </w:pPr>
    <w:rPr>
      <w:b w:val="0"/>
      <w:bCs w:val="0"/>
      <w:sz w:val="32"/>
      <w:szCs w:val="32"/>
      <w:lang w:val="es-MX" w:eastAsia="es-MX"/>
    </w:rPr>
  </w:style>
  <w:style w:type="paragraph" w:styleId="TDC1">
    <w:name w:val="toc 1"/>
    <w:basedOn w:val="Normal"/>
    <w:next w:val="Normal"/>
    <w:autoRedefine/>
    <w:uiPriority w:val="39"/>
    <w:unhideWhenUsed/>
    <w:rsid w:val="001112E6"/>
    <w:pPr>
      <w:spacing w:after="100" w:line="259" w:lineRule="auto"/>
    </w:pPr>
    <w:rPr>
      <w:rFonts w:asciiTheme="minorHAnsi" w:eastAsiaTheme="minorHAnsi" w:hAnsiTheme="minorHAnsi" w:cstheme="minorBidi"/>
      <w:sz w:val="22"/>
      <w:szCs w:val="22"/>
      <w:lang w:val="es-MX" w:eastAsia="en-US"/>
    </w:rPr>
  </w:style>
  <w:style w:type="paragraph" w:styleId="TDC3">
    <w:name w:val="toc 3"/>
    <w:basedOn w:val="Normal"/>
    <w:next w:val="Normal"/>
    <w:autoRedefine/>
    <w:uiPriority w:val="39"/>
    <w:unhideWhenUsed/>
    <w:rsid w:val="001112E6"/>
    <w:pPr>
      <w:spacing w:after="100" w:line="259" w:lineRule="auto"/>
      <w:ind w:left="440"/>
    </w:pPr>
    <w:rPr>
      <w:rFonts w:asciiTheme="minorHAnsi" w:eastAsiaTheme="minorEastAsia" w:hAnsiTheme="minorHAnsi"/>
      <w:sz w:val="22"/>
      <w:szCs w:val="22"/>
      <w:lang w:val="es-MX" w:eastAsia="es-MX"/>
    </w:rPr>
  </w:style>
  <w:style w:type="character" w:customStyle="1" w:styleId="Ttulo2Car">
    <w:name w:val="Título 2 Car"/>
    <w:basedOn w:val="Fuentedeprrafopredeter"/>
    <w:link w:val="Ttulo2"/>
    <w:uiPriority w:val="9"/>
    <w:semiHidden/>
    <w:rsid w:val="007B1CFA"/>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semiHidden/>
    <w:rsid w:val="007B1CFA"/>
    <w:rPr>
      <w:rFonts w:asciiTheme="majorHAnsi" w:eastAsiaTheme="majorEastAsia" w:hAnsiTheme="majorHAnsi" w:cstheme="majorBidi"/>
      <w:b/>
      <w:bCs/>
      <w:color w:val="4F81BD" w:themeColor="accent1"/>
      <w:lang w:val="es-ES"/>
    </w:rPr>
  </w:style>
  <w:style w:type="paragraph" w:styleId="NormalWeb">
    <w:name w:val="Normal (Web)"/>
    <w:basedOn w:val="Normal"/>
    <w:uiPriority w:val="99"/>
    <w:unhideWhenUsed/>
    <w:rsid w:val="007B1CFA"/>
    <w:pPr>
      <w:spacing w:before="100" w:beforeAutospacing="1" w:after="100" w:afterAutospacing="1"/>
    </w:pPr>
    <w:rPr>
      <w:rFonts w:eastAsiaTheme="minorEastAsia"/>
      <w:lang w:val="es-MX" w:eastAsia="es-MX"/>
    </w:rPr>
  </w:style>
  <w:style w:type="paragraph" w:customStyle="1" w:styleId="j">
    <w:name w:val="j"/>
    <w:basedOn w:val="Normal"/>
    <w:rsid w:val="007B1CFA"/>
    <w:pPr>
      <w:spacing w:before="100" w:beforeAutospacing="1" w:after="100" w:afterAutospacing="1"/>
    </w:pPr>
    <w:rPr>
      <w:rFonts w:eastAsiaTheme="minorHAnsi"/>
      <w:lang w:val="es-ES_tradnl" w:eastAsia="es-ES_tradnl"/>
    </w:rPr>
  </w:style>
  <w:style w:type="paragraph" w:styleId="TDC2">
    <w:name w:val="toc 2"/>
    <w:basedOn w:val="Normal"/>
    <w:next w:val="Normal"/>
    <w:autoRedefine/>
    <w:uiPriority w:val="39"/>
    <w:unhideWhenUsed/>
    <w:rsid w:val="007B1CFA"/>
    <w:pPr>
      <w:spacing w:after="100" w:line="259" w:lineRule="auto"/>
      <w:ind w:left="220"/>
    </w:pPr>
    <w:rPr>
      <w:rFonts w:asciiTheme="minorHAnsi" w:eastAsiaTheme="minorHAnsi" w:hAnsiTheme="minorHAnsi" w:cstheme="minorBidi"/>
      <w:sz w:val="22"/>
      <w:szCs w:val="22"/>
      <w:lang w:val="es-MX" w:eastAsia="en-US"/>
    </w:rPr>
  </w:style>
  <w:style w:type="character" w:customStyle="1" w:styleId="TextoCar">
    <w:name w:val="Texto Car"/>
    <w:link w:val="Texto"/>
    <w:locked/>
    <w:rsid w:val="007B1CFA"/>
    <w:rPr>
      <w:rFonts w:ascii="Arial" w:eastAsia="Times New Roman" w:hAnsi="Arial" w:cs="Arial"/>
      <w:sz w:val="18"/>
      <w:szCs w:val="20"/>
      <w:lang w:val="es-ES"/>
    </w:rPr>
  </w:style>
  <w:style w:type="paragraph" w:customStyle="1" w:styleId="Texto">
    <w:name w:val="Texto"/>
    <w:basedOn w:val="Normal"/>
    <w:link w:val="TextoCar"/>
    <w:rsid w:val="007B1CFA"/>
    <w:pPr>
      <w:spacing w:after="101" w:line="216" w:lineRule="exact"/>
      <w:ind w:firstLine="288"/>
      <w:jc w:val="both"/>
    </w:pPr>
    <w:rPr>
      <w:rFonts w:ascii="Arial" w:hAnsi="Arial" w:cs="Arial"/>
      <w:sz w:val="18"/>
      <w:szCs w:val="20"/>
    </w:rPr>
  </w:style>
  <w:style w:type="character" w:customStyle="1" w:styleId="vidspn">
    <w:name w:val="vid_spn"/>
    <w:basedOn w:val="Fuentedeprrafopredeter"/>
    <w:rsid w:val="007B1CFA"/>
  </w:style>
  <w:style w:type="character" w:styleId="Textoennegrita">
    <w:name w:val="Strong"/>
    <w:basedOn w:val="Fuentedeprrafopredeter"/>
    <w:uiPriority w:val="22"/>
    <w:qFormat/>
    <w:rsid w:val="007B1CFA"/>
    <w:rPr>
      <w:b/>
      <w:bCs/>
    </w:rPr>
  </w:style>
  <w:style w:type="character" w:styleId="nfasis">
    <w:name w:val="Emphasis"/>
    <w:basedOn w:val="Fuentedeprrafopredeter"/>
    <w:uiPriority w:val="20"/>
    <w:qFormat/>
    <w:rsid w:val="007B1CFA"/>
    <w:rPr>
      <w:i/>
      <w:iCs/>
    </w:rPr>
  </w:style>
  <w:style w:type="paragraph" w:customStyle="1" w:styleId="Default">
    <w:name w:val="Default"/>
    <w:rsid w:val="0003360D"/>
    <w:pPr>
      <w:autoSpaceDE w:val="0"/>
      <w:autoSpaceDN w:val="0"/>
      <w:adjustRightInd w:val="0"/>
    </w:pPr>
    <w:rPr>
      <w:rFonts w:ascii="Palatino Linotype" w:hAnsi="Palatino Linotype" w:cs="Palatino Linotype"/>
      <w:color w:val="000000"/>
      <w:lang w:val="es-MX"/>
    </w:rPr>
  </w:style>
  <w:style w:type="table" w:styleId="Tablaconcuadrcula">
    <w:name w:val="Table Grid"/>
    <w:basedOn w:val="Tablanormal"/>
    <w:uiPriority w:val="39"/>
    <w:rsid w:val="004807C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115E7A"/>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115E7A"/>
    <w:rPr>
      <w:rFonts w:ascii="Times New Roman" w:eastAsia="Times New Roman" w:hAnsi="Times New Roman" w:cs="Times New Roman"/>
      <w:lang w:val="es-MX"/>
    </w:rPr>
  </w:style>
  <w:style w:type="paragraph" w:styleId="Listaconvietas3">
    <w:name w:val="List Bullet 3"/>
    <w:basedOn w:val="Normal"/>
    <w:uiPriority w:val="99"/>
    <w:semiHidden/>
    <w:unhideWhenUsed/>
    <w:rsid w:val="00F36BC4"/>
    <w:pPr>
      <w:numPr>
        <w:numId w:val="24"/>
      </w:numPr>
      <w:contextualSpacing/>
    </w:pPr>
    <w:rPr>
      <w:lang w:eastAsia="es-MX"/>
    </w:rPr>
  </w:style>
  <w:style w:type="paragraph" w:styleId="Cita">
    <w:name w:val="Quote"/>
    <w:basedOn w:val="Normal"/>
    <w:next w:val="Normal"/>
    <w:link w:val="CitaCar"/>
    <w:uiPriority w:val="29"/>
    <w:qFormat/>
    <w:rsid w:val="006F0B11"/>
    <w:pPr>
      <w:spacing w:before="200" w:after="160"/>
      <w:ind w:left="864" w:right="864"/>
      <w:jc w:val="center"/>
    </w:pPr>
    <w:rPr>
      <w:i/>
      <w:iCs/>
      <w:color w:val="404040" w:themeColor="text1" w:themeTint="BF"/>
      <w:lang w:val="es-MX" w:eastAsia="es-MX"/>
    </w:rPr>
  </w:style>
  <w:style w:type="character" w:customStyle="1" w:styleId="CitaCar">
    <w:name w:val="Cita Car"/>
    <w:basedOn w:val="Fuentedeprrafopredeter"/>
    <w:link w:val="Cita"/>
    <w:uiPriority w:val="29"/>
    <w:rsid w:val="006F0B11"/>
    <w:rPr>
      <w:rFonts w:ascii="Times New Roman" w:eastAsia="Times New Roman" w:hAnsi="Times New Roman" w:cs="Times New Roman"/>
      <w:i/>
      <w:iCs/>
      <w:color w:val="404040" w:themeColor="text1" w:themeTint="BF"/>
      <w:lang w:val="es-MX" w:eastAsia="es-MX"/>
    </w:rPr>
  </w:style>
  <w:style w:type="table" w:customStyle="1" w:styleId="Tablaconcuadrcula1">
    <w:name w:val="Tabla con cuadrícula1"/>
    <w:basedOn w:val="Tablanormal"/>
    <w:uiPriority w:val="59"/>
    <w:rsid w:val="00950B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7050">
      <w:bodyDiv w:val="1"/>
      <w:marLeft w:val="0"/>
      <w:marRight w:val="0"/>
      <w:marTop w:val="0"/>
      <w:marBottom w:val="0"/>
      <w:divBdr>
        <w:top w:val="none" w:sz="0" w:space="0" w:color="auto"/>
        <w:left w:val="none" w:sz="0" w:space="0" w:color="auto"/>
        <w:bottom w:val="none" w:sz="0" w:space="0" w:color="auto"/>
        <w:right w:val="none" w:sz="0" w:space="0" w:color="auto"/>
      </w:divBdr>
    </w:div>
    <w:div w:id="76293533">
      <w:bodyDiv w:val="1"/>
      <w:marLeft w:val="0"/>
      <w:marRight w:val="0"/>
      <w:marTop w:val="0"/>
      <w:marBottom w:val="0"/>
      <w:divBdr>
        <w:top w:val="none" w:sz="0" w:space="0" w:color="auto"/>
        <w:left w:val="none" w:sz="0" w:space="0" w:color="auto"/>
        <w:bottom w:val="none" w:sz="0" w:space="0" w:color="auto"/>
        <w:right w:val="none" w:sz="0" w:space="0" w:color="auto"/>
      </w:divBdr>
    </w:div>
    <w:div w:id="119570351">
      <w:bodyDiv w:val="1"/>
      <w:marLeft w:val="0"/>
      <w:marRight w:val="0"/>
      <w:marTop w:val="0"/>
      <w:marBottom w:val="0"/>
      <w:divBdr>
        <w:top w:val="none" w:sz="0" w:space="0" w:color="auto"/>
        <w:left w:val="none" w:sz="0" w:space="0" w:color="auto"/>
        <w:bottom w:val="none" w:sz="0" w:space="0" w:color="auto"/>
        <w:right w:val="none" w:sz="0" w:space="0" w:color="auto"/>
      </w:divBdr>
    </w:div>
    <w:div w:id="142821021">
      <w:bodyDiv w:val="1"/>
      <w:marLeft w:val="0"/>
      <w:marRight w:val="0"/>
      <w:marTop w:val="0"/>
      <w:marBottom w:val="0"/>
      <w:divBdr>
        <w:top w:val="none" w:sz="0" w:space="0" w:color="auto"/>
        <w:left w:val="none" w:sz="0" w:space="0" w:color="auto"/>
        <w:bottom w:val="none" w:sz="0" w:space="0" w:color="auto"/>
        <w:right w:val="none" w:sz="0" w:space="0" w:color="auto"/>
      </w:divBdr>
    </w:div>
    <w:div w:id="206575077">
      <w:bodyDiv w:val="1"/>
      <w:marLeft w:val="0"/>
      <w:marRight w:val="0"/>
      <w:marTop w:val="0"/>
      <w:marBottom w:val="0"/>
      <w:divBdr>
        <w:top w:val="none" w:sz="0" w:space="0" w:color="auto"/>
        <w:left w:val="none" w:sz="0" w:space="0" w:color="auto"/>
        <w:bottom w:val="none" w:sz="0" w:space="0" w:color="auto"/>
        <w:right w:val="none" w:sz="0" w:space="0" w:color="auto"/>
      </w:divBdr>
    </w:div>
    <w:div w:id="242028167">
      <w:bodyDiv w:val="1"/>
      <w:marLeft w:val="0"/>
      <w:marRight w:val="0"/>
      <w:marTop w:val="0"/>
      <w:marBottom w:val="0"/>
      <w:divBdr>
        <w:top w:val="none" w:sz="0" w:space="0" w:color="auto"/>
        <w:left w:val="none" w:sz="0" w:space="0" w:color="auto"/>
        <w:bottom w:val="none" w:sz="0" w:space="0" w:color="auto"/>
        <w:right w:val="none" w:sz="0" w:space="0" w:color="auto"/>
      </w:divBdr>
    </w:div>
    <w:div w:id="299120270">
      <w:bodyDiv w:val="1"/>
      <w:marLeft w:val="0"/>
      <w:marRight w:val="0"/>
      <w:marTop w:val="0"/>
      <w:marBottom w:val="0"/>
      <w:divBdr>
        <w:top w:val="none" w:sz="0" w:space="0" w:color="auto"/>
        <w:left w:val="none" w:sz="0" w:space="0" w:color="auto"/>
        <w:bottom w:val="none" w:sz="0" w:space="0" w:color="auto"/>
        <w:right w:val="none" w:sz="0" w:space="0" w:color="auto"/>
      </w:divBdr>
    </w:div>
    <w:div w:id="311371819">
      <w:bodyDiv w:val="1"/>
      <w:marLeft w:val="0"/>
      <w:marRight w:val="0"/>
      <w:marTop w:val="0"/>
      <w:marBottom w:val="0"/>
      <w:divBdr>
        <w:top w:val="none" w:sz="0" w:space="0" w:color="auto"/>
        <w:left w:val="none" w:sz="0" w:space="0" w:color="auto"/>
        <w:bottom w:val="none" w:sz="0" w:space="0" w:color="auto"/>
        <w:right w:val="none" w:sz="0" w:space="0" w:color="auto"/>
      </w:divBdr>
    </w:div>
    <w:div w:id="327253033">
      <w:bodyDiv w:val="1"/>
      <w:marLeft w:val="0"/>
      <w:marRight w:val="0"/>
      <w:marTop w:val="0"/>
      <w:marBottom w:val="0"/>
      <w:divBdr>
        <w:top w:val="none" w:sz="0" w:space="0" w:color="auto"/>
        <w:left w:val="none" w:sz="0" w:space="0" w:color="auto"/>
        <w:bottom w:val="none" w:sz="0" w:space="0" w:color="auto"/>
        <w:right w:val="none" w:sz="0" w:space="0" w:color="auto"/>
      </w:divBdr>
    </w:div>
    <w:div w:id="361832400">
      <w:bodyDiv w:val="1"/>
      <w:marLeft w:val="0"/>
      <w:marRight w:val="0"/>
      <w:marTop w:val="0"/>
      <w:marBottom w:val="0"/>
      <w:divBdr>
        <w:top w:val="none" w:sz="0" w:space="0" w:color="auto"/>
        <w:left w:val="none" w:sz="0" w:space="0" w:color="auto"/>
        <w:bottom w:val="none" w:sz="0" w:space="0" w:color="auto"/>
        <w:right w:val="none" w:sz="0" w:space="0" w:color="auto"/>
      </w:divBdr>
    </w:div>
    <w:div w:id="373579568">
      <w:bodyDiv w:val="1"/>
      <w:marLeft w:val="0"/>
      <w:marRight w:val="0"/>
      <w:marTop w:val="0"/>
      <w:marBottom w:val="0"/>
      <w:divBdr>
        <w:top w:val="none" w:sz="0" w:space="0" w:color="auto"/>
        <w:left w:val="none" w:sz="0" w:space="0" w:color="auto"/>
        <w:bottom w:val="none" w:sz="0" w:space="0" w:color="auto"/>
        <w:right w:val="none" w:sz="0" w:space="0" w:color="auto"/>
      </w:divBdr>
    </w:div>
    <w:div w:id="392193985">
      <w:bodyDiv w:val="1"/>
      <w:marLeft w:val="0"/>
      <w:marRight w:val="0"/>
      <w:marTop w:val="0"/>
      <w:marBottom w:val="0"/>
      <w:divBdr>
        <w:top w:val="none" w:sz="0" w:space="0" w:color="auto"/>
        <w:left w:val="none" w:sz="0" w:space="0" w:color="auto"/>
        <w:bottom w:val="none" w:sz="0" w:space="0" w:color="auto"/>
        <w:right w:val="none" w:sz="0" w:space="0" w:color="auto"/>
      </w:divBdr>
    </w:div>
    <w:div w:id="400182332">
      <w:bodyDiv w:val="1"/>
      <w:marLeft w:val="0"/>
      <w:marRight w:val="0"/>
      <w:marTop w:val="0"/>
      <w:marBottom w:val="0"/>
      <w:divBdr>
        <w:top w:val="none" w:sz="0" w:space="0" w:color="auto"/>
        <w:left w:val="none" w:sz="0" w:space="0" w:color="auto"/>
        <w:bottom w:val="none" w:sz="0" w:space="0" w:color="auto"/>
        <w:right w:val="none" w:sz="0" w:space="0" w:color="auto"/>
      </w:divBdr>
    </w:div>
    <w:div w:id="463541974">
      <w:bodyDiv w:val="1"/>
      <w:marLeft w:val="0"/>
      <w:marRight w:val="0"/>
      <w:marTop w:val="0"/>
      <w:marBottom w:val="0"/>
      <w:divBdr>
        <w:top w:val="none" w:sz="0" w:space="0" w:color="auto"/>
        <w:left w:val="none" w:sz="0" w:space="0" w:color="auto"/>
        <w:bottom w:val="none" w:sz="0" w:space="0" w:color="auto"/>
        <w:right w:val="none" w:sz="0" w:space="0" w:color="auto"/>
      </w:divBdr>
    </w:div>
    <w:div w:id="481384978">
      <w:bodyDiv w:val="1"/>
      <w:marLeft w:val="0"/>
      <w:marRight w:val="0"/>
      <w:marTop w:val="0"/>
      <w:marBottom w:val="0"/>
      <w:divBdr>
        <w:top w:val="none" w:sz="0" w:space="0" w:color="auto"/>
        <w:left w:val="none" w:sz="0" w:space="0" w:color="auto"/>
        <w:bottom w:val="none" w:sz="0" w:space="0" w:color="auto"/>
        <w:right w:val="none" w:sz="0" w:space="0" w:color="auto"/>
      </w:divBdr>
    </w:div>
    <w:div w:id="534274798">
      <w:bodyDiv w:val="1"/>
      <w:marLeft w:val="0"/>
      <w:marRight w:val="0"/>
      <w:marTop w:val="0"/>
      <w:marBottom w:val="0"/>
      <w:divBdr>
        <w:top w:val="none" w:sz="0" w:space="0" w:color="auto"/>
        <w:left w:val="none" w:sz="0" w:space="0" w:color="auto"/>
        <w:bottom w:val="none" w:sz="0" w:space="0" w:color="auto"/>
        <w:right w:val="none" w:sz="0" w:space="0" w:color="auto"/>
      </w:divBdr>
    </w:div>
    <w:div w:id="552469227">
      <w:bodyDiv w:val="1"/>
      <w:marLeft w:val="0"/>
      <w:marRight w:val="0"/>
      <w:marTop w:val="0"/>
      <w:marBottom w:val="0"/>
      <w:divBdr>
        <w:top w:val="none" w:sz="0" w:space="0" w:color="auto"/>
        <w:left w:val="none" w:sz="0" w:space="0" w:color="auto"/>
        <w:bottom w:val="none" w:sz="0" w:space="0" w:color="auto"/>
        <w:right w:val="none" w:sz="0" w:space="0" w:color="auto"/>
      </w:divBdr>
    </w:div>
    <w:div w:id="564536366">
      <w:bodyDiv w:val="1"/>
      <w:marLeft w:val="0"/>
      <w:marRight w:val="0"/>
      <w:marTop w:val="0"/>
      <w:marBottom w:val="0"/>
      <w:divBdr>
        <w:top w:val="none" w:sz="0" w:space="0" w:color="auto"/>
        <w:left w:val="none" w:sz="0" w:space="0" w:color="auto"/>
        <w:bottom w:val="none" w:sz="0" w:space="0" w:color="auto"/>
        <w:right w:val="none" w:sz="0" w:space="0" w:color="auto"/>
      </w:divBdr>
    </w:div>
    <w:div w:id="671686249">
      <w:bodyDiv w:val="1"/>
      <w:marLeft w:val="0"/>
      <w:marRight w:val="0"/>
      <w:marTop w:val="0"/>
      <w:marBottom w:val="0"/>
      <w:divBdr>
        <w:top w:val="none" w:sz="0" w:space="0" w:color="auto"/>
        <w:left w:val="none" w:sz="0" w:space="0" w:color="auto"/>
        <w:bottom w:val="none" w:sz="0" w:space="0" w:color="auto"/>
        <w:right w:val="none" w:sz="0" w:space="0" w:color="auto"/>
      </w:divBdr>
    </w:div>
    <w:div w:id="721834382">
      <w:bodyDiv w:val="1"/>
      <w:marLeft w:val="0"/>
      <w:marRight w:val="0"/>
      <w:marTop w:val="0"/>
      <w:marBottom w:val="0"/>
      <w:divBdr>
        <w:top w:val="none" w:sz="0" w:space="0" w:color="auto"/>
        <w:left w:val="none" w:sz="0" w:space="0" w:color="auto"/>
        <w:bottom w:val="none" w:sz="0" w:space="0" w:color="auto"/>
        <w:right w:val="none" w:sz="0" w:space="0" w:color="auto"/>
      </w:divBdr>
    </w:div>
    <w:div w:id="753092532">
      <w:bodyDiv w:val="1"/>
      <w:marLeft w:val="0"/>
      <w:marRight w:val="0"/>
      <w:marTop w:val="0"/>
      <w:marBottom w:val="0"/>
      <w:divBdr>
        <w:top w:val="none" w:sz="0" w:space="0" w:color="auto"/>
        <w:left w:val="none" w:sz="0" w:space="0" w:color="auto"/>
        <w:bottom w:val="none" w:sz="0" w:space="0" w:color="auto"/>
        <w:right w:val="none" w:sz="0" w:space="0" w:color="auto"/>
      </w:divBdr>
    </w:div>
    <w:div w:id="816072119">
      <w:bodyDiv w:val="1"/>
      <w:marLeft w:val="0"/>
      <w:marRight w:val="0"/>
      <w:marTop w:val="0"/>
      <w:marBottom w:val="0"/>
      <w:divBdr>
        <w:top w:val="none" w:sz="0" w:space="0" w:color="auto"/>
        <w:left w:val="none" w:sz="0" w:space="0" w:color="auto"/>
        <w:bottom w:val="none" w:sz="0" w:space="0" w:color="auto"/>
        <w:right w:val="none" w:sz="0" w:space="0" w:color="auto"/>
      </w:divBdr>
    </w:div>
    <w:div w:id="823274287">
      <w:bodyDiv w:val="1"/>
      <w:marLeft w:val="0"/>
      <w:marRight w:val="0"/>
      <w:marTop w:val="0"/>
      <w:marBottom w:val="0"/>
      <w:divBdr>
        <w:top w:val="none" w:sz="0" w:space="0" w:color="auto"/>
        <w:left w:val="none" w:sz="0" w:space="0" w:color="auto"/>
        <w:bottom w:val="none" w:sz="0" w:space="0" w:color="auto"/>
        <w:right w:val="none" w:sz="0" w:space="0" w:color="auto"/>
      </w:divBdr>
    </w:div>
    <w:div w:id="885215815">
      <w:bodyDiv w:val="1"/>
      <w:marLeft w:val="0"/>
      <w:marRight w:val="0"/>
      <w:marTop w:val="0"/>
      <w:marBottom w:val="0"/>
      <w:divBdr>
        <w:top w:val="none" w:sz="0" w:space="0" w:color="auto"/>
        <w:left w:val="none" w:sz="0" w:space="0" w:color="auto"/>
        <w:bottom w:val="none" w:sz="0" w:space="0" w:color="auto"/>
        <w:right w:val="none" w:sz="0" w:space="0" w:color="auto"/>
      </w:divBdr>
    </w:div>
    <w:div w:id="890535256">
      <w:bodyDiv w:val="1"/>
      <w:marLeft w:val="0"/>
      <w:marRight w:val="0"/>
      <w:marTop w:val="0"/>
      <w:marBottom w:val="0"/>
      <w:divBdr>
        <w:top w:val="none" w:sz="0" w:space="0" w:color="auto"/>
        <w:left w:val="none" w:sz="0" w:space="0" w:color="auto"/>
        <w:bottom w:val="none" w:sz="0" w:space="0" w:color="auto"/>
        <w:right w:val="none" w:sz="0" w:space="0" w:color="auto"/>
      </w:divBdr>
    </w:div>
    <w:div w:id="922832533">
      <w:bodyDiv w:val="1"/>
      <w:marLeft w:val="0"/>
      <w:marRight w:val="0"/>
      <w:marTop w:val="0"/>
      <w:marBottom w:val="0"/>
      <w:divBdr>
        <w:top w:val="none" w:sz="0" w:space="0" w:color="auto"/>
        <w:left w:val="none" w:sz="0" w:space="0" w:color="auto"/>
        <w:bottom w:val="none" w:sz="0" w:space="0" w:color="auto"/>
        <w:right w:val="none" w:sz="0" w:space="0" w:color="auto"/>
      </w:divBdr>
    </w:div>
    <w:div w:id="969363516">
      <w:bodyDiv w:val="1"/>
      <w:marLeft w:val="0"/>
      <w:marRight w:val="0"/>
      <w:marTop w:val="0"/>
      <w:marBottom w:val="0"/>
      <w:divBdr>
        <w:top w:val="none" w:sz="0" w:space="0" w:color="auto"/>
        <w:left w:val="none" w:sz="0" w:space="0" w:color="auto"/>
        <w:bottom w:val="none" w:sz="0" w:space="0" w:color="auto"/>
        <w:right w:val="none" w:sz="0" w:space="0" w:color="auto"/>
      </w:divBdr>
    </w:div>
    <w:div w:id="973560042">
      <w:bodyDiv w:val="1"/>
      <w:marLeft w:val="0"/>
      <w:marRight w:val="0"/>
      <w:marTop w:val="0"/>
      <w:marBottom w:val="0"/>
      <w:divBdr>
        <w:top w:val="none" w:sz="0" w:space="0" w:color="auto"/>
        <w:left w:val="none" w:sz="0" w:space="0" w:color="auto"/>
        <w:bottom w:val="none" w:sz="0" w:space="0" w:color="auto"/>
        <w:right w:val="none" w:sz="0" w:space="0" w:color="auto"/>
      </w:divBdr>
    </w:div>
    <w:div w:id="993292592">
      <w:bodyDiv w:val="1"/>
      <w:marLeft w:val="0"/>
      <w:marRight w:val="0"/>
      <w:marTop w:val="0"/>
      <w:marBottom w:val="0"/>
      <w:divBdr>
        <w:top w:val="none" w:sz="0" w:space="0" w:color="auto"/>
        <w:left w:val="none" w:sz="0" w:space="0" w:color="auto"/>
        <w:bottom w:val="none" w:sz="0" w:space="0" w:color="auto"/>
        <w:right w:val="none" w:sz="0" w:space="0" w:color="auto"/>
      </w:divBdr>
    </w:div>
    <w:div w:id="1060249741">
      <w:bodyDiv w:val="1"/>
      <w:marLeft w:val="0"/>
      <w:marRight w:val="0"/>
      <w:marTop w:val="0"/>
      <w:marBottom w:val="0"/>
      <w:divBdr>
        <w:top w:val="none" w:sz="0" w:space="0" w:color="auto"/>
        <w:left w:val="none" w:sz="0" w:space="0" w:color="auto"/>
        <w:bottom w:val="none" w:sz="0" w:space="0" w:color="auto"/>
        <w:right w:val="none" w:sz="0" w:space="0" w:color="auto"/>
      </w:divBdr>
    </w:div>
    <w:div w:id="1088818010">
      <w:bodyDiv w:val="1"/>
      <w:marLeft w:val="0"/>
      <w:marRight w:val="0"/>
      <w:marTop w:val="0"/>
      <w:marBottom w:val="0"/>
      <w:divBdr>
        <w:top w:val="none" w:sz="0" w:space="0" w:color="auto"/>
        <w:left w:val="none" w:sz="0" w:space="0" w:color="auto"/>
        <w:bottom w:val="none" w:sz="0" w:space="0" w:color="auto"/>
        <w:right w:val="none" w:sz="0" w:space="0" w:color="auto"/>
      </w:divBdr>
    </w:div>
    <w:div w:id="1092239606">
      <w:bodyDiv w:val="1"/>
      <w:marLeft w:val="0"/>
      <w:marRight w:val="0"/>
      <w:marTop w:val="0"/>
      <w:marBottom w:val="0"/>
      <w:divBdr>
        <w:top w:val="none" w:sz="0" w:space="0" w:color="auto"/>
        <w:left w:val="none" w:sz="0" w:space="0" w:color="auto"/>
        <w:bottom w:val="none" w:sz="0" w:space="0" w:color="auto"/>
        <w:right w:val="none" w:sz="0" w:space="0" w:color="auto"/>
      </w:divBdr>
    </w:div>
    <w:div w:id="1115322050">
      <w:bodyDiv w:val="1"/>
      <w:marLeft w:val="0"/>
      <w:marRight w:val="0"/>
      <w:marTop w:val="0"/>
      <w:marBottom w:val="0"/>
      <w:divBdr>
        <w:top w:val="none" w:sz="0" w:space="0" w:color="auto"/>
        <w:left w:val="none" w:sz="0" w:space="0" w:color="auto"/>
        <w:bottom w:val="none" w:sz="0" w:space="0" w:color="auto"/>
        <w:right w:val="none" w:sz="0" w:space="0" w:color="auto"/>
      </w:divBdr>
    </w:div>
    <w:div w:id="1121193278">
      <w:bodyDiv w:val="1"/>
      <w:marLeft w:val="0"/>
      <w:marRight w:val="0"/>
      <w:marTop w:val="0"/>
      <w:marBottom w:val="0"/>
      <w:divBdr>
        <w:top w:val="none" w:sz="0" w:space="0" w:color="auto"/>
        <w:left w:val="none" w:sz="0" w:space="0" w:color="auto"/>
        <w:bottom w:val="none" w:sz="0" w:space="0" w:color="auto"/>
        <w:right w:val="none" w:sz="0" w:space="0" w:color="auto"/>
      </w:divBdr>
    </w:div>
    <w:div w:id="1133601260">
      <w:bodyDiv w:val="1"/>
      <w:marLeft w:val="0"/>
      <w:marRight w:val="0"/>
      <w:marTop w:val="0"/>
      <w:marBottom w:val="0"/>
      <w:divBdr>
        <w:top w:val="none" w:sz="0" w:space="0" w:color="auto"/>
        <w:left w:val="none" w:sz="0" w:space="0" w:color="auto"/>
        <w:bottom w:val="none" w:sz="0" w:space="0" w:color="auto"/>
        <w:right w:val="none" w:sz="0" w:space="0" w:color="auto"/>
      </w:divBdr>
    </w:div>
    <w:div w:id="1146240650">
      <w:bodyDiv w:val="1"/>
      <w:marLeft w:val="0"/>
      <w:marRight w:val="0"/>
      <w:marTop w:val="0"/>
      <w:marBottom w:val="0"/>
      <w:divBdr>
        <w:top w:val="none" w:sz="0" w:space="0" w:color="auto"/>
        <w:left w:val="none" w:sz="0" w:space="0" w:color="auto"/>
        <w:bottom w:val="none" w:sz="0" w:space="0" w:color="auto"/>
        <w:right w:val="none" w:sz="0" w:space="0" w:color="auto"/>
      </w:divBdr>
    </w:div>
    <w:div w:id="1224216438">
      <w:bodyDiv w:val="1"/>
      <w:marLeft w:val="0"/>
      <w:marRight w:val="0"/>
      <w:marTop w:val="0"/>
      <w:marBottom w:val="0"/>
      <w:divBdr>
        <w:top w:val="none" w:sz="0" w:space="0" w:color="auto"/>
        <w:left w:val="none" w:sz="0" w:space="0" w:color="auto"/>
        <w:bottom w:val="none" w:sz="0" w:space="0" w:color="auto"/>
        <w:right w:val="none" w:sz="0" w:space="0" w:color="auto"/>
      </w:divBdr>
    </w:div>
    <w:div w:id="1235168649">
      <w:bodyDiv w:val="1"/>
      <w:marLeft w:val="0"/>
      <w:marRight w:val="0"/>
      <w:marTop w:val="0"/>
      <w:marBottom w:val="0"/>
      <w:divBdr>
        <w:top w:val="none" w:sz="0" w:space="0" w:color="auto"/>
        <w:left w:val="none" w:sz="0" w:space="0" w:color="auto"/>
        <w:bottom w:val="none" w:sz="0" w:space="0" w:color="auto"/>
        <w:right w:val="none" w:sz="0" w:space="0" w:color="auto"/>
      </w:divBdr>
    </w:div>
    <w:div w:id="1240945566">
      <w:bodyDiv w:val="1"/>
      <w:marLeft w:val="0"/>
      <w:marRight w:val="0"/>
      <w:marTop w:val="0"/>
      <w:marBottom w:val="0"/>
      <w:divBdr>
        <w:top w:val="none" w:sz="0" w:space="0" w:color="auto"/>
        <w:left w:val="none" w:sz="0" w:space="0" w:color="auto"/>
        <w:bottom w:val="none" w:sz="0" w:space="0" w:color="auto"/>
        <w:right w:val="none" w:sz="0" w:space="0" w:color="auto"/>
      </w:divBdr>
    </w:div>
    <w:div w:id="1264724092">
      <w:bodyDiv w:val="1"/>
      <w:marLeft w:val="0"/>
      <w:marRight w:val="0"/>
      <w:marTop w:val="0"/>
      <w:marBottom w:val="0"/>
      <w:divBdr>
        <w:top w:val="none" w:sz="0" w:space="0" w:color="auto"/>
        <w:left w:val="none" w:sz="0" w:space="0" w:color="auto"/>
        <w:bottom w:val="none" w:sz="0" w:space="0" w:color="auto"/>
        <w:right w:val="none" w:sz="0" w:space="0" w:color="auto"/>
      </w:divBdr>
    </w:div>
    <w:div w:id="1303079531">
      <w:bodyDiv w:val="1"/>
      <w:marLeft w:val="0"/>
      <w:marRight w:val="0"/>
      <w:marTop w:val="0"/>
      <w:marBottom w:val="0"/>
      <w:divBdr>
        <w:top w:val="none" w:sz="0" w:space="0" w:color="auto"/>
        <w:left w:val="none" w:sz="0" w:space="0" w:color="auto"/>
        <w:bottom w:val="none" w:sz="0" w:space="0" w:color="auto"/>
        <w:right w:val="none" w:sz="0" w:space="0" w:color="auto"/>
      </w:divBdr>
    </w:div>
    <w:div w:id="1331366700">
      <w:bodyDiv w:val="1"/>
      <w:marLeft w:val="0"/>
      <w:marRight w:val="0"/>
      <w:marTop w:val="0"/>
      <w:marBottom w:val="0"/>
      <w:divBdr>
        <w:top w:val="none" w:sz="0" w:space="0" w:color="auto"/>
        <w:left w:val="none" w:sz="0" w:space="0" w:color="auto"/>
        <w:bottom w:val="none" w:sz="0" w:space="0" w:color="auto"/>
        <w:right w:val="none" w:sz="0" w:space="0" w:color="auto"/>
      </w:divBdr>
    </w:div>
    <w:div w:id="1375693207">
      <w:bodyDiv w:val="1"/>
      <w:marLeft w:val="0"/>
      <w:marRight w:val="0"/>
      <w:marTop w:val="0"/>
      <w:marBottom w:val="0"/>
      <w:divBdr>
        <w:top w:val="none" w:sz="0" w:space="0" w:color="auto"/>
        <w:left w:val="none" w:sz="0" w:space="0" w:color="auto"/>
        <w:bottom w:val="none" w:sz="0" w:space="0" w:color="auto"/>
        <w:right w:val="none" w:sz="0" w:space="0" w:color="auto"/>
      </w:divBdr>
    </w:div>
    <w:div w:id="1399786246">
      <w:bodyDiv w:val="1"/>
      <w:marLeft w:val="0"/>
      <w:marRight w:val="0"/>
      <w:marTop w:val="0"/>
      <w:marBottom w:val="0"/>
      <w:divBdr>
        <w:top w:val="none" w:sz="0" w:space="0" w:color="auto"/>
        <w:left w:val="none" w:sz="0" w:space="0" w:color="auto"/>
        <w:bottom w:val="none" w:sz="0" w:space="0" w:color="auto"/>
        <w:right w:val="none" w:sz="0" w:space="0" w:color="auto"/>
      </w:divBdr>
    </w:div>
    <w:div w:id="1418748174">
      <w:bodyDiv w:val="1"/>
      <w:marLeft w:val="0"/>
      <w:marRight w:val="0"/>
      <w:marTop w:val="0"/>
      <w:marBottom w:val="0"/>
      <w:divBdr>
        <w:top w:val="none" w:sz="0" w:space="0" w:color="auto"/>
        <w:left w:val="none" w:sz="0" w:space="0" w:color="auto"/>
        <w:bottom w:val="none" w:sz="0" w:space="0" w:color="auto"/>
        <w:right w:val="none" w:sz="0" w:space="0" w:color="auto"/>
      </w:divBdr>
    </w:div>
    <w:div w:id="1491216377">
      <w:bodyDiv w:val="1"/>
      <w:marLeft w:val="0"/>
      <w:marRight w:val="0"/>
      <w:marTop w:val="0"/>
      <w:marBottom w:val="0"/>
      <w:divBdr>
        <w:top w:val="none" w:sz="0" w:space="0" w:color="auto"/>
        <w:left w:val="none" w:sz="0" w:space="0" w:color="auto"/>
        <w:bottom w:val="none" w:sz="0" w:space="0" w:color="auto"/>
        <w:right w:val="none" w:sz="0" w:space="0" w:color="auto"/>
      </w:divBdr>
    </w:div>
    <w:div w:id="1535844232">
      <w:bodyDiv w:val="1"/>
      <w:marLeft w:val="0"/>
      <w:marRight w:val="0"/>
      <w:marTop w:val="0"/>
      <w:marBottom w:val="0"/>
      <w:divBdr>
        <w:top w:val="none" w:sz="0" w:space="0" w:color="auto"/>
        <w:left w:val="none" w:sz="0" w:space="0" w:color="auto"/>
        <w:bottom w:val="none" w:sz="0" w:space="0" w:color="auto"/>
        <w:right w:val="none" w:sz="0" w:space="0" w:color="auto"/>
      </w:divBdr>
    </w:div>
    <w:div w:id="1538273570">
      <w:bodyDiv w:val="1"/>
      <w:marLeft w:val="0"/>
      <w:marRight w:val="0"/>
      <w:marTop w:val="0"/>
      <w:marBottom w:val="0"/>
      <w:divBdr>
        <w:top w:val="none" w:sz="0" w:space="0" w:color="auto"/>
        <w:left w:val="none" w:sz="0" w:space="0" w:color="auto"/>
        <w:bottom w:val="none" w:sz="0" w:space="0" w:color="auto"/>
        <w:right w:val="none" w:sz="0" w:space="0" w:color="auto"/>
      </w:divBdr>
    </w:div>
    <w:div w:id="1542009982">
      <w:bodyDiv w:val="1"/>
      <w:marLeft w:val="0"/>
      <w:marRight w:val="0"/>
      <w:marTop w:val="0"/>
      <w:marBottom w:val="0"/>
      <w:divBdr>
        <w:top w:val="none" w:sz="0" w:space="0" w:color="auto"/>
        <w:left w:val="none" w:sz="0" w:space="0" w:color="auto"/>
        <w:bottom w:val="none" w:sz="0" w:space="0" w:color="auto"/>
        <w:right w:val="none" w:sz="0" w:space="0" w:color="auto"/>
      </w:divBdr>
    </w:div>
    <w:div w:id="1551068879">
      <w:bodyDiv w:val="1"/>
      <w:marLeft w:val="0"/>
      <w:marRight w:val="0"/>
      <w:marTop w:val="0"/>
      <w:marBottom w:val="0"/>
      <w:divBdr>
        <w:top w:val="none" w:sz="0" w:space="0" w:color="auto"/>
        <w:left w:val="none" w:sz="0" w:space="0" w:color="auto"/>
        <w:bottom w:val="none" w:sz="0" w:space="0" w:color="auto"/>
        <w:right w:val="none" w:sz="0" w:space="0" w:color="auto"/>
      </w:divBdr>
    </w:div>
    <w:div w:id="1639602555">
      <w:bodyDiv w:val="1"/>
      <w:marLeft w:val="0"/>
      <w:marRight w:val="0"/>
      <w:marTop w:val="0"/>
      <w:marBottom w:val="0"/>
      <w:divBdr>
        <w:top w:val="none" w:sz="0" w:space="0" w:color="auto"/>
        <w:left w:val="none" w:sz="0" w:space="0" w:color="auto"/>
        <w:bottom w:val="none" w:sz="0" w:space="0" w:color="auto"/>
        <w:right w:val="none" w:sz="0" w:space="0" w:color="auto"/>
      </w:divBdr>
    </w:div>
    <w:div w:id="1664310191">
      <w:bodyDiv w:val="1"/>
      <w:marLeft w:val="0"/>
      <w:marRight w:val="0"/>
      <w:marTop w:val="0"/>
      <w:marBottom w:val="0"/>
      <w:divBdr>
        <w:top w:val="none" w:sz="0" w:space="0" w:color="auto"/>
        <w:left w:val="none" w:sz="0" w:space="0" w:color="auto"/>
        <w:bottom w:val="none" w:sz="0" w:space="0" w:color="auto"/>
        <w:right w:val="none" w:sz="0" w:space="0" w:color="auto"/>
      </w:divBdr>
    </w:div>
    <w:div w:id="1745447539">
      <w:bodyDiv w:val="1"/>
      <w:marLeft w:val="0"/>
      <w:marRight w:val="0"/>
      <w:marTop w:val="0"/>
      <w:marBottom w:val="0"/>
      <w:divBdr>
        <w:top w:val="none" w:sz="0" w:space="0" w:color="auto"/>
        <w:left w:val="none" w:sz="0" w:space="0" w:color="auto"/>
        <w:bottom w:val="none" w:sz="0" w:space="0" w:color="auto"/>
        <w:right w:val="none" w:sz="0" w:space="0" w:color="auto"/>
      </w:divBdr>
    </w:div>
    <w:div w:id="1815298612">
      <w:bodyDiv w:val="1"/>
      <w:marLeft w:val="0"/>
      <w:marRight w:val="0"/>
      <w:marTop w:val="0"/>
      <w:marBottom w:val="0"/>
      <w:divBdr>
        <w:top w:val="none" w:sz="0" w:space="0" w:color="auto"/>
        <w:left w:val="none" w:sz="0" w:space="0" w:color="auto"/>
        <w:bottom w:val="none" w:sz="0" w:space="0" w:color="auto"/>
        <w:right w:val="none" w:sz="0" w:space="0" w:color="auto"/>
      </w:divBdr>
    </w:div>
    <w:div w:id="1819108474">
      <w:bodyDiv w:val="1"/>
      <w:marLeft w:val="0"/>
      <w:marRight w:val="0"/>
      <w:marTop w:val="0"/>
      <w:marBottom w:val="0"/>
      <w:divBdr>
        <w:top w:val="none" w:sz="0" w:space="0" w:color="auto"/>
        <w:left w:val="none" w:sz="0" w:space="0" w:color="auto"/>
        <w:bottom w:val="none" w:sz="0" w:space="0" w:color="auto"/>
        <w:right w:val="none" w:sz="0" w:space="0" w:color="auto"/>
      </w:divBdr>
    </w:div>
    <w:div w:id="1850824931">
      <w:bodyDiv w:val="1"/>
      <w:marLeft w:val="0"/>
      <w:marRight w:val="0"/>
      <w:marTop w:val="0"/>
      <w:marBottom w:val="0"/>
      <w:divBdr>
        <w:top w:val="none" w:sz="0" w:space="0" w:color="auto"/>
        <w:left w:val="none" w:sz="0" w:space="0" w:color="auto"/>
        <w:bottom w:val="none" w:sz="0" w:space="0" w:color="auto"/>
        <w:right w:val="none" w:sz="0" w:space="0" w:color="auto"/>
      </w:divBdr>
    </w:div>
    <w:div w:id="1851217123">
      <w:bodyDiv w:val="1"/>
      <w:marLeft w:val="0"/>
      <w:marRight w:val="0"/>
      <w:marTop w:val="0"/>
      <w:marBottom w:val="0"/>
      <w:divBdr>
        <w:top w:val="none" w:sz="0" w:space="0" w:color="auto"/>
        <w:left w:val="none" w:sz="0" w:space="0" w:color="auto"/>
        <w:bottom w:val="none" w:sz="0" w:space="0" w:color="auto"/>
        <w:right w:val="none" w:sz="0" w:space="0" w:color="auto"/>
      </w:divBdr>
    </w:div>
    <w:div w:id="1916435818">
      <w:bodyDiv w:val="1"/>
      <w:marLeft w:val="0"/>
      <w:marRight w:val="0"/>
      <w:marTop w:val="0"/>
      <w:marBottom w:val="0"/>
      <w:divBdr>
        <w:top w:val="none" w:sz="0" w:space="0" w:color="auto"/>
        <w:left w:val="none" w:sz="0" w:space="0" w:color="auto"/>
        <w:bottom w:val="none" w:sz="0" w:space="0" w:color="auto"/>
        <w:right w:val="none" w:sz="0" w:space="0" w:color="auto"/>
      </w:divBdr>
    </w:div>
    <w:div w:id="1971864110">
      <w:bodyDiv w:val="1"/>
      <w:marLeft w:val="0"/>
      <w:marRight w:val="0"/>
      <w:marTop w:val="0"/>
      <w:marBottom w:val="0"/>
      <w:divBdr>
        <w:top w:val="none" w:sz="0" w:space="0" w:color="auto"/>
        <w:left w:val="none" w:sz="0" w:space="0" w:color="auto"/>
        <w:bottom w:val="none" w:sz="0" w:space="0" w:color="auto"/>
        <w:right w:val="none" w:sz="0" w:space="0" w:color="auto"/>
      </w:divBdr>
    </w:div>
    <w:div w:id="1980450206">
      <w:bodyDiv w:val="1"/>
      <w:marLeft w:val="0"/>
      <w:marRight w:val="0"/>
      <w:marTop w:val="0"/>
      <w:marBottom w:val="0"/>
      <w:divBdr>
        <w:top w:val="none" w:sz="0" w:space="0" w:color="auto"/>
        <w:left w:val="none" w:sz="0" w:space="0" w:color="auto"/>
        <w:bottom w:val="none" w:sz="0" w:space="0" w:color="auto"/>
        <w:right w:val="none" w:sz="0" w:space="0" w:color="auto"/>
      </w:divBdr>
    </w:div>
    <w:div w:id="1982154201">
      <w:bodyDiv w:val="1"/>
      <w:marLeft w:val="0"/>
      <w:marRight w:val="0"/>
      <w:marTop w:val="0"/>
      <w:marBottom w:val="0"/>
      <w:divBdr>
        <w:top w:val="none" w:sz="0" w:space="0" w:color="auto"/>
        <w:left w:val="none" w:sz="0" w:space="0" w:color="auto"/>
        <w:bottom w:val="none" w:sz="0" w:space="0" w:color="auto"/>
        <w:right w:val="none" w:sz="0" w:space="0" w:color="auto"/>
      </w:divBdr>
    </w:div>
    <w:div w:id="2024894296">
      <w:bodyDiv w:val="1"/>
      <w:marLeft w:val="0"/>
      <w:marRight w:val="0"/>
      <w:marTop w:val="0"/>
      <w:marBottom w:val="0"/>
      <w:divBdr>
        <w:top w:val="none" w:sz="0" w:space="0" w:color="auto"/>
        <w:left w:val="none" w:sz="0" w:space="0" w:color="auto"/>
        <w:bottom w:val="none" w:sz="0" w:space="0" w:color="auto"/>
        <w:right w:val="none" w:sz="0" w:space="0" w:color="auto"/>
      </w:divBdr>
    </w:div>
    <w:div w:id="2071267781">
      <w:bodyDiv w:val="1"/>
      <w:marLeft w:val="0"/>
      <w:marRight w:val="0"/>
      <w:marTop w:val="0"/>
      <w:marBottom w:val="0"/>
      <w:divBdr>
        <w:top w:val="none" w:sz="0" w:space="0" w:color="auto"/>
        <w:left w:val="none" w:sz="0" w:space="0" w:color="auto"/>
        <w:bottom w:val="none" w:sz="0" w:space="0" w:color="auto"/>
        <w:right w:val="none" w:sz="0" w:space="0" w:color="auto"/>
      </w:divBdr>
    </w:div>
    <w:div w:id="2105303662">
      <w:bodyDiv w:val="1"/>
      <w:marLeft w:val="0"/>
      <w:marRight w:val="0"/>
      <w:marTop w:val="0"/>
      <w:marBottom w:val="0"/>
      <w:divBdr>
        <w:top w:val="none" w:sz="0" w:space="0" w:color="auto"/>
        <w:left w:val="none" w:sz="0" w:space="0" w:color="auto"/>
        <w:bottom w:val="none" w:sz="0" w:space="0" w:color="auto"/>
        <w:right w:val="none" w:sz="0" w:space="0" w:color="auto"/>
      </w:divBdr>
    </w:div>
    <w:div w:id="2125732808">
      <w:bodyDiv w:val="1"/>
      <w:marLeft w:val="0"/>
      <w:marRight w:val="0"/>
      <w:marTop w:val="0"/>
      <w:marBottom w:val="0"/>
      <w:divBdr>
        <w:top w:val="none" w:sz="0" w:space="0" w:color="auto"/>
        <w:left w:val="none" w:sz="0" w:space="0" w:color="auto"/>
        <w:bottom w:val="none" w:sz="0" w:space="0" w:color="auto"/>
        <w:right w:val="none" w:sz="0" w:space="0" w:color="auto"/>
      </w:divBdr>
    </w:div>
    <w:div w:id="2138178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625AC-A20B-4E50-A93F-42FAA38FD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10</Pages>
  <Words>1814</Words>
  <Characters>9982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Infoem600</cp:lastModifiedBy>
  <cp:revision>6</cp:revision>
  <cp:lastPrinted>2023-03-22T02:00:00Z</cp:lastPrinted>
  <dcterms:created xsi:type="dcterms:W3CDTF">2023-03-22T00:39:00Z</dcterms:created>
  <dcterms:modified xsi:type="dcterms:W3CDTF">2024-02-02T19:09:00Z</dcterms:modified>
</cp:coreProperties>
</file>