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0A0" w:rsidRDefault="004E1695">
      <w:pPr>
        <w:spacing w:after="0" w:line="360" w:lineRule="auto"/>
        <w:jc w:val="both"/>
        <w:rPr>
          <w:rFonts w:ascii="Palatino Linotype" w:eastAsia="Palatino Linotype" w:hAnsi="Palatino Linotype" w:cs="Palatino Linotype"/>
          <w:b/>
          <w:color w:val="FF0000"/>
        </w:rPr>
      </w:pPr>
      <w:bookmarkStart w:id="0" w:name="_heading=h.gjdgxs" w:colFirst="0" w:colLast="0"/>
      <w:bookmarkEnd w:id="0"/>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00636095">
        <w:rPr>
          <w:rFonts w:ascii="Palatino Linotype" w:eastAsia="Palatino Linotype" w:hAnsi="Palatino Linotype" w:cs="Palatino Linotype"/>
          <w:b/>
        </w:rPr>
        <w:t>TRIGÉSIMA CUARTO SESIÓN ORDINARIA DEL VE</w:t>
      </w:r>
      <w:bookmarkStart w:id="1" w:name="_GoBack"/>
      <w:bookmarkEnd w:id="1"/>
      <w:r w:rsidR="00636095">
        <w:rPr>
          <w:rFonts w:ascii="Palatino Linotype" w:eastAsia="Palatino Linotype" w:hAnsi="Palatino Linotype" w:cs="Palatino Linotype"/>
          <w:b/>
        </w:rPr>
        <w:t>INTE</w:t>
      </w:r>
      <w:r w:rsidR="006070A0">
        <w:rPr>
          <w:rFonts w:ascii="Palatino Linotype" w:eastAsia="Palatino Linotype" w:hAnsi="Palatino Linotype" w:cs="Palatino Linotype"/>
          <w:b/>
        </w:rPr>
        <w:t xml:space="preserve"> </w:t>
      </w:r>
      <w:r w:rsidR="00636095">
        <w:rPr>
          <w:rFonts w:ascii="Palatino Linotype" w:eastAsia="Palatino Linotype" w:hAnsi="Palatino Linotype" w:cs="Palatino Linotype"/>
          <w:b/>
        </w:rPr>
        <w:t>DE SEPTIEMBRE</w:t>
      </w:r>
      <w:r>
        <w:rPr>
          <w:rFonts w:ascii="Palatino Linotype" w:eastAsia="Palatino Linotype" w:hAnsi="Palatino Linotype" w:cs="Palatino Linotype"/>
          <w:b/>
        </w:rPr>
        <w:t xml:space="preserve"> DE DOS MIL VEINTITRÉS,</w:t>
      </w:r>
      <w:r w:rsidR="00636095">
        <w:rPr>
          <w:rFonts w:ascii="Palatino Linotype" w:eastAsia="Palatino Linotype" w:hAnsi="Palatino Linotype" w:cs="Palatino Linotype"/>
          <w:b/>
        </w:rPr>
        <w:t xml:space="preserve"> EN EL RECURSO DE REVISIÓN 02281</w:t>
      </w:r>
      <w:r>
        <w:rPr>
          <w:rFonts w:ascii="Palatino Linotype" w:eastAsia="Palatino Linotype" w:hAnsi="Palatino Linotype" w:cs="Palatino Linotype"/>
          <w:b/>
        </w:rPr>
        <w:t>/INFOEM/IP/RR/2023</w:t>
      </w:r>
      <w:r w:rsidR="00636095">
        <w:rPr>
          <w:rFonts w:ascii="Palatino Linotype" w:eastAsia="Palatino Linotype" w:hAnsi="Palatino Linotype" w:cs="Palatino Linotype"/>
          <w:b/>
        </w:rPr>
        <w:t xml:space="preserve"> Y ACUMULADOS</w:t>
      </w:r>
      <w:r>
        <w:rPr>
          <w:rFonts w:ascii="Palatino Linotype" w:eastAsia="Palatino Linotype" w:hAnsi="Palatino Linotype" w:cs="Palatino Linotype"/>
          <w:b/>
        </w:rPr>
        <w:t>.</w:t>
      </w:r>
    </w:p>
    <w:p w:rsidR="00C870A0" w:rsidRDefault="00C870A0">
      <w:pPr>
        <w:spacing w:after="0" w:line="360" w:lineRule="auto"/>
        <w:jc w:val="both"/>
        <w:rPr>
          <w:rFonts w:ascii="Palatino Linotype" w:eastAsia="Palatino Linotype" w:hAnsi="Palatino Linotype" w:cs="Palatino Linotype"/>
          <w:b/>
        </w:rPr>
      </w:pPr>
    </w:p>
    <w:p w:rsidR="00C870A0" w:rsidRDefault="004E169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sidR="00636095">
        <w:rPr>
          <w:rFonts w:ascii="Palatino Linotype" w:eastAsia="Palatino Linotype" w:hAnsi="Palatino Linotype" w:cs="Palatino Linotype"/>
          <w:b/>
        </w:rPr>
        <w:t>02281</w:t>
      </w:r>
      <w:r>
        <w:rPr>
          <w:rFonts w:ascii="Palatino Linotype" w:eastAsia="Palatino Linotype" w:hAnsi="Palatino Linotype" w:cs="Palatino Linotype"/>
          <w:b/>
        </w:rPr>
        <w:t>/INFOEM/IP/RR/2023</w:t>
      </w:r>
      <w:r w:rsidR="00636095">
        <w:rPr>
          <w:rFonts w:ascii="Palatino Linotype" w:eastAsia="Palatino Linotype" w:hAnsi="Palatino Linotype" w:cs="Palatino Linotype"/>
          <w:b/>
        </w:rPr>
        <w:t xml:space="preserve"> y Acumulados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pronunciada por el Pleno de este Instituto ante el </w:t>
      </w:r>
      <w:r w:rsidR="00636095">
        <w:rPr>
          <w:rFonts w:ascii="Palatino Linotype" w:eastAsia="Palatino Linotype" w:hAnsi="Palatino Linotype" w:cs="Palatino Linotype"/>
        </w:rPr>
        <w:t>proyecto presentado por el</w:t>
      </w:r>
      <w:r>
        <w:rPr>
          <w:rFonts w:ascii="Palatino Linotype" w:eastAsia="Palatino Linotype" w:hAnsi="Palatino Linotype" w:cs="Palatino Linotype"/>
        </w:rPr>
        <w:t xml:space="preserve"> </w:t>
      </w:r>
      <w:r w:rsidR="00636095">
        <w:rPr>
          <w:rFonts w:ascii="Palatino Linotype" w:eastAsia="Palatino Linotype" w:hAnsi="Palatino Linotype" w:cs="Palatino Linotype"/>
          <w:b/>
        </w:rPr>
        <w:t>Comisionado</w:t>
      </w:r>
      <w:r>
        <w:rPr>
          <w:rFonts w:ascii="Palatino Linotype" w:eastAsia="Palatino Linotype" w:hAnsi="Palatino Linotype" w:cs="Palatino Linotype"/>
          <w:b/>
        </w:rPr>
        <w:t xml:space="preserve"> </w:t>
      </w:r>
      <w:r w:rsidR="00636095">
        <w:rPr>
          <w:rFonts w:ascii="Palatino Linotype" w:eastAsia="Palatino Linotype" w:hAnsi="Palatino Linotype" w:cs="Palatino Linotype"/>
          <w:b/>
        </w:rPr>
        <w:t>Luis Gustavo Parra Noriega</w:t>
      </w:r>
      <w:r>
        <w:rPr>
          <w:rFonts w:ascii="Palatino Linotype" w:eastAsia="Palatino Linotype" w:hAnsi="Palatino Linotype" w:cs="Palatino Linotype"/>
        </w:rPr>
        <w:t>, el cual es al tenor siguiente:</w:t>
      </w:r>
    </w:p>
    <w:p w:rsidR="00C870A0" w:rsidRDefault="00C870A0">
      <w:pPr>
        <w:spacing w:after="0" w:line="360" w:lineRule="auto"/>
        <w:jc w:val="both"/>
        <w:rPr>
          <w:rFonts w:ascii="Palatino Linotype" w:eastAsia="Palatino Linotype" w:hAnsi="Palatino Linotype" w:cs="Palatino Linotype"/>
        </w:rPr>
      </w:pPr>
    </w:p>
    <w:p w:rsidR="00C870A0" w:rsidRDefault="004E1695">
      <w:pPr>
        <w:numPr>
          <w:ilvl w:val="0"/>
          <w:numId w:val="1"/>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C870A0" w:rsidRDefault="00C870A0">
      <w:pPr>
        <w:spacing w:after="0" w:line="360" w:lineRule="auto"/>
        <w:ind w:left="567"/>
        <w:jc w:val="both"/>
        <w:rPr>
          <w:rFonts w:ascii="Palatino Linotype" w:eastAsia="Palatino Linotype" w:hAnsi="Palatino Linotype" w:cs="Palatino Linotype"/>
          <w:b/>
        </w:rPr>
      </w:pPr>
    </w:p>
    <w:p w:rsidR="00C870A0" w:rsidRDefault="004E16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w:t>
      </w:r>
      <w:r w:rsidR="00217F8B">
        <w:rPr>
          <w:rFonts w:ascii="Palatino Linotype" w:eastAsia="Palatino Linotype" w:hAnsi="Palatino Linotype" w:cs="Palatino Linotype"/>
        </w:rPr>
        <w:t>la parte Recurrente solicitó al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6070A0" w:rsidRPr="00B53090" w:rsidRDefault="00636095" w:rsidP="00B53090">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informes trimestrales del primer, segundo, tercer y cuarto trimestres del año 2022 con sus respectivos anexos.</w:t>
      </w:r>
    </w:p>
    <w:p w:rsidR="00B53090" w:rsidRDefault="00B53090" w:rsidP="006070A0">
      <w:pPr>
        <w:spacing w:after="120" w:line="240" w:lineRule="auto"/>
        <w:contextualSpacing/>
        <w:rPr>
          <w:rFonts w:ascii="Palatino Linotype" w:eastAsia="Palatino Linotype" w:hAnsi="Palatino Linotype" w:cs="Palatino Linotype"/>
        </w:rPr>
      </w:pPr>
    </w:p>
    <w:p w:rsidR="00636095" w:rsidRPr="00636095" w:rsidRDefault="004E1695" w:rsidP="006360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sidR="00B53090">
        <w:rPr>
          <w:rFonts w:ascii="Palatino Linotype" w:eastAsia="Palatino Linotype" w:hAnsi="Palatino Linotype" w:cs="Palatino Linotype"/>
        </w:rPr>
        <w:t xml:space="preserve">Sujeto Obligado </w:t>
      </w:r>
      <w:r w:rsidR="00636095">
        <w:rPr>
          <w:rFonts w:ascii="Palatino Linotype" w:eastAsia="Palatino Linotype" w:hAnsi="Palatino Linotype" w:cs="Palatino Linotype"/>
        </w:rPr>
        <w:t>a través de su</w:t>
      </w:r>
      <w:r w:rsidR="00636095" w:rsidRPr="00636095">
        <w:rPr>
          <w:rFonts w:ascii="Palatino Linotype" w:eastAsia="Palatino Linotype" w:hAnsi="Palatino Linotype" w:cs="Palatino Linotype"/>
        </w:rPr>
        <w:t xml:space="preserve"> Tesorería Municipal, precisó tanto en en informe justificado, que la información que daba cuenta de lo solicitado, se localizaba en la </w:t>
      </w:r>
      <w:r w:rsidR="00636095" w:rsidRPr="00636095">
        <w:rPr>
          <w:rFonts w:ascii="Palatino Linotype" w:eastAsia="Palatino Linotype" w:hAnsi="Palatino Linotype" w:cs="Palatino Linotype"/>
        </w:rPr>
        <w:lastRenderedPageBreak/>
        <w:t xml:space="preserve">página oficial del ayuntamiento a saber, </w:t>
      </w:r>
      <w:hyperlink r:id="rId8" w:anchor="1680212172677-bc998591-ecdb" w:history="1">
        <w:r w:rsidR="00636095" w:rsidRPr="00636095">
          <w:rPr>
            <w:rFonts w:ascii="Palatino Linotype" w:eastAsia="Palatino Linotype" w:hAnsi="Palatino Linotype" w:cs="Palatino Linotype"/>
          </w:rPr>
          <w:t>https://atizapan.gob.mx/conac/#1680212172677-bc998591-ecdb</w:t>
        </w:r>
      </w:hyperlink>
      <w:r w:rsidR="00636095" w:rsidRPr="00636095">
        <w:rPr>
          <w:rFonts w:ascii="Palatino Linotype" w:eastAsia="Palatino Linotype" w:hAnsi="Palatino Linotype" w:cs="Palatino Linotype"/>
        </w:rPr>
        <w:t>, por lo que al ingresar a dicho enlace se logró vislumbrar lo siguiente:</w:t>
      </w:r>
    </w:p>
    <w:p w:rsidR="00636095" w:rsidRPr="002A56E3" w:rsidRDefault="00636095" w:rsidP="00636095">
      <w:pPr>
        <w:autoSpaceDE w:val="0"/>
        <w:autoSpaceDN w:val="0"/>
        <w:adjustRightInd w:val="0"/>
        <w:spacing w:after="0" w:line="360" w:lineRule="auto"/>
        <w:contextualSpacing/>
        <w:rPr>
          <w:rFonts w:eastAsia="Times New Roman" w:cs="Tahoma"/>
          <w:lang w:eastAsia="es-ES"/>
        </w:rPr>
      </w:pPr>
    </w:p>
    <w:p w:rsidR="00636095" w:rsidRPr="002A56E3" w:rsidRDefault="00636095" w:rsidP="00636095">
      <w:pPr>
        <w:autoSpaceDE w:val="0"/>
        <w:autoSpaceDN w:val="0"/>
        <w:adjustRightInd w:val="0"/>
        <w:spacing w:after="0" w:line="360" w:lineRule="auto"/>
        <w:contextualSpacing/>
        <w:jc w:val="center"/>
        <w:rPr>
          <w:rFonts w:eastAsia="Times New Roman" w:cs="Tahoma"/>
          <w:lang w:eastAsia="es-ES"/>
        </w:rPr>
      </w:pPr>
      <w:r w:rsidRPr="002A56E3">
        <w:rPr>
          <w:rFonts w:eastAsia="Times New Roman" w:cs="Tahoma"/>
          <w:noProof/>
          <w:lang w:val="en-US"/>
        </w:rPr>
        <w:drawing>
          <wp:inline distT="0" distB="0" distL="0" distR="0" wp14:anchorId="66216A53" wp14:editId="2AF8EB03">
            <wp:extent cx="5630238" cy="1084982"/>
            <wp:effectExtent l="0" t="0" r="0" b="1270"/>
            <wp:docPr id="20208980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6433" cy="1090030"/>
                    </a:xfrm>
                    <a:prstGeom prst="rect">
                      <a:avLst/>
                    </a:prstGeom>
                    <a:noFill/>
                  </pic:spPr>
                </pic:pic>
              </a:graphicData>
            </a:graphic>
          </wp:inline>
        </w:drawing>
      </w:r>
    </w:p>
    <w:p w:rsidR="00636095" w:rsidRPr="002A56E3" w:rsidRDefault="00636095" w:rsidP="00636095">
      <w:pPr>
        <w:autoSpaceDE w:val="0"/>
        <w:autoSpaceDN w:val="0"/>
        <w:adjustRightInd w:val="0"/>
        <w:spacing w:after="0" w:line="360" w:lineRule="auto"/>
        <w:contextualSpacing/>
        <w:jc w:val="center"/>
        <w:rPr>
          <w:rFonts w:eastAsia="Times New Roman" w:cs="Tahoma"/>
          <w:lang w:eastAsia="es-ES"/>
        </w:rPr>
      </w:pPr>
      <w:r w:rsidRPr="002A56E3">
        <w:rPr>
          <w:rFonts w:eastAsia="Times New Roman" w:cs="Tahoma"/>
          <w:lang w:eastAsia="es-ES"/>
        </w:rPr>
        <w:t>…</w:t>
      </w:r>
    </w:p>
    <w:p w:rsidR="00636095" w:rsidRPr="002A56E3" w:rsidRDefault="00636095" w:rsidP="00636095">
      <w:pPr>
        <w:autoSpaceDE w:val="0"/>
        <w:autoSpaceDN w:val="0"/>
        <w:adjustRightInd w:val="0"/>
        <w:spacing w:after="0" w:line="360" w:lineRule="auto"/>
        <w:contextualSpacing/>
        <w:jc w:val="center"/>
        <w:rPr>
          <w:rFonts w:eastAsia="Times New Roman" w:cs="Tahoma"/>
          <w:lang w:eastAsia="es-ES"/>
        </w:rPr>
      </w:pPr>
      <w:r w:rsidRPr="002A56E3">
        <w:rPr>
          <w:rFonts w:eastAsia="Times New Roman" w:cs="Tahoma"/>
          <w:noProof/>
          <w:lang w:val="en-US"/>
        </w:rPr>
        <w:drawing>
          <wp:inline distT="0" distB="0" distL="0" distR="0" wp14:anchorId="2A5CAB68" wp14:editId="40287C0A">
            <wp:extent cx="5669915" cy="2609215"/>
            <wp:effectExtent l="0" t="0" r="6985" b="635"/>
            <wp:docPr id="8853479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915" cy="2609215"/>
                    </a:xfrm>
                    <a:prstGeom prst="rect">
                      <a:avLst/>
                    </a:prstGeom>
                    <a:noFill/>
                  </pic:spPr>
                </pic:pic>
              </a:graphicData>
            </a:graphic>
          </wp:inline>
        </w:drawing>
      </w:r>
    </w:p>
    <w:p w:rsidR="00636095" w:rsidRDefault="00636095" w:rsidP="00636095">
      <w:pPr>
        <w:autoSpaceDE w:val="0"/>
        <w:autoSpaceDN w:val="0"/>
        <w:adjustRightInd w:val="0"/>
        <w:spacing w:after="0" w:line="360" w:lineRule="auto"/>
        <w:contextualSpacing/>
        <w:rPr>
          <w:rFonts w:eastAsia="Times New Roman" w:cs="Tahoma"/>
          <w:lang w:eastAsia="es-ES"/>
        </w:rPr>
      </w:pPr>
    </w:p>
    <w:p w:rsidR="00636095" w:rsidRDefault="00636095" w:rsidP="006360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el Sujeto Obligado</w:t>
      </w:r>
      <w:r w:rsidRPr="00636095">
        <w:rPr>
          <w:rFonts w:ascii="Palatino Linotype" w:eastAsia="Palatino Linotype" w:hAnsi="Palatino Linotype" w:cs="Palatino Linotype"/>
        </w:rPr>
        <w:t xml:space="preserve"> omitió precisar el procedimiento para acceder a los documentos solicitados, es decir, a no refirió la forma y el lugar específico para poder obtener lo solicitado y, por lo tanto, incumplió con lo establecido en el artículo 161 de la Ley de Transparencia y Acceso a la Información Pública del Estado de México y Municipios, lo cual da como resultado que el agravio </w:t>
      </w:r>
      <w:r>
        <w:rPr>
          <w:rFonts w:ascii="Palatino Linotype" w:eastAsia="Palatino Linotype" w:hAnsi="Palatino Linotype" w:cs="Palatino Linotype"/>
        </w:rPr>
        <w:t>del parte Recurrente fuera fundado</w:t>
      </w:r>
      <w:r w:rsidRPr="00636095">
        <w:rPr>
          <w:rFonts w:ascii="Palatino Linotype" w:eastAsia="Palatino Linotype" w:hAnsi="Palatino Linotype" w:cs="Palatino Linotype"/>
        </w:rPr>
        <w:t>.</w:t>
      </w:r>
    </w:p>
    <w:p w:rsidR="00636095" w:rsidRPr="00636095" w:rsidRDefault="00636095" w:rsidP="006360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alcance al informe justificado el Sujeto Obligado, remitió el</w:t>
      </w:r>
      <w:r w:rsidRPr="00636095">
        <w:rPr>
          <w:rFonts w:ascii="Palatino Linotype" w:eastAsia="Palatino Linotype" w:hAnsi="Palatino Linotype" w:cs="Palatino Linotype"/>
        </w:rPr>
        <w:t xml:space="preserve"> registró de incidencia técnica ante la Dirección de Informática de este Instituto, </w:t>
      </w:r>
      <w:r>
        <w:rPr>
          <w:rFonts w:ascii="Palatino Linotype" w:eastAsia="Palatino Linotype" w:hAnsi="Palatino Linotype" w:cs="Palatino Linotype"/>
        </w:rPr>
        <w:t>en donde</w:t>
      </w:r>
      <w:r w:rsidRPr="00636095">
        <w:rPr>
          <w:rFonts w:ascii="Palatino Linotype" w:eastAsia="Palatino Linotype" w:hAnsi="Palatino Linotype" w:cs="Palatino Linotype"/>
        </w:rPr>
        <w:t xml:space="preserve"> precisó que la información pesaba un total de veintiocho megabytes</w:t>
      </w:r>
      <w:r>
        <w:rPr>
          <w:rFonts w:ascii="Palatino Linotype" w:eastAsia="Palatino Linotype" w:hAnsi="Palatino Linotype" w:cs="Palatino Linotype"/>
        </w:rPr>
        <w:t>.</w:t>
      </w:r>
    </w:p>
    <w:p w:rsidR="00636095" w:rsidRPr="00636095" w:rsidRDefault="0000626A" w:rsidP="00636095">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l</w:t>
      </w:r>
      <w:r w:rsidR="004E1695">
        <w:rPr>
          <w:rFonts w:ascii="Palatino Linotype" w:eastAsia="Palatino Linotype" w:hAnsi="Palatino Linotype" w:cs="Palatino Linotype"/>
        </w:rPr>
        <w:t xml:space="preserve">a ponencia </w:t>
      </w:r>
      <w:r w:rsidR="003B565F">
        <w:rPr>
          <w:rFonts w:ascii="Palatino Linotype" w:eastAsia="Palatino Linotype" w:hAnsi="Palatino Linotype" w:cs="Palatino Linotype"/>
        </w:rPr>
        <w:t>resolutora una vez analizadas las cons</w:t>
      </w:r>
      <w:r w:rsidR="00636095">
        <w:rPr>
          <w:rFonts w:ascii="Palatino Linotype" w:eastAsia="Palatino Linotype" w:hAnsi="Palatino Linotype" w:cs="Palatino Linotype"/>
        </w:rPr>
        <w:t>tancias que obran los</w:t>
      </w:r>
      <w:r w:rsidR="003B565F">
        <w:rPr>
          <w:rFonts w:ascii="Palatino Linotype" w:eastAsia="Palatino Linotype" w:hAnsi="Palatino Linotype" w:cs="Palatino Linotype"/>
        </w:rPr>
        <w:t xml:space="preserve"> expediente</w:t>
      </w:r>
      <w:r w:rsidR="00636095">
        <w:rPr>
          <w:rFonts w:ascii="Palatino Linotype" w:eastAsia="Palatino Linotype" w:hAnsi="Palatino Linotype" w:cs="Palatino Linotype"/>
        </w:rPr>
        <w:t>s</w:t>
      </w:r>
      <w:r w:rsidR="003B565F">
        <w:rPr>
          <w:rFonts w:ascii="Palatino Linotype" w:eastAsia="Palatino Linotype" w:hAnsi="Palatino Linotype" w:cs="Palatino Linotype"/>
        </w:rPr>
        <w:t xml:space="preserve"> electrónico</w:t>
      </w:r>
      <w:r w:rsidR="00636095">
        <w:rPr>
          <w:rFonts w:ascii="Palatino Linotype" w:eastAsia="Palatino Linotype" w:hAnsi="Palatino Linotype" w:cs="Palatino Linotype"/>
        </w:rPr>
        <w:t>s del SAIMEX, determina modificar</w:t>
      </w:r>
      <w:r w:rsidR="004E1695">
        <w:rPr>
          <w:rFonts w:ascii="Palatino Linotype" w:eastAsia="Palatino Linotype" w:hAnsi="Palatino Linotype" w:cs="Palatino Linotype"/>
        </w:rPr>
        <w:t xml:space="preserve"> la</w:t>
      </w:r>
      <w:r w:rsidR="00636095">
        <w:rPr>
          <w:rFonts w:ascii="Palatino Linotype" w:eastAsia="Palatino Linotype" w:hAnsi="Palatino Linotype" w:cs="Palatino Linotype"/>
        </w:rPr>
        <w:t>s</w:t>
      </w:r>
      <w:r w:rsidR="004E1695">
        <w:rPr>
          <w:rFonts w:ascii="Palatino Linotype" w:eastAsia="Palatino Linotype" w:hAnsi="Palatino Linotype" w:cs="Palatino Linotype"/>
        </w:rPr>
        <w:t xml:space="preserve"> respuesta</w:t>
      </w:r>
      <w:r w:rsidR="00636095">
        <w:rPr>
          <w:rFonts w:ascii="Palatino Linotype" w:eastAsia="Palatino Linotype" w:hAnsi="Palatino Linotype" w:cs="Palatino Linotype"/>
        </w:rPr>
        <w:t>s</w:t>
      </w:r>
      <w:r w:rsidR="004E1695">
        <w:rPr>
          <w:rFonts w:ascii="Palatino Linotype" w:eastAsia="Palatino Linotype" w:hAnsi="Palatino Linotype" w:cs="Palatino Linotype"/>
        </w:rPr>
        <w:t xml:space="preserve"> </w:t>
      </w:r>
      <w:r w:rsidR="00636095">
        <w:rPr>
          <w:rFonts w:ascii="Palatino Linotype" w:eastAsia="Palatino Linotype" w:hAnsi="Palatino Linotype" w:cs="Palatino Linotype"/>
        </w:rPr>
        <w:t xml:space="preserve">y ordena </w:t>
      </w:r>
      <w:r w:rsidR="00636095" w:rsidRPr="00636095">
        <w:rPr>
          <w:rFonts w:ascii="Palatino Linotype" w:eastAsia="Palatino Linotype" w:hAnsi="Palatino Linotype" w:cs="Palatino Linotype"/>
        </w:rPr>
        <w:t>a efecto de que</w:t>
      </w:r>
      <w:r w:rsidR="00636095">
        <w:rPr>
          <w:rFonts w:ascii="Palatino Linotype" w:eastAsia="Palatino Linotype" w:hAnsi="Palatino Linotype" w:cs="Palatino Linotype"/>
        </w:rPr>
        <w:t xml:space="preserve"> el Sujeto Obligado</w:t>
      </w:r>
      <w:r w:rsidR="00636095" w:rsidRPr="00636095">
        <w:rPr>
          <w:rFonts w:ascii="Palatino Linotype" w:eastAsia="Palatino Linotype" w:hAnsi="Palatino Linotype" w:cs="Palatino Linotype"/>
        </w:rPr>
        <w:t>, ponga a disposición, en todas las modalidades que permita la documentación, tales como, disco compacto, dispositivo de almacenamiento, consulta directa, copias simples o certificadas, entre otras, con posibilidad de entrega en la Unidad de Transparencia o a domicilio por correo certificado, previo pago de los derechos correspondientes, en su caso, en versión pública, lo siguiente:</w:t>
      </w:r>
    </w:p>
    <w:p w:rsidR="00636095" w:rsidRPr="00636095" w:rsidRDefault="00636095" w:rsidP="00636095">
      <w:pPr>
        <w:pStyle w:val="Prrafodelista"/>
        <w:numPr>
          <w:ilvl w:val="0"/>
          <w:numId w:val="14"/>
        </w:numPr>
        <w:spacing w:after="120" w:line="360" w:lineRule="auto"/>
        <w:jc w:val="both"/>
        <w:rPr>
          <w:rFonts w:ascii="Palatino Linotype" w:eastAsia="Palatino Linotype" w:hAnsi="Palatino Linotype" w:cs="Palatino Linotype"/>
        </w:rPr>
      </w:pPr>
      <w:r w:rsidRPr="0045132E">
        <w:rPr>
          <w:rFonts w:ascii="Palatino Linotype" w:eastAsia="Palatino Linotype" w:hAnsi="Palatino Linotype" w:cs="Palatino Linotype"/>
          <w:sz w:val="22"/>
          <w:szCs w:val="22"/>
        </w:rPr>
        <w:t xml:space="preserve">Los documentos que conformaban los Cuatro Informes Trimestrales del ejercicio fiscal dos mil veintidós, entregados por el Ayuntamiento de Atizapán de Zaragoza al Órgano Superior de Fiscalización del Estado de </w:t>
      </w:r>
      <w:r w:rsidRPr="0045132E">
        <w:rPr>
          <w:rFonts w:ascii="Palatino Linotype" w:eastAsia="Palatino Linotype" w:hAnsi="Palatino Linotype" w:cs="Palatino Linotype"/>
          <w:sz w:val="22"/>
          <w:szCs w:val="22"/>
        </w:rPr>
        <w:t>México</w:t>
      </w:r>
      <w:r w:rsidRPr="00636095">
        <w:rPr>
          <w:rFonts w:ascii="Palatino Linotype" w:eastAsia="Palatino Linotype" w:hAnsi="Palatino Linotype" w:cs="Palatino Linotype"/>
        </w:rPr>
        <w:t>.</w:t>
      </w:r>
      <w:r w:rsidRPr="00636095">
        <w:rPr>
          <w:rFonts w:ascii="Palatino Linotype" w:eastAsia="Palatino Linotype" w:hAnsi="Palatino Linotype" w:cs="Palatino Linotype"/>
        </w:rPr>
        <w:t xml:space="preserve"> </w:t>
      </w:r>
    </w:p>
    <w:p w:rsidR="0000626A" w:rsidRDefault="0000626A" w:rsidP="0000626A">
      <w:pPr>
        <w:pBdr>
          <w:top w:val="nil"/>
          <w:left w:val="nil"/>
          <w:bottom w:val="nil"/>
          <w:right w:val="nil"/>
          <w:between w:val="nil"/>
        </w:pBdr>
        <w:spacing w:after="120" w:line="360" w:lineRule="auto"/>
        <w:jc w:val="both"/>
        <w:rPr>
          <w:rFonts w:ascii="Palatino Linotype" w:eastAsia="Palatino Linotype" w:hAnsi="Palatino Linotype" w:cs="Palatino Linotype"/>
          <w:b/>
        </w:rPr>
      </w:pPr>
      <w:bookmarkStart w:id="2" w:name="_heading=h.7jxtgsk38kdu" w:colFirst="0" w:colLast="0"/>
      <w:bookmarkStart w:id="3" w:name="_heading=h.3hestacsg4px" w:colFirst="0" w:colLast="0"/>
      <w:bookmarkEnd w:id="2"/>
      <w:bookmarkEnd w:id="3"/>
      <w:r w:rsidRPr="0000626A">
        <w:rPr>
          <w:rFonts w:ascii="Palatino Linotype" w:eastAsia="Palatino Linotype" w:hAnsi="Palatino Linotype" w:cs="Palatino Linotype"/>
          <w:b/>
        </w:rPr>
        <w:t>Razones del Voto Particular.</w:t>
      </w:r>
    </w:p>
    <w:p w:rsidR="0000626A" w:rsidRPr="0000626A" w:rsidRDefault="0000626A" w:rsidP="0000626A">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lang w:val="es-MX"/>
        </w:rPr>
      </w:pPr>
      <w:r w:rsidRPr="0000626A">
        <w:rPr>
          <w:rFonts w:ascii="Palatino Linotype" w:eastAsia="Palatino Linotype" w:hAnsi="Palatino Linotype" w:cs="Palatino Linotype"/>
          <w:sz w:val="22"/>
          <w:szCs w:val="22"/>
          <w:lang w:val="es-MX"/>
        </w:rPr>
        <w:t xml:space="preserve">En este orden de ideas, resulta importante señalar que coincido con los términos generales planteados en la Resolución </w:t>
      </w:r>
      <w:r w:rsidR="00636095">
        <w:rPr>
          <w:rFonts w:ascii="Palatino Linotype" w:eastAsia="Palatino Linotype" w:hAnsi="Palatino Linotype" w:cs="Palatino Linotype"/>
          <w:sz w:val="22"/>
          <w:szCs w:val="22"/>
          <w:lang w:val="es-MX"/>
        </w:rPr>
        <w:t xml:space="preserve">para que se </w:t>
      </w:r>
      <w:r w:rsidR="0055281B">
        <w:rPr>
          <w:rFonts w:ascii="Palatino Linotype" w:eastAsia="Palatino Linotype" w:hAnsi="Palatino Linotype" w:cs="Palatino Linotype"/>
          <w:sz w:val="22"/>
          <w:szCs w:val="22"/>
          <w:lang w:val="es-MX"/>
        </w:rPr>
        <w:t xml:space="preserve">ordenen los informe trimestrales entregados al  </w:t>
      </w:r>
      <w:r w:rsidR="0055281B" w:rsidRPr="00636095">
        <w:rPr>
          <w:rFonts w:ascii="Palatino Linotype" w:eastAsia="Palatino Linotype" w:hAnsi="Palatino Linotype" w:cs="Palatino Linotype"/>
        </w:rPr>
        <w:t>Órgano Superior de Fiscalización del Estado de México</w:t>
      </w:r>
      <w:r w:rsidR="0055281B">
        <w:rPr>
          <w:rFonts w:ascii="Palatino Linotype" w:eastAsia="Palatino Linotype" w:hAnsi="Palatino Linotype" w:cs="Palatino Linotype"/>
        </w:rPr>
        <w:t xml:space="preserve"> por parte del Ayuntamiento de Atizapán de Zaragoza</w:t>
      </w:r>
      <w:r w:rsidRPr="0000626A">
        <w:rPr>
          <w:rFonts w:ascii="Palatino Linotype" w:eastAsia="Palatino Linotype" w:hAnsi="Palatino Linotype" w:cs="Palatino Linotype"/>
          <w:sz w:val="22"/>
          <w:szCs w:val="22"/>
          <w:lang w:val="es-MX"/>
        </w:rPr>
        <w:t xml:space="preserve">; no obstante lo anterior, considero que </w:t>
      </w:r>
      <w:r w:rsidR="0055281B">
        <w:rPr>
          <w:rFonts w:ascii="Palatino Linotype" w:eastAsia="Palatino Linotype" w:hAnsi="Palatino Linotype" w:cs="Palatino Linotype"/>
          <w:sz w:val="22"/>
          <w:szCs w:val="22"/>
          <w:lang w:val="es-MX"/>
        </w:rPr>
        <w:t xml:space="preserve">de </w:t>
      </w:r>
      <w:r w:rsidRPr="0000626A">
        <w:rPr>
          <w:rFonts w:ascii="Palatino Linotype" w:eastAsia="Palatino Linotype" w:hAnsi="Palatino Linotype" w:cs="Palatino Linotype"/>
          <w:sz w:val="22"/>
          <w:szCs w:val="22"/>
          <w:lang w:val="es-MX"/>
        </w:rPr>
        <w:t>dicha</w:t>
      </w:r>
      <w:r w:rsidR="0055281B">
        <w:rPr>
          <w:rFonts w:ascii="Palatino Linotype" w:eastAsia="Palatino Linotype" w:hAnsi="Palatino Linotype" w:cs="Palatino Linotype"/>
          <w:sz w:val="22"/>
          <w:szCs w:val="22"/>
          <w:lang w:val="es-MX"/>
        </w:rPr>
        <w:t xml:space="preserve"> información pudiere desprenderse información que por su</w:t>
      </w:r>
      <w:r w:rsidRPr="0000626A">
        <w:rPr>
          <w:rFonts w:ascii="Palatino Linotype" w:eastAsia="Palatino Linotype" w:hAnsi="Palatino Linotype" w:cs="Palatino Linotype"/>
          <w:sz w:val="22"/>
          <w:szCs w:val="22"/>
          <w:lang w:val="es-MX"/>
        </w:rPr>
        <w:t xml:space="preserve"> regla está sujeta a claro régimen de  excepción, la cual concretamente se aprecia en el caso </w:t>
      </w:r>
      <w:r w:rsidR="0055281B">
        <w:rPr>
          <w:rFonts w:ascii="Palatino Linotype" w:eastAsia="Palatino Linotype" w:hAnsi="Palatino Linotype" w:cs="Palatino Linotype"/>
          <w:sz w:val="22"/>
          <w:szCs w:val="22"/>
          <w:lang w:val="es-MX"/>
        </w:rPr>
        <w:t>de información</w:t>
      </w:r>
      <w:r w:rsidRPr="0000626A">
        <w:rPr>
          <w:rFonts w:ascii="Palatino Linotype" w:eastAsia="Palatino Linotype" w:hAnsi="Palatino Linotype" w:cs="Palatino Linotype"/>
          <w:sz w:val="22"/>
          <w:szCs w:val="22"/>
          <w:lang w:val="es-MX"/>
        </w:rPr>
        <w:t xml:space="preserve"> de</w:t>
      </w:r>
      <w:r w:rsidR="0055281B">
        <w:rPr>
          <w:rFonts w:ascii="Palatino Linotype" w:eastAsia="Palatino Linotype" w:hAnsi="Palatino Linotype" w:cs="Palatino Linotype"/>
          <w:sz w:val="22"/>
          <w:szCs w:val="22"/>
          <w:lang w:val="es-MX"/>
        </w:rPr>
        <w:t>l</w:t>
      </w:r>
      <w:r w:rsidRPr="0000626A">
        <w:rPr>
          <w:rFonts w:ascii="Palatino Linotype" w:eastAsia="Palatino Linotype" w:hAnsi="Palatino Linotype" w:cs="Palatino Linotype"/>
          <w:sz w:val="22"/>
          <w:szCs w:val="22"/>
          <w:lang w:val="es-MX"/>
        </w:rPr>
        <w:t xml:space="preserve"> personal que se encuentra adscrito a instituciones de seguridad pública con funciones operativas en atención a los consideraciones que a continuación se exponen. </w:t>
      </w:r>
    </w:p>
    <w:p w:rsidR="0000626A" w:rsidRPr="0000626A" w:rsidRDefault="0000626A" w:rsidP="0000626A">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lang w:val="es-MX"/>
        </w:rPr>
      </w:pPr>
      <w:r w:rsidRPr="0000626A">
        <w:rPr>
          <w:rFonts w:ascii="Palatino Linotype" w:eastAsia="Palatino Linotype" w:hAnsi="Palatino Linotype" w:cs="Palatino Linotype"/>
          <w:sz w:val="22"/>
          <w:szCs w:val="22"/>
          <w:lang w:val="es-MX"/>
        </w:rPr>
        <w:lastRenderedPageBreak/>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sidRPr="0000626A">
        <w:rPr>
          <w:rFonts w:ascii="Palatino Linotype" w:eastAsia="Palatino Linotype" w:hAnsi="Palatino Linotype" w:cs="Palatino Linotype"/>
          <w:b/>
          <w:sz w:val="22"/>
          <w:szCs w:val="22"/>
          <w:lang w:val="es-MX"/>
        </w:rPr>
        <w:t>los Municipios</w:t>
      </w:r>
      <w:r w:rsidRPr="0000626A">
        <w:rPr>
          <w:rFonts w:ascii="Palatino Linotype" w:eastAsia="Palatino Linotype" w:hAnsi="Palatino Linotype" w:cs="Palatino Linotype"/>
          <w:sz w:val="22"/>
          <w:szCs w:val="22"/>
          <w:lang w:val="es-MX"/>
        </w:rPr>
        <w:t xml:space="preserve">, </w:t>
      </w:r>
      <w:r w:rsidRPr="0000626A">
        <w:rPr>
          <w:rFonts w:ascii="Palatino Linotype" w:eastAsia="Palatino Linotype" w:hAnsi="Palatino Linotype" w:cs="Palatino Linotype"/>
          <w:b/>
          <w:sz w:val="22"/>
          <w:szCs w:val="22"/>
          <w:lang w:val="es-MX"/>
        </w:rPr>
        <w:t>cuyos fines son salvaguardar la vida, las libertades, la integridad y el patrimonio de las personas, así como contribuir a la generación y preservación del orden público y la paz social</w:t>
      </w:r>
      <w:r w:rsidRPr="0000626A">
        <w:rPr>
          <w:rFonts w:ascii="Palatino Linotype" w:eastAsia="Palatino Linotype" w:hAnsi="Palatino Linotype" w:cs="Palatino Linotype"/>
          <w:sz w:val="22"/>
          <w:szCs w:val="22"/>
          <w:lang w:val="es-MX"/>
        </w:rPr>
        <w:t xml:space="preserve">. </w:t>
      </w:r>
      <w:r w:rsidR="0055281B" w:rsidRPr="0000626A">
        <w:rPr>
          <w:rFonts w:ascii="Palatino Linotype" w:eastAsia="Palatino Linotype" w:hAnsi="Palatino Linotype" w:cs="Palatino Linotype"/>
          <w:sz w:val="22"/>
          <w:szCs w:val="22"/>
          <w:lang w:val="es-MX"/>
        </w:rPr>
        <w:t>Asimismo,</w:t>
      </w:r>
      <w:r w:rsidRPr="0000626A">
        <w:rPr>
          <w:rFonts w:ascii="Palatino Linotype" w:eastAsia="Palatino Linotype" w:hAnsi="Palatino Linotype" w:cs="Palatino Linotype"/>
          <w:sz w:val="22"/>
          <w:szCs w:val="22"/>
          <w:lang w:val="es-MX"/>
        </w:rPr>
        <w:t xml:space="preserve"> señala que la actuación de las instituciones de seguridad pública se regirá por los principios de legalidad, objetividad, eficiencia, profesionalismo, honradez y respeto a los derechos humanos.</w:t>
      </w:r>
    </w:p>
    <w:p w:rsidR="0000626A" w:rsidRPr="0000626A" w:rsidRDefault="0000626A" w:rsidP="0000626A">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lang w:val="es-MX"/>
        </w:rPr>
      </w:pPr>
    </w:p>
    <w:p w:rsidR="0000626A" w:rsidRPr="0000626A" w:rsidRDefault="0000626A" w:rsidP="0000626A">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rPr>
      </w:pPr>
      <w:r w:rsidRPr="0000626A">
        <w:rPr>
          <w:rFonts w:ascii="Palatino Linotype" w:eastAsia="Palatino Linotype" w:hAnsi="Palatino Linotype" w:cs="Palatino Linotype"/>
          <w:sz w:val="22"/>
          <w:szCs w:val="22"/>
          <w:lang w:val="es-MX"/>
        </w:rPr>
        <w:t xml:space="preserve">Dicha circunstancia es replicada por la Ley de Seguridad del Estado de México en su </w:t>
      </w:r>
      <w:r w:rsidRPr="0000626A">
        <w:rPr>
          <w:rFonts w:ascii="Palatino Linotype" w:eastAsia="Palatino Linotype" w:hAnsi="Palatino Linotype" w:cs="Palatino Linotype"/>
          <w:sz w:val="22"/>
          <w:szCs w:val="22"/>
        </w:rPr>
        <w:t>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00626A" w:rsidRPr="0000626A" w:rsidRDefault="0000626A" w:rsidP="0000626A">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lang w:val="es-MX"/>
        </w:rPr>
      </w:pPr>
    </w:p>
    <w:p w:rsidR="0000626A" w:rsidRDefault="0000626A" w:rsidP="0000626A">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00626A">
        <w:rPr>
          <w:rFonts w:ascii="Palatino Linotype" w:eastAsia="Palatino Linotype" w:hAnsi="Palatino Linotype" w:cs="Palatino Linotype"/>
        </w:rPr>
        <w:t xml:space="preserve">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w:t>
      </w:r>
      <w:r w:rsidRPr="0000626A">
        <w:rPr>
          <w:rFonts w:ascii="Palatino Linotype" w:eastAsia="Palatino Linotype" w:hAnsi="Palatino Linotype" w:cs="Palatino Linotype"/>
        </w:rPr>
        <w:lastRenderedPageBreak/>
        <w:t>instituciones, y propiciar condiciones durables que permitan a los ciudadanos desarrollar sus capacidades, en un ambiente de paz y democracia.</w:t>
      </w:r>
    </w:p>
    <w:p w:rsidR="00DC5D4C" w:rsidRPr="0000626A" w:rsidRDefault="00DC5D4C" w:rsidP="00DC5D4C">
      <w:pPr>
        <w:pBdr>
          <w:top w:val="nil"/>
          <w:left w:val="nil"/>
          <w:bottom w:val="nil"/>
          <w:right w:val="nil"/>
          <w:between w:val="nil"/>
        </w:pBdr>
        <w:spacing w:after="120" w:line="360" w:lineRule="auto"/>
        <w:contextualSpacing/>
        <w:jc w:val="both"/>
        <w:rPr>
          <w:rFonts w:ascii="Palatino Linotype" w:eastAsia="Palatino Linotype" w:hAnsi="Palatino Linotype" w:cs="Palatino Linotype"/>
        </w:rPr>
      </w:pPr>
    </w:p>
    <w:p w:rsidR="0000626A" w:rsidRDefault="0000626A" w:rsidP="00DC5D4C">
      <w:pPr>
        <w:pBdr>
          <w:top w:val="nil"/>
          <w:left w:val="nil"/>
          <w:bottom w:val="nil"/>
          <w:right w:val="nil"/>
          <w:between w:val="nil"/>
        </w:pBdr>
        <w:spacing w:after="120" w:line="360" w:lineRule="auto"/>
        <w:contextualSpacing/>
        <w:jc w:val="both"/>
        <w:rPr>
          <w:rFonts w:ascii="Palatino Linotype" w:eastAsia="Palatino Linotype" w:hAnsi="Palatino Linotype" w:cs="Palatino Linotype"/>
        </w:rPr>
      </w:pPr>
      <w:r w:rsidRPr="0000626A">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w:t>
      </w:r>
      <w:r w:rsidR="0055281B" w:rsidRPr="0000626A">
        <w:rPr>
          <w:rFonts w:ascii="Palatino Linotype" w:eastAsia="Palatino Linotype" w:hAnsi="Palatino Linotype" w:cs="Palatino Linotype"/>
        </w:rPr>
        <w:t>y,</w:t>
      </w:r>
      <w:r w:rsidRPr="0000626A">
        <w:rPr>
          <w:rFonts w:ascii="Palatino Linotype" w:eastAsia="Palatino Linotype" w:hAnsi="Palatino Linotype" w:cs="Palatino Linotype"/>
        </w:rPr>
        <w:t xml:space="preserve"> por ende, la procedencia de su clasificación como información reservada. </w:t>
      </w:r>
    </w:p>
    <w:p w:rsidR="00DC5D4C" w:rsidRPr="0000626A" w:rsidRDefault="00DC5D4C" w:rsidP="00DC5D4C">
      <w:pPr>
        <w:pBdr>
          <w:top w:val="nil"/>
          <w:left w:val="nil"/>
          <w:bottom w:val="nil"/>
          <w:right w:val="nil"/>
          <w:between w:val="nil"/>
        </w:pBdr>
        <w:spacing w:after="120" w:line="360" w:lineRule="auto"/>
        <w:contextualSpacing/>
        <w:jc w:val="both"/>
        <w:rPr>
          <w:rFonts w:ascii="Palatino Linotype" w:eastAsia="Palatino Linotype" w:hAnsi="Palatino Linotype" w:cs="Palatino Linotype"/>
        </w:rPr>
      </w:pPr>
    </w:p>
    <w:p w:rsidR="0000626A" w:rsidRPr="0000626A" w:rsidRDefault="0000626A" w:rsidP="0000626A">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00626A">
        <w:rPr>
          <w:rFonts w:ascii="Palatino Linotype" w:eastAsia="Palatino Linotype" w:hAnsi="Palatino Linotype" w:cs="Palatino Linotype"/>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00626A" w:rsidRPr="0000626A" w:rsidRDefault="0000626A" w:rsidP="0000626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sidRPr="0000626A">
        <w:rPr>
          <w:rFonts w:ascii="Palatino Linotype" w:eastAsia="Palatino Linotype" w:hAnsi="Palatino Linotype" w:cs="Palatino Linotype"/>
          <w:i/>
          <w:sz w:val="20"/>
          <w:szCs w:val="20"/>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00626A" w:rsidRPr="0000626A" w:rsidRDefault="0000626A" w:rsidP="0000626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sidRPr="0000626A">
        <w:rPr>
          <w:rFonts w:ascii="Palatino Linotype" w:eastAsia="Palatino Linotype" w:hAnsi="Palatino Linotype" w:cs="Palatino Linotype"/>
          <w:i/>
          <w:sz w:val="20"/>
          <w:szCs w:val="20"/>
        </w:rPr>
        <w:t>…</w:t>
      </w:r>
    </w:p>
    <w:p w:rsidR="0000626A" w:rsidRPr="0000626A" w:rsidRDefault="0000626A" w:rsidP="0000626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sidRPr="0000626A">
        <w:rPr>
          <w:rFonts w:ascii="Palatino Linotype" w:eastAsia="Palatino Linotype" w:hAnsi="Palatino Linotype" w:cs="Palatino Linotype"/>
          <w:b/>
          <w:i/>
          <w:sz w:val="20"/>
          <w:szCs w:val="20"/>
          <w:u w:val="single"/>
        </w:rPr>
        <w:t>II. Aquella cuya revelación pueda ser utilizada para actualizar o potenciar una amenaza a la seguridad pública o a las instituciones del Estado de México ;</w:t>
      </w:r>
      <w:r w:rsidRPr="0000626A">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b/>
          <w:i/>
          <w:sz w:val="20"/>
          <w:szCs w:val="20"/>
        </w:rPr>
        <w:t>(Sic)</w:t>
      </w:r>
    </w:p>
    <w:p w:rsidR="0000626A" w:rsidRPr="00434513" w:rsidRDefault="0000626A" w:rsidP="0000626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szCs w:val="24"/>
          <w:u w:val="single"/>
        </w:rPr>
      </w:pPr>
    </w:p>
    <w:p w:rsidR="0000626A" w:rsidRDefault="0000626A" w:rsidP="0000626A">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sidRPr="0000626A">
        <w:rPr>
          <w:rFonts w:ascii="Palatino Linotype" w:eastAsia="Palatino Linotype" w:hAnsi="Palatino Linotype" w:cs="Palatino Linotype"/>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w:t>
      </w:r>
      <w:r w:rsidRPr="0000626A">
        <w:rPr>
          <w:rFonts w:ascii="Palatino Linotype" w:eastAsia="Palatino Linotype" w:hAnsi="Palatino Linotype" w:cs="Palatino Linotype"/>
        </w:rPr>
        <w:lastRenderedPageBreak/>
        <w:t>efecto demostrable, posteriormente el artículo 140 fracción I de la Ley de Transparencia Local replica esta circunstancia de reserva</w:t>
      </w:r>
      <w:r w:rsidR="00DC5D4C">
        <w:rPr>
          <w:rFonts w:ascii="Palatino Linotype" w:eastAsia="Palatino Linotype" w:hAnsi="Palatino Linotype" w:cs="Palatino Linotype"/>
          <w:sz w:val="24"/>
          <w:szCs w:val="24"/>
        </w:rPr>
        <w:t>, que señalan:</w:t>
      </w:r>
      <w:r>
        <w:rPr>
          <w:rFonts w:ascii="Palatino Linotype" w:eastAsia="Palatino Linotype" w:hAnsi="Palatino Linotype" w:cs="Palatino Linotype"/>
          <w:sz w:val="24"/>
          <w:szCs w:val="24"/>
        </w:rPr>
        <w:t xml:space="preserve"> </w:t>
      </w:r>
    </w:p>
    <w:p w:rsidR="00DC5D4C" w:rsidRDefault="00DC5D4C" w:rsidP="00DC5D4C">
      <w:pPr>
        <w:pStyle w:val="Prrafodelista"/>
        <w:tabs>
          <w:tab w:val="left" w:pos="284"/>
        </w:tabs>
        <w:ind w:left="992" w:right="709"/>
        <w:jc w:val="both"/>
        <w:rPr>
          <w:rFonts w:ascii="Palatino Linotype" w:hAnsi="Palatino Linotype" w:cs="Arial"/>
          <w:i/>
          <w:sz w:val="20"/>
          <w:szCs w:val="20"/>
        </w:rPr>
      </w:pPr>
      <w:r>
        <w:rPr>
          <w:rFonts w:ascii="Palatino Linotype" w:hAnsi="Palatino Linotype" w:cs="Arial"/>
          <w:i/>
          <w:sz w:val="20"/>
          <w:szCs w:val="20"/>
        </w:rPr>
        <w:t>“</w:t>
      </w:r>
      <w:r w:rsidRPr="0000626A">
        <w:rPr>
          <w:rFonts w:ascii="Palatino Linotype" w:hAnsi="Palatino Linotype" w:cs="Arial"/>
          <w:i/>
          <w:sz w:val="20"/>
          <w:szCs w:val="20"/>
        </w:rPr>
        <w:t xml:space="preserve">Artículo 113. Como información reservada podrá clasificarse aquella cuya publicación: </w:t>
      </w:r>
    </w:p>
    <w:p w:rsidR="00DC5D4C" w:rsidRDefault="00DC5D4C" w:rsidP="00DC5D4C">
      <w:pPr>
        <w:pStyle w:val="Prrafodelista"/>
        <w:tabs>
          <w:tab w:val="left" w:pos="284"/>
        </w:tabs>
        <w:ind w:left="992" w:right="709"/>
        <w:jc w:val="both"/>
        <w:rPr>
          <w:rFonts w:ascii="Palatino Linotype" w:hAnsi="Palatino Linotype" w:cs="Arial"/>
          <w:b/>
          <w:i/>
          <w:sz w:val="20"/>
          <w:szCs w:val="20"/>
        </w:rPr>
      </w:pPr>
      <w:r w:rsidRPr="0000626A">
        <w:rPr>
          <w:rFonts w:ascii="Palatino Linotype" w:hAnsi="Palatino Linotype" w:cs="Arial"/>
          <w:b/>
          <w:i/>
          <w:sz w:val="20"/>
          <w:szCs w:val="20"/>
        </w:rPr>
        <w:t>I. Comprometa la seguridad nacional, la seguridad pública o la defensa nacional y cuente con un propósito genuino y un efecto demostrable;</w:t>
      </w:r>
    </w:p>
    <w:p w:rsidR="00DC5D4C" w:rsidRPr="0000626A" w:rsidRDefault="00DC5D4C" w:rsidP="00DC5D4C">
      <w:pPr>
        <w:pStyle w:val="Prrafodelista"/>
        <w:tabs>
          <w:tab w:val="left" w:pos="284"/>
        </w:tabs>
        <w:ind w:left="992" w:right="709"/>
        <w:jc w:val="both"/>
        <w:rPr>
          <w:rFonts w:ascii="Palatino Linotype" w:hAnsi="Palatino Linotype" w:cs="Arial"/>
          <w:b/>
          <w:i/>
          <w:sz w:val="20"/>
          <w:szCs w:val="20"/>
        </w:rPr>
      </w:pPr>
      <w:r>
        <w:rPr>
          <w:rFonts w:ascii="Palatino Linotype" w:hAnsi="Palatino Linotype" w:cs="Arial"/>
          <w:b/>
          <w:i/>
          <w:sz w:val="20"/>
          <w:szCs w:val="20"/>
        </w:rPr>
        <w:t>..</w:t>
      </w:r>
    </w:p>
    <w:p w:rsidR="00DC5D4C" w:rsidRDefault="00DC5D4C" w:rsidP="00DC5D4C">
      <w:pPr>
        <w:pStyle w:val="Prrafodelista"/>
        <w:tabs>
          <w:tab w:val="left" w:pos="284"/>
        </w:tabs>
        <w:ind w:left="992" w:right="709"/>
        <w:jc w:val="both"/>
        <w:rPr>
          <w:rFonts w:ascii="Palatino Linotype" w:hAnsi="Palatino Linotype" w:cs="Arial"/>
          <w:i/>
          <w:sz w:val="20"/>
          <w:szCs w:val="20"/>
        </w:rPr>
      </w:pPr>
      <w:r w:rsidRPr="0000626A">
        <w:rPr>
          <w:rFonts w:ascii="Palatino Linotype" w:hAnsi="Palatino Linotype" w:cs="Arial"/>
          <w:i/>
          <w:sz w:val="20"/>
          <w:szCs w:val="20"/>
        </w:rPr>
        <w:t xml:space="preserve">Artículo 140. El acceso a la información pública será restringido excepcionalmente, cuando por razones de interés público, ésta sea clasificada como reservada, conforme a los criterios siguientes: </w:t>
      </w:r>
    </w:p>
    <w:p w:rsidR="00DC5D4C" w:rsidRPr="00DC5D4C" w:rsidRDefault="00DC5D4C" w:rsidP="00DC5D4C">
      <w:pPr>
        <w:pStyle w:val="Prrafodelista"/>
        <w:numPr>
          <w:ilvl w:val="0"/>
          <w:numId w:val="12"/>
        </w:numPr>
        <w:tabs>
          <w:tab w:val="left" w:pos="284"/>
        </w:tabs>
        <w:ind w:right="709"/>
        <w:jc w:val="both"/>
        <w:rPr>
          <w:rFonts w:ascii="Palatino Linotype" w:hAnsi="Palatino Linotype" w:cs="Arial"/>
          <w:b/>
          <w:i/>
          <w:sz w:val="20"/>
          <w:szCs w:val="20"/>
        </w:rPr>
      </w:pPr>
      <w:r w:rsidRPr="0000626A">
        <w:rPr>
          <w:rFonts w:ascii="Palatino Linotype" w:hAnsi="Palatino Linotype" w:cs="Arial"/>
          <w:b/>
          <w:i/>
          <w:sz w:val="20"/>
          <w:szCs w:val="20"/>
        </w:rPr>
        <w:t xml:space="preserve">Comprometa la seguridad pública y cuente con un propósito </w:t>
      </w:r>
      <w:r>
        <w:rPr>
          <w:rFonts w:ascii="Palatino Linotype" w:hAnsi="Palatino Linotype" w:cs="Arial"/>
          <w:b/>
          <w:i/>
          <w:sz w:val="20"/>
          <w:szCs w:val="20"/>
        </w:rPr>
        <w:t>genuino y un efecto demostrable…</w:t>
      </w:r>
      <w:r w:rsidRPr="00DC5D4C">
        <w:rPr>
          <w:rFonts w:ascii="Palatino Linotype" w:hAnsi="Palatino Linotype" w:cs="Arial"/>
          <w:b/>
          <w:i/>
          <w:sz w:val="20"/>
          <w:szCs w:val="20"/>
        </w:rPr>
        <w:t>” (Sic)</w:t>
      </w:r>
    </w:p>
    <w:p w:rsidR="00DC5D4C" w:rsidRDefault="00DC5D4C" w:rsidP="0000626A">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DC5D4C" w:rsidRDefault="00DC5D4C" w:rsidP="00DC5D4C">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DC5D4C">
        <w:rPr>
          <w:rFonts w:ascii="Palatino Linotype" w:eastAsia="Palatino Linotype" w:hAnsi="Palatino Linotype" w:cs="Palatino Linotype"/>
        </w:rPr>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DC5D4C" w:rsidRPr="00DC5D4C" w:rsidRDefault="00DC5D4C" w:rsidP="00DC5D4C">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DC5D4C" w:rsidRPr="00DC5D4C" w:rsidRDefault="00DC5D4C" w:rsidP="00DC5D4C">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DC5D4C">
        <w:rPr>
          <w:rFonts w:ascii="Palatino Linotype" w:eastAsia="Palatino Linotype" w:hAnsi="Palatino Linotype" w:cs="Palatino Linotype"/>
        </w:rPr>
        <w:t xml:space="preserve">Es crucial señalar que estos Lineamientos señalan </w:t>
      </w:r>
      <w:r w:rsidRPr="00DC5D4C">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sidRPr="00DC5D4C">
        <w:rPr>
          <w:rFonts w:ascii="Palatino Linotype" w:eastAsia="Palatino Linotype" w:hAnsi="Palatino Linotype" w:cs="Palatino Linotype"/>
        </w:rPr>
        <w:t>, sus planes, estrategias, tecnología, información, sistemas de comunicaciones.</w:t>
      </w:r>
    </w:p>
    <w:p w:rsidR="00DC5D4C" w:rsidRPr="00DC5D4C" w:rsidRDefault="00DC5D4C" w:rsidP="00DC5D4C">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DC5D4C">
        <w:rPr>
          <w:rFonts w:ascii="Palatino Linotype" w:eastAsia="Palatino Linotype" w:hAnsi="Palatino Linotype" w:cs="Palatino Linotype"/>
        </w:rPr>
        <w:lastRenderedPageBreak/>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w:t>
      </w:r>
      <w:r w:rsidR="006C1DC1">
        <w:rPr>
          <w:rFonts w:ascii="Palatino Linotype" w:eastAsia="Palatino Linotype" w:hAnsi="Palatino Linotype" w:cs="Palatino Linotype"/>
        </w:rPr>
        <w:t xml:space="preserve"> información </w:t>
      </w:r>
      <w:r w:rsidRPr="00DC5D4C">
        <w:rPr>
          <w:rFonts w:ascii="Palatino Linotype" w:eastAsia="Palatino Linotype" w:hAnsi="Palatino Linotype" w:cs="Palatino Linotype"/>
        </w:rPr>
        <w:t>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DC5D4C" w:rsidRPr="00DC5D4C" w:rsidRDefault="00DC5D4C" w:rsidP="00DC5D4C">
      <w:pPr>
        <w:spacing w:before="240" w:after="240" w:line="360" w:lineRule="auto"/>
        <w:ind w:right="-3"/>
        <w:jc w:val="both"/>
        <w:rPr>
          <w:rFonts w:ascii="Palatino Linotype" w:eastAsia="Palatino Linotype" w:hAnsi="Palatino Linotype" w:cs="Palatino Linotype"/>
        </w:rPr>
      </w:pPr>
      <w:r w:rsidRPr="00DC5D4C">
        <w:rPr>
          <w:rFonts w:ascii="Palatino Linotype" w:eastAsia="Palatino Linotype" w:hAnsi="Palatino Linotype" w:cs="Palatino Linotype"/>
        </w:rPr>
        <w:t xml:space="preserve">En </w:t>
      </w:r>
      <w:r w:rsidR="0055281B" w:rsidRPr="00DC5D4C">
        <w:rPr>
          <w:rFonts w:ascii="Palatino Linotype" w:eastAsia="Palatino Linotype" w:hAnsi="Palatino Linotype" w:cs="Palatino Linotype"/>
        </w:rPr>
        <w:t>conclusión,</w:t>
      </w:r>
      <w:r w:rsidRPr="00DC5D4C">
        <w:rPr>
          <w:rFonts w:ascii="Palatino Linotype" w:eastAsia="Palatino Linotype" w:hAnsi="Palatino Linotype" w:cs="Palatino Linotype"/>
        </w:rPr>
        <w:t xml:space="preserve"> la reserva del personal operativo procede por dos circunstancias:</w:t>
      </w:r>
    </w:p>
    <w:p w:rsidR="00DC5D4C" w:rsidRPr="00DC5D4C" w:rsidRDefault="00DC5D4C" w:rsidP="00DC5D4C">
      <w:pPr>
        <w:spacing w:before="240" w:after="240" w:line="360" w:lineRule="auto"/>
        <w:ind w:right="-3"/>
        <w:jc w:val="both"/>
        <w:rPr>
          <w:rFonts w:ascii="Palatino Linotype" w:eastAsia="Palatino Linotype" w:hAnsi="Palatino Linotype" w:cs="Palatino Linotype"/>
        </w:rPr>
      </w:pPr>
      <w:r w:rsidRPr="00DC5D4C">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pública, en virtud de que: </w:t>
      </w:r>
    </w:p>
    <w:p w:rsidR="00DC5D4C" w:rsidRPr="00DC5D4C" w:rsidRDefault="00DC5D4C" w:rsidP="00DC5D4C">
      <w:pPr>
        <w:spacing w:before="240" w:after="240" w:line="360" w:lineRule="auto"/>
        <w:ind w:right="-3"/>
        <w:jc w:val="both"/>
        <w:rPr>
          <w:rFonts w:ascii="Palatino Linotype" w:eastAsia="Palatino Linotype" w:hAnsi="Palatino Linotype" w:cs="Palatino Linotype"/>
        </w:rPr>
      </w:pPr>
      <w:r w:rsidRPr="00DC5D4C">
        <w:rPr>
          <w:rFonts w:ascii="Palatino Linotype" w:eastAsia="Palatino Linotype" w:hAnsi="Palatino Linotype" w:cs="Palatino Linotype"/>
        </w:rPr>
        <w:t xml:space="preserve">a) la información podría ser aprovechada por los grupos criminales para conocer la capacidad de reacción </w:t>
      </w:r>
    </w:p>
    <w:p w:rsidR="00DC5D4C" w:rsidRPr="00DC5D4C" w:rsidRDefault="00DC5D4C" w:rsidP="00DC5D4C">
      <w:pPr>
        <w:spacing w:before="240" w:after="240" w:line="360" w:lineRule="auto"/>
        <w:ind w:right="-3"/>
        <w:jc w:val="both"/>
        <w:rPr>
          <w:rFonts w:ascii="Palatino Linotype" w:eastAsia="Palatino Linotype" w:hAnsi="Palatino Linotype" w:cs="Palatino Linotype"/>
        </w:rPr>
      </w:pPr>
      <w:r w:rsidRPr="00DC5D4C">
        <w:rPr>
          <w:rFonts w:ascii="Palatino Linotype" w:eastAsia="Palatino Linotype" w:hAnsi="Palatino Linotype" w:cs="Palatino Linotype"/>
        </w:rPr>
        <w:lastRenderedPageBreak/>
        <w:t xml:space="preserve">b) Con dicha información se revelarían a detalle las características funcionales del personal y con ello, su organización para el cumplimiento de sus funciones; y </w:t>
      </w:r>
    </w:p>
    <w:p w:rsidR="00DC5D4C" w:rsidRDefault="00DC5D4C" w:rsidP="00DC5D4C">
      <w:pPr>
        <w:spacing w:before="240" w:after="240" w:line="360" w:lineRule="auto"/>
        <w:ind w:right="-3"/>
        <w:jc w:val="both"/>
        <w:rPr>
          <w:rFonts w:ascii="Palatino Linotype" w:eastAsia="Palatino Linotype" w:hAnsi="Palatino Linotype" w:cs="Palatino Linotype"/>
          <w:highlight w:val="yellow"/>
        </w:rPr>
      </w:pPr>
      <w:r w:rsidRPr="00DC5D4C">
        <w:rPr>
          <w:rFonts w:ascii="Palatino Linotype" w:eastAsia="Palatino Linotype" w:hAnsi="Palatino Linotype" w:cs="Palatino Linotype"/>
        </w:rPr>
        <w:t>2. 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DC5D4C" w:rsidRPr="00DC5D4C" w:rsidRDefault="00DC5D4C" w:rsidP="00DC5D4C">
      <w:pPr>
        <w:spacing w:before="240" w:after="240" w:line="360" w:lineRule="auto"/>
        <w:ind w:right="-3"/>
        <w:jc w:val="both"/>
        <w:rPr>
          <w:rFonts w:ascii="Palatino Linotype" w:eastAsia="Palatino Linotype" w:hAnsi="Palatino Linotype" w:cs="Palatino Linotype"/>
        </w:rPr>
      </w:pPr>
      <w:r w:rsidRPr="00DC5D4C">
        <w:rPr>
          <w:rFonts w:ascii="Palatino Linotype" w:eastAsia="Palatino Linotype" w:hAnsi="Palatino Linotype" w:cs="Palatino Linotype"/>
        </w:rPr>
        <w:t xml:space="preserve">Por lo tanto, entre mayor información se dé a conocer respecto del </w:t>
      </w:r>
      <w:r w:rsidRPr="00DC5D4C">
        <w:rPr>
          <w:rFonts w:ascii="Palatino Linotype" w:eastAsia="Palatino Linotype" w:hAnsi="Palatino Linotype" w:cs="Palatino Linotype"/>
          <w:b/>
          <w:i/>
        </w:rPr>
        <w:t xml:space="preserve">estado de fuerza </w:t>
      </w:r>
      <w:r w:rsidRPr="00DC5D4C">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DC5D4C" w:rsidRPr="00DC5D4C" w:rsidRDefault="00DC5D4C" w:rsidP="00DC5D4C">
      <w:pPr>
        <w:spacing w:before="240" w:after="240" w:line="360" w:lineRule="auto"/>
        <w:ind w:right="139"/>
        <w:jc w:val="both"/>
        <w:rPr>
          <w:rFonts w:ascii="Palatino Linotype" w:eastAsia="Palatino Linotype" w:hAnsi="Palatino Linotype" w:cs="Palatino Linotype"/>
        </w:rPr>
      </w:pPr>
      <w:r w:rsidRPr="00DC5D4C">
        <w:rPr>
          <w:rFonts w:ascii="Palatino Linotype" w:eastAsia="Palatino Linotype" w:hAnsi="Palatino Linotype" w:cs="Palatino Linotype"/>
        </w:rP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w:t>
      </w:r>
      <w:r w:rsidR="00BD55E6">
        <w:rPr>
          <w:rFonts w:ascii="Palatino Linotype" w:eastAsia="Palatino Linotype" w:hAnsi="Palatino Linotype" w:cs="Palatino Linotype"/>
        </w:rPr>
        <w:t xml:space="preserve"> </w:t>
      </w:r>
    </w:p>
    <w:p w:rsidR="00DC5D4C" w:rsidRPr="00DC5D4C" w:rsidRDefault="00DC5D4C" w:rsidP="00DC5D4C">
      <w:pPr>
        <w:pStyle w:val="Prrafodelista"/>
        <w:pBdr>
          <w:top w:val="nil"/>
          <w:left w:val="nil"/>
          <w:bottom w:val="nil"/>
          <w:right w:val="nil"/>
          <w:between w:val="nil"/>
        </w:pBdr>
        <w:spacing w:after="120" w:line="360" w:lineRule="auto"/>
        <w:ind w:left="0"/>
        <w:jc w:val="both"/>
        <w:rPr>
          <w:rFonts w:ascii="Palatino Linotype" w:eastAsia="Palatino Linotype" w:hAnsi="Palatino Linotype" w:cs="Palatino Linotype"/>
          <w:sz w:val="22"/>
          <w:szCs w:val="22"/>
          <w:lang w:val="es-MX"/>
        </w:rPr>
      </w:pPr>
      <w:r w:rsidRPr="00DC5D4C">
        <w:rPr>
          <w:rFonts w:ascii="Palatino Linotype" w:eastAsia="Palatino Linotype" w:hAnsi="Palatino Linotype" w:cs="Palatino Linotype"/>
          <w:sz w:val="22"/>
          <w:szCs w:val="22"/>
          <w:lang w:val="es-MX"/>
        </w:rPr>
        <w:t xml:space="preserve">En consecuencia, </w:t>
      </w:r>
      <w:r>
        <w:rPr>
          <w:rFonts w:ascii="Palatino Linotype" w:eastAsia="Palatino Linotype" w:hAnsi="Palatino Linotype" w:cs="Palatino Linotype"/>
          <w:sz w:val="22"/>
          <w:szCs w:val="22"/>
          <w:lang w:val="es-MX"/>
        </w:rPr>
        <w:t xml:space="preserve">la información de los elementos </w:t>
      </w:r>
      <w:r w:rsidRPr="00DC5D4C">
        <w:rPr>
          <w:rFonts w:ascii="Palatino Linotype" w:eastAsia="Palatino Linotype" w:hAnsi="Palatino Linotype" w:cs="Palatino Linotype"/>
          <w:sz w:val="22"/>
          <w:szCs w:val="22"/>
          <w:lang w:val="es-MX"/>
        </w:rPr>
        <w:t>operativo</w:t>
      </w:r>
      <w:r>
        <w:rPr>
          <w:rFonts w:ascii="Palatino Linotype" w:eastAsia="Palatino Linotype" w:hAnsi="Palatino Linotype" w:cs="Palatino Linotype"/>
          <w:sz w:val="22"/>
          <w:szCs w:val="22"/>
          <w:lang w:val="es-MX"/>
        </w:rPr>
        <w:t>s</w:t>
      </w:r>
      <w:r w:rsidRPr="00DC5D4C">
        <w:rPr>
          <w:rFonts w:ascii="Palatino Linotype" w:eastAsia="Palatino Linotype" w:hAnsi="Palatino Linotype" w:cs="Palatino Linotype"/>
          <w:sz w:val="22"/>
          <w:szCs w:val="22"/>
          <w:lang w:val="es-MX"/>
        </w:rPr>
        <w:t xml:space="preserve"> adscrito a instituciones de seguridad pública,  deben recibir un tratamiento de carácter excepcional, y esto es en razón de que,  son los responsables de procurar el orden, la estabilidad y la defensa de la sociedad a la que pertenecen, por lo que, se estima que al proporcionar</w:t>
      </w:r>
      <w:r w:rsidR="006C1DC1">
        <w:rPr>
          <w:rFonts w:ascii="Palatino Linotype" w:eastAsia="Palatino Linotype" w:hAnsi="Palatino Linotype" w:cs="Palatino Linotype"/>
          <w:sz w:val="22"/>
          <w:szCs w:val="22"/>
          <w:lang w:val="es-MX"/>
        </w:rPr>
        <w:t xml:space="preserve"> dicha información </w:t>
      </w:r>
      <w:r w:rsidRPr="00DC5D4C">
        <w:rPr>
          <w:rFonts w:ascii="Palatino Linotype" w:eastAsia="Palatino Linotype" w:hAnsi="Palatino Linotype" w:cs="Palatino Linotype"/>
          <w:sz w:val="22"/>
          <w:szCs w:val="22"/>
          <w:lang w:val="es-MX"/>
        </w:rPr>
        <w:t xml:space="preserve">se revela el número de servidores públicos operativos con funciones de seguridad pública activos en el </w:t>
      </w:r>
      <w:r w:rsidR="006C1DC1" w:rsidRPr="006C1DC1">
        <w:rPr>
          <w:rFonts w:ascii="Palatino Linotype" w:eastAsia="Palatino Linotype" w:hAnsi="Palatino Linotype" w:cs="Palatino Linotype"/>
          <w:sz w:val="22"/>
          <w:szCs w:val="22"/>
          <w:lang w:val="es-MX"/>
        </w:rPr>
        <w:t>Sujeto obligado</w:t>
      </w:r>
      <w:r w:rsidRPr="00DC5D4C">
        <w:rPr>
          <w:rFonts w:ascii="Palatino Linotype" w:eastAsia="Palatino Linotype" w:hAnsi="Palatino Linotype" w:cs="Palatino Linotype"/>
          <w:sz w:val="22"/>
          <w:szCs w:val="22"/>
          <w:lang w:val="es-MX"/>
        </w:rPr>
        <w:t>; información con la que se da a conocer el estado de fuerza y la capacidad de reacción del órgano público.</w:t>
      </w:r>
    </w:p>
    <w:p w:rsidR="0055281B" w:rsidRDefault="00DC5D4C" w:rsidP="00DC5D4C">
      <w:pPr>
        <w:spacing w:before="240" w:after="240" w:line="360" w:lineRule="auto"/>
        <w:ind w:right="139"/>
        <w:jc w:val="both"/>
        <w:rPr>
          <w:rFonts w:ascii="Palatino Linotype" w:eastAsia="Palatino Linotype" w:hAnsi="Palatino Linotype" w:cs="Palatino Linotype"/>
        </w:rPr>
      </w:pPr>
      <w:r w:rsidRPr="00DC5D4C">
        <w:rPr>
          <w:rFonts w:ascii="Palatino Linotype" w:eastAsia="Palatino Linotype" w:hAnsi="Palatino Linotype" w:cs="Palatino Linotype"/>
        </w:rPr>
        <w:lastRenderedPageBreak/>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sidRPr="00DC5D4C">
        <w:rPr>
          <w:rFonts w:ascii="Palatino Linotype" w:eastAsia="Palatino Linotype" w:hAnsi="Palatino Linotype" w:cs="Palatino Linotype"/>
          <w:b/>
          <w:u w:val="single"/>
        </w:rPr>
        <w:t xml:space="preserve">facilitaría a las cédulas delictivas el neutralizar las acciones implementadas o por implementar para la preservación de la paz pública, afectando así su estado de fuerza, o bien les permita </w:t>
      </w:r>
      <w:r w:rsidRPr="00DC5D4C">
        <w:rPr>
          <w:rFonts w:ascii="Palatino Linotype" w:eastAsia="Palatino Linotype" w:hAnsi="Palatino Linotype" w:cs="Palatino Linotype"/>
        </w:rPr>
        <w:t>realizar actos para amenazar, inhibir, extorsionar o corromper las funciones del personal operativo, lo que causaría una vulneración a la Seguridad Municipal</w:t>
      </w:r>
      <w:r w:rsidR="0055281B">
        <w:rPr>
          <w:rFonts w:ascii="Palatino Linotype" w:eastAsia="Palatino Linotype" w:hAnsi="Palatino Linotype" w:cs="Palatino Linotype"/>
        </w:rPr>
        <w:t>.</w:t>
      </w:r>
    </w:p>
    <w:p w:rsidR="0055281B" w:rsidRPr="0055281B" w:rsidRDefault="0055281B" w:rsidP="0055281B">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otro orden de ideas, también se considera que de la información que se ordena pudiera desprenderse información </w:t>
      </w:r>
      <w:r w:rsidRPr="0055281B">
        <w:rPr>
          <w:rFonts w:ascii="Palatino Linotype" w:eastAsia="Palatino Linotype" w:hAnsi="Palatino Linotype" w:cs="Palatino Linotype"/>
        </w:rPr>
        <w:t xml:space="preserve">del </w:t>
      </w:r>
      <w:r w:rsidRPr="0055281B">
        <w:rPr>
          <w:rFonts w:ascii="Palatino Linotype" w:eastAsia="Palatino Linotype" w:hAnsi="Palatino Linotype" w:cs="Palatino Linotype"/>
          <w:b/>
        </w:rPr>
        <w:t>número de placa de los vehículos oficiales</w:t>
      </w:r>
      <w:r w:rsidRPr="0055281B">
        <w:rPr>
          <w:rFonts w:ascii="Palatino Linotype" w:eastAsia="Palatino Linotype" w:hAnsi="Palatino Linotype" w:cs="Palatino Linotype"/>
        </w:rPr>
        <w:t xml:space="preserve"> del Sujeto Obligado, </w:t>
      </w:r>
      <w:r>
        <w:rPr>
          <w:rFonts w:ascii="Palatino Linotype" w:eastAsia="Palatino Linotype" w:hAnsi="Palatino Linotype" w:cs="Palatino Linotype"/>
        </w:rPr>
        <w:t xml:space="preserve">lo que considero que </w:t>
      </w:r>
      <w:r w:rsidRPr="0055281B">
        <w:rPr>
          <w:rFonts w:ascii="Palatino Linotype" w:eastAsia="Palatino Linotype" w:hAnsi="Palatino Linotype" w:cs="Palatino Linotype"/>
        </w:rPr>
        <w:t>si se vincula con el servidor público que lo tiene bajo su uso.</w:t>
      </w:r>
    </w:p>
    <w:p w:rsidR="0055281B" w:rsidRPr="0055281B" w:rsidRDefault="0055281B" w:rsidP="0055281B">
      <w:pPr>
        <w:spacing w:after="0" w:line="360" w:lineRule="auto"/>
        <w:ind w:right="139"/>
        <w:jc w:val="both"/>
        <w:rPr>
          <w:rFonts w:ascii="Palatino Linotype" w:eastAsia="Palatino Linotype" w:hAnsi="Palatino Linotype" w:cs="Palatino Linotype"/>
          <w:b/>
        </w:rPr>
      </w:pPr>
      <w:r w:rsidRPr="0055281B">
        <w:rPr>
          <w:rFonts w:ascii="Palatino Linotype" w:eastAsia="Palatino Linotype" w:hAnsi="Palatino Linotype" w:cs="Palatino Linotype"/>
        </w:rPr>
        <w:t xml:space="preserve">En ese sentido, se considera que toda vez, que los datos de identificación de los vehículos, concretamente respecto del número de placa vinculado con el nombre del servidor público que lo tiene bajo su uso, se trata de información que hace plenamente identificable a un vehículo, siendo altamente posible identificar también a sus tripulantes. </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Lo anterior, conforme a lo establecido en la Ley de Transparencia y Acceso a la Información Pública del Estado de México y Municipios, ya que prevé que la clasificación de la información es el proceso mediante el cual el Sujeto Obligado</w:t>
      </w:r>
      <w:r w:rsidRPr="0055281B">
        <w:rPr>
          <w:rFonts w:ascii="Palatino Linotype" w:eastAsia="Palatino Linotype" w:hAnsi="Palatino Linotype" w:cs="Palatino Linotype"/>
          <w:b/>
          <w:color w:val="000000"/>
        </w:rPr>
        <w:t xml:space="preserve"> </w:t>
      </w:r>
      <w:r w:rsidRPr="0055281B">
        <w:rPr>
          <w:rFonts w:ascii="Palatino Linotype" w:eastAsia="Palatino Linotype" w:hAnsi="Palatino Linotype" w:cs="Palatino Linotype"/>
          <w:color w:val="000000"/>
        </w:rPr>
        <w:t>determina que la información en su poder, actualiza alguno de los supuestos de reserva o confidencialidad.</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 xml:space="preserve">En el entendido de que la clasificación de la información se llevará a cabo en el momento en que se reciba una solicitud de acceso a la información, se determine mediante resolución </w:t>
      </w:r>
      <w:r w:rsidRPr="0055281B">
        <w:rPr>
          <w:rFonts w:ascii="Palatino Linotype" w:eastAsia="Palatino Linotype" w:hAnsi="Palatino Linotype" w:cs="Palatino Linotype"/>
          <w:color w:val="000000"/>
        </w:rPr>
        <w:lastRenderedPageBreak/>
        <w:t>de autoridad competente o se generen versiones públicas para dar cumplimiento a las obligaciones de transparencia previstas en la ley.</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En tanto que se clasificará como información confidencial, entre otras y atendiendo al caso que nos ocupa, la información privada, datos personales concernientes a una persona física o jurídico colectiva identificada o identificable.</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highlight w:val="yellow"/>
        </w:rPr>
      </w:pPr>
      <w:r w:rsidRPr="0055281B">
        <w:rPr>
          <w:rFonts w:ascii="Palatino Linotype" w:eastAsia="Palatino Linotype" w:hAnsi="Palatino Linotype" w:cs="Palatino Linotype"/>
          <w:color w:val="000000"/>
        </w:rPr>
        <w:t>De acuerdo a lo anterior y conforme a la resolución del recurso de revisión que moti</w:t>
      </w:r>
      <w:r w:rsidR="0045132E">
        <w:rPr>
          <w:rFonts w:ascii="Palatino Linotype" w:eastAsia="Palatino Linotype" w:hAnsi="Palatino Linotype" w:cs="Palatino Linotype"/>
          <w:color w:val="000000"/>
        </w:rPr>
        <w:t>va el presente voto particular</w:t>
      </w:r>
      <w:r w:rsidRPr="0055281B">
        <w:rPr>
          <w:rFonts w:ascii="Palatino Linotype" w:eastAsia="Palatino Linotype" w:hAnsi="Palatino Linotype" w:cs="Palatino Linotype"/>
          <w:color w:val="000000"/>
        </w:rPr>
        <w:t xml:space="preserve">, la información </w:t>
      </w:r>
      <w:r w:rsidR="0045132E">
        <w:rPr>
          <w:rFonts w:ascii="Palatino Linotype" w:eastAsia="Palatino Linotype" w:hAnsi="Palatino Linotype" w:cs="Palatino Linotype"/>
          <w:color w:val="000000"/>
        </w:rPr>
        <w:t>que se ordena pudiera</w:t>
      </w:r>
      <w:r w:rsidRPr="0055281B">
        <w:rPr>
          <w:rFonts w:ascii="Palatino Linotype" w:eastAsia="Palatino Linotype" w:hAnsi="Palatino Linotype" w:cs="Palatino Linotype"/>
          <w:b/>
          <w:color w:val="000000"/>
        </w:rPr>
        <w:t xml:space="preserve"> </w:t>
      </w:r>
      <w:r w:rsidR="0045132E">
        <w:rPr>
          <w:rFonts w:ascii="Palatino Linotype" w:eastAsia="Palatino Linotype" w:hAnsi="Palatino Linotype" w:cs="Palatino Linotype"/>
          <w:color w:val="000000"/>
        </w:rPr>
        <w:t>contener</w:t>
      </w:r>
      <w:r w:rsidRPr="0055281B">
        <w:rPr>
          <w:rFonts w:ascii="Palatino Linotype" w:eastAsia="Palatino Linotype" w:hAnsi="Palatino Linotype" w:cs="Palatino Linotype"/>
          <w:color w:val="000000"/>
        </w:rPr>
        <w:t xml:space="preserve"> datos de identificación de vehículos que son utilizados por servidores públicos adscritos al </w:t>
      </w:r>
      <w:r w:rsidRPr="0045132E">
        <w:rPr>
          <w:rFonts w:ascii="Palatino Linotype" w:eastAsia="Palatino Linotype" w:hAnsi="Palatino Linotype" w:cs="Palatino Linotype"/>
          <w:color w:val="000000"/>
        </w:rPr>
        <w:t xml:space="preserve">Sujeto Obligado </w:t>
      </w:r>
      <w:r w:rsidRPr="0055281B">
        <w:rPr>
          <w:rFonts w:ascii="Palatino Linotype" w:eastAsia="Palatino Linotype" w:hAnsi="Palatino Linotype" w:cs="Palatino Linotype"/>
          <w:color w:val="000000"/>
        </w:rPr>
        <w:t xml:space="preserve">para el desarrollo de sus funciones; </w:t>
      </w:r>
      <w:r w:rsidRPr="0055281B">
        <w:rPr>
          <w:rFonts w:ascii="Palatino Linotype" w:eastAsia="Palatino Linotype" w:hAnsi="Palatino Linotype" w:cs="Palatino Linotype"/>
        </w:rPr>
        <w:t xml:space="preserve"> información que a criterio de la mayoría de los integrantes del Pleno, se trata de datos que deben dejarse visibles, por lo que, ordenó la información solicitada </w:t>
      </w:r>
      <w:r w:rsidR="0045132E">
        <w:rPr>
          <w:rFonts w:ascii="Palatino Linotype" w:eastAsia="Palatino Linotype" w:hAnsi="Palatino Linotype" w:cs="Palatino Linotype"/>
        </w:rPr>
        <w:t>sin que se pronunciara respecto d</w:t>
      </w:r>
      <w:r w:rsidRPr="0055281B">
        <w:rPr>
          <w:rFonts w:ascii="Palatino Linotype" w:eastAsia="Palatino Linotype" w:hAnsi="Palatino Linotype" w:cs="Palatino Linotype"/>
        </w:rPr>
        <w:t xml:space="preserve">el número de placas de los vehículos oficiales, criterio que contradice el que ahora se sostiene.  </w:t>
      </w:r>
    </w:p>
    <w:p w:rsidR="0055281B" w:rsidRPr="0055281B" w:rsidRDefault="0055281B" w:rsidP="0055281B">
      <w:pPr>
        <w:spacing w:after="0" w:line="360" w:lineRule="auto"/>
        <w:ind w:right="139"/>
        <w:jc w:val="both"/>
        <w:rPr>
          <w:rFonts w:ascii="Palatino Linotype" w:eastAsia="Palatino Linotype" w:hAnsi="Palatino Linotype" w:cs="Palatino Linotype"/>
        </w:rPr>
      </w:pPr>
      <w:r w:rsidRPr="0055281B">
        <w:rPr>
          <w:rFonts w:ascii="Palatino Linotype" w:eastAsia="Palatino Linotype" w:hAnsi="Palatino Linotype" w:cs="Palatino Linotype"/>
        </w:rPr>
        <w:t xml:space="preserve">Es de precisar que consideramos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w:t>
      </w:r>
      <w:r w:rsidRPr="0055281B">
        <w:rPr>
          <w:rFonts w:ascii="Palatino Linotype" w:eastAsia="Palatino Linotype" w:hAnsi="Palatino Linotype" w:cs="Palatino Linotype"/>
        </w:rPr>
        <w:lastRenderedPageBreak/>
        <w:t>vehículo utilitario, en ellos asisten a eventos públicos derivados de sus funciones y se trasladan de sus oficinas a sus domicilios.</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Por lo que, proporcionar la información de identificación de un vehículo como el número de placas, aun perteneciendo al servicio público, atenta contra la seguridad de los servidores públicos que en ellos se trasladan, máxime de aquellos que a nivel Estatal representan a la autoridad; incluso, se pone en riesgo a su familia, al vulnerar su esfera privada.</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55281B" w:rsidRPr="0055281B"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 xml:space="preserve">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w:t>
      </w:r>
      <w:r w:rsidRPr="0055281B">
        <w:rPr>
          <w:rFonts w:ascii="Palatino Linotype" w:eastAsia="Palatino Linotype" w:hAnsi="Palatino Linotype" w:cs="Palatino Linotype"/>
          <w:color w:val="000000"/>
        </w:rPr>
        <w:lastRenderedPageBreak/>
        <w:t>LO QUE SE REFIERE A LOS DATOS QUE PERMITAN IDENTIFICAR CUÁL CORRESPONDE A CADA UNO DE ELLOS, la cual señala:</w:t>
      </w:r>
    </w:p>
    <w:p w:rsidR="0055281B" w:rsidRDefault="0055281B" w:rsidP="0055281B">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Pr>
          <w:rFonts w:ascii="Palatino Linotype" w:eastAsia="Palatino Linotype" w:hAnsi="Palatino Linotype" w:cs="Palatino Linotype"/>
          <w:b/>
          <w:i/>
          <w:color w:val="000000"/>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Pr>
          <w:rFonts w:ascii="Palatino Linotype" w:eastAsia="Palatino Linotype" w:hAnsi="Palatino Linotype" w:cs="Palatino Linotype"/>
          <w:i/>
          <w:color w:val="000000"/>
        </w:rPr>
        <w:t>. Por lo tanto, el dato de su nombre relacionado con el de los vehículos de su asignación constituye un dato personal que trasciende a su vida privada que debe ser objeto de protección, ya que su difusión pondría en riesgo el derecho fundamental a la vida privada.”(Sic)</w:t>
      </w:r>
    </w:p>
    <w:p w:rsidR="0055281B" w:rsidRPr="0045132E" w:rsidRDefault="0055281B" w:rsidP="0055281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sidRPr="0055281B">
        <w:rPr>
          <w:rFonts w:ascii="Palatino Linotype" w:eastAsia="Palatino Linotype" w:hAnsi="Palatino Linotype" w:cs="Palatino Linotype"/>
          <w:color w:val="000000"/>
        </w:rPr>
        <w:t xml:space="preserve">Del criterio en cita, se advierte que no debe proporcionarse el número de placa de los vehículos oficiales que utilizan los servidores públicos, por hacerlos identificables y trascender a su vida </w:t>
      </w:r>
      <w:r w:rsidRPr="0045132E">
        <w:rPr>
          <w:rFonts w:ascii="Palatino Linotype" w:eastAsia="Palatino Linotype" w:hAnsi="Palatino Linotype" w:cs="Palatino Linotype"/>
          <w:color w:val="000000"/>
        </w:rPr>
        <w:t xml:space="preserve">privada, garantizando con ello su protección. </w:t>
      </w:r>
    </w:p>
    <w:p w:rsidR="0055281B" w:rsidRDefault="0045132E" w:rsidP="0045132E">
      <w:pPr>
        <w:spacing w:after="0" w:line="360" w:lineRule="auto"/>
        <w:ind w:right="139"/>
        <w:jc w:val="both"/>
        <w:rPr>
          <w:rFonts w:ascii="Palatino Linotype" w:eastAsia="Palatino Linotype" w:hAnsi="Palatino Linotype" w:cs="Palatino Linotype"/>
        </w:rPr>
      </w:pPr>
      <w:r w:rsidRPr="0045132E">
        <w:rPr>
          <w:rFonts w:ascii="Palatino Linotype" w:eastAsia="Palatino Linotype" w:hAnsi="Palatino Linotype" w:cs="Palatino Linotype"/>
        </w:rPr>
        <w:t>P</w:t>
      </w:r>
      <w:r w:rsidRPr="0045132E">
        <w:rPr>
          <w:rFonts w:ascii="Palatino Linotype" w:eastAsia="Palatino Linotype" w:hAnsi="Palatino Linotype" w:cs="Palatino Linotype"/>
        </w:rPr>
        <w:t xml:space="preserve">or lo tanto la suscrita no comparte las consideraciones vertidas en la resolución </w:t>
      </w:r>
      <w:r w:rsidRPr="0045132E">
        <w:rPr>
          <w:rFonts w:ascii="Palatino Linotype" w:eastAsia="Palatino Linotype" w:hAnsi="Palatino Linotype" w:cs="Palatino Linotype"/>
        </w:rPr>
        <w:t xml:space="preserve">ya que se debió precisar el tratamiento </w:t>
      </w:r>
      <w:r>
        <w:rPr>
          <w:rFonts w:ascii="Palatino Linotype" w:eastAsia="Palatino Linotype" w:hAnsi="Palatino Linotype" w:cs="Palatino Linotype"/>
        </w:rPr>
        <w:t>que se le bebe de dar a</w:t>
      </w:r>
      <w:r w:rsidRPr="0045132E">
        <w:rPr>
          <w:rFonts w:ascii="Palatino Linotype" w:eastAsia="Palatino Linotype" w:hAnsi="Palatino Linotype" w:cs="Palatino Linotype"/>
        </w:rPr>
        <w:t xml:space="preserve"> </w:t>
      </w:r>
      <w:r w:rsidRPr="0045132E">
        <w:rPr>
          <w:rFonts w:ascii="Palatino Linotype" w:eastAsia="Palatino Linotype" w:hAnsi="Palatino Linotype" w:cs="Palatino Linotype"/>
        </w:rPr>
        <w:t>la información relativa a elementos operativos de ins</w:t>
      </w:r>
      <w:r w:rsidRPr="0045132E">
        <w:rPr>
          <w:rFonts w:ascii="Palatino Linotype" w:eastAsia="Palatino Linotype" w:hAnsi="Palatino Linotype" w:cs="Palatino Linotype"/>
        </w:rPr>
        <w:t>tituciones de seguridad pública</w:t>
      </w:r>
      <w:r w:rsidRPr="0045132E">
        <w:rPr>
          <w:rFonts w:ascii="Palatino Linotype" w:eastAsia="Palatino Linotype" w:hAnsi="Palatino Linotype" w:cs="Palatino Linotype"/>
        </w:rPr>
        <w:t xml:space="preserve"> y </w:t>
      </w:r>
      <w:r>
        <w:rPr>
          <w:rFonts w:ascii="Palatino Linotype" w:eastAsia="Palatino Linotype" w:hAnsi="Palatino Linotype" w:cs="Palatino Linotype"/>
        </w:rPr>
        <w:t xml:space="preserve">sobre </w:t>
      </w:r>
      <w:r w:rsidRPr="0045132E">
        <w:rPr>
          <w:rFonts w:ascii="Palatino Linotype" w:eastAsia="Palatino Linotype" w:hAnsi="Palatino Linotype" w:cs="Palatino Linotype"/>
        </w:rPr>
        <w:t xml:space="preserve">la reserva del número de placa de </w:t>
      </w:r>
      <w:r w:rsidRPr="0045132E">
        <w:rPr>
          <w:rFonts w:ascii="Palatino Linotype" w:eastAsia="Palatino Linotype" w:hAnsi="Palatino Linotype" w:cs="Palatino Linotype"/>
        </w:rPr>
        <w:lastRenderedPageBreak/>
        <w:t>los vehículos si se vincula con el nombre del servidor pú</w:t>
      </w:r>
      <w:r>
        <w:rPr>
          <w:rFonts w:ascii="Palatino Linotype" w:eastAsia="Palatino Linotype" w:hAnsi="Palatino Linotype" w:cs="Palatino Linotype"/>
        </w:rPr>
        <w:t>blico que lo tiene bajo su uso</w:t>
      </w:r>
      <w:r w:rsidRPr="0045132E">
        <w:rPr>
          <w:rFonts w:ascii="Palatino Linotype" w:eastAsia="Palatino Linotype" w:hAnsi="Palatino Linotype" w:cs="Palatino Linotype"/>
        </w:rPr>
        <w:t xml:space="preserve">, 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w:t>
      </w:r>
      <w:r w:rsidRPr="00DC5D4C">
        <w:rPr>
          <w:rFonts w:ascii="Palatino Linotype" w:eastAsia="Palatino Linotype" w:hAnsi="Palatino Linotype" w:cs="Palatino Linotype"/>
        </w:rPr>
        <w:t>por ende formula el presente voto particular.</w:t>
      </w:r>
    </w:p>
    <w:p w:rsidR="0055281B" w:rsidRDefault="0055281B" w:rsidP="00DC5D4C">
      <w:pPr>
        <w:spacing w:before="240" w:after="240" w:line="360" w:lineRule="auto"/>
        <w:ind w:right="139"/>
        <w:jc w:val="both"/>
        <w:rPr>
          <w:rFonts w:ascii="Palatino Linotype" w:eastAsia="Palatino Linotype" w:hAnsi="Palatino Linotype" w:cs="Palatino Linotype"/>
        </w:rPr>
      </w:pPr>
    </w:p>
    <w:p w:rsidR="0055281B" w:rsidRDefault="0055281B" w:rsidP="00DC5D4C">
      <w:pPr>
        <w:spacing w:before="240" w:after="240" w:line="360" w:lineRule="auto"/>
        <w:ind w:right="139"/>
        <w:jc w:val="both"/>
        <w:rPr>
          <w:rFonts w:ascii="Palatino Linotype" w:eastAsia="Palatino Linotype" w:hAnsi="Palatino Linotype" w:cs="Palatino Linotype"/>
        </w:rPr>
      </w:pPr>
    </w:p>
    <w:p w:rsidR="0000626A" w:rsidRPr="0000626A" w:rsidRDefault="0000626A" w:rsidP="0000626A">
      <w:pPr>
        <w:pBdr>
          <w:top w:val="nil"/>
          <w:left w:val="nil"/>
          <w:bottom w:val="nil"/>
          <w:right w:val="nil"/>
          <w:between w:val="nil"/>
        </w:pBdr>
        <w:spacing w:after="120" w:line="360" w:lineRule="auto"/>
        <w:jc w:val="both"/>
        <w:rPr>
          <w:rFonts w:ascii="Palatino Linotype" w:eastAsia="Palatino Linotype" w:hAnsi="Palatino Linotype" w:cs="Palatino Linotype"/>
          <w:b/>
        </w:rPr>
      </w:pPr>
    </w:p>
    <w:p w:rsidR="00C870A0" w:rsidRDefault="00C870A0">
      <w:pPr>
        <w:spacing w:after="0" w:line="360" w:lineRule="auto"/>
        <w:jc w:val="both"/>
        <w:rPr>
          <w:rFonts w:ascii="Palatino Linotype" w:eastAsia="Palatino Linotype" w:hAnsi="Palatino Linotype" w:cs="Palatino Linotype"/>
        </w:rPr>
      </w:pPr>
    </w:p>
    <w:p w:rsidR="00C870A0" w:rsidRDefault="00C870A0">
      <w:pPr>
        <w:spacing w:after="0" w:line="360" w:lineRule="auto"/>
        <w:jc w:val="both"/>
        <w:rPr>
          <w:rFonts w:ascii="Palatino Linotype" w:eastAsia="Palatino Linotype" w:hAnsi="Palatino Linotype" w:cs="Palatino Linotype"/>
        </w:rPr>
        <w:sectPr w:rsidR="00C870A0">
          <w:headerReference w:type="even" r:id="rId11"/>
          <w:headerReference w:type="default" r:id="rId12"/>
          <w:footerReference w:type="default" r:id="rId13"/>
          <w:pgSz w:w="12240" w:h="15840"/>
          <w:pgMar w:top="1871" w:right="1327" w:bottom="2836" w:left="1985" w:header="709" w:footer="586" w:gutter="0"/>
          <w:pgNumType w:start="1"/>
          <w:cols w:space="720"/>
        </w:sectPr>
      </w:pPr>
    </w:p>
    <w:p w:rsidR="00C870A0" w:rsidRDefault="00C870A0">
      <w:pPr>
        <w:spacing w:before="240" w:after="240" w:line="360" w:lineRule="auto"/>
        <w:ind w:right="423"/>
        <w:jc w:val="both"/>
        <w:rPr>
          <w:rFonts w:ascii="Palatino Linotype" w:eastAsia="Palatino Linotype" w:hAnsi="Palatino Linotype" w:cs="Palatino Linotype"/>
        </w:rPr>
      </w:pPr>
    </w:p>
    <w:sectPr w:rsidR="00C870A0">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09" w:rsidRDefault="00A16609">
      <w:pPr>
        <w:spacing w:after="0" w:line="240" w:lineRule="auto"/>
      </w:pPr>
      <w:r>
        <w:separator/>
      </w:r>
    </w:p>
  </w:endnote>
  <w:endnote w:type="continuationSeparator" w:id="0">
    <w:p w:rsidR="00A16609" w:rsidRDefault="00A1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132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132E">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C870A0" w:rsidRDefault="00C870A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09" w:rsidRDefault="00A16609">
      <w:pPr>
        <w:spacing w:after="0" w:line="240" w:lineRule="auto"/>
      </w:pPr>
      <w:r>
        <w:separator/>
      </w:r>
    </w:p>
  </w:footnote>
  <w:footnote w:type="continuationSeparator" w:id="0">
    <w:p w:rsidR="00A16609" w:rsidRDefault="00A1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7511550" cy="7511550"/>
              <wp:effectExtent l="0" t="0" r="0" b="0"/>
              <wp:wrapNone/>
              <wp:docPr id="16" name="Rectángulo 16"/>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C870A0" w:rsidRDefault="004E1695">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Rectángulo 16" o:spid="_x0000_s1026" style="position:absolute;margin-left:0;margin-top:0;width:591.45pt;height:591.45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" filled="f" stroked="f">
              <v:textbox inset="2.53958mm,2.53958mm,2.53958mm,2.53958mm">
                <w:txbxContent>
                  <w:p w:rsidR="00C870A0" w:rsidRDefault="004E1695">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4E169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n-US" w:eastAsia="en-US"/>
      </w:rPr>
      <w:drawing>
        <wp:anchor distT="0" distB="0" distL="0" distR="0" simplePos="0" relativeHeight="251658240" behindDoc="1" locked="0" layoutInCell="1" hidden="0" allowOverlap="1">
          <wp:simplePos x="0" y="0"/>
          <wp:positionH relativeFrom="column">
            <wp:posOffset>-1115058</wp:posOffset>
          </wp:positionH>
          <wp:positionV relativeFrom="paragraph">
            <wp:posOffset>-433702</wp:posOffset>
          </wp:positionV>
          <wp:extent cx="7510628" cy="988377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4E16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C870A0" w:rsidRDefault="004E16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w:t>
    </w:r>
    <w:r w:rsidR="00636095">
      <w:rPr>
        <w:rFonts w:ascii="Palatino Linotype" w:eastAsia="Palatino Linotype" w:hAnsi="Palatino Linotype" w:cs="Palatino Linotype"/>
        <w:b/>
        <w:color w:val="000000"/>
        <w:sz w:val="20"/>
        <w:szCs w:val="20"/>
      </w:rPr>
      <w:t>RECURSOS DE REVISIÓN 02281</w:t>
    </w:r>
    <w:r>
      <w:rPr>
        <w:rFonts w:ascii="Palatino Linotype" w:eastAsia="Palatino Linotype" w:hAnsi="Palatino Linotype" w:cs="Palatino Linotype"/>
        <w:b/>
        <w:color w:val="000000"/>
        <w:sz w:val="20"/>
        <w:szCs w:val="20"/>
      </w:rPr>
      <w:t>/INFOEM/IP/RR/2023</w:t>
    </w:r>
    <w:r w:rsidR="00636095">
      <w:rPr>
        <w:rFonts w:ascii="Palatino Linotype" w:eastAsia="Palatino Linotype" w:hAnsi="Palatino Linotype" w:cs="Palatino Linotype"/>
        <w:b/>
        <w:color w:val="000000"/>
        <w:sz w:val="20"/>
        <w:szCs w:val="20"/>
      </w:rPr>
      <w:t xml:space="preserve"> Y ACUMULADOS.</w:t>
    </w:r>
    <w:r>
      <w:rPr>
        <w:rFonts w:ascii="Palatino Linotype" w:eastAsia="Palatino Linotype" w:hAnsi="Palatino Linotype" w:cs="Palatino Linotype"/>
        <w:b/>
        <w:color w:val="000000"/>
        <w:sz w:val="20"/>
        <w:szCs w:val="20"/>
      </w:rPr>
      <w:t xml:space="preserve"> </w:t>
    </w:r>
  </w:p>
  <w:p w:rsidR="00C870A0" w:rsidRDefault="00C870A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C870A0" w:rsidRDefault="00C870A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C705ED3"/>
    <w:multiLevelType w:val="multilevel"/>
    <w:tmpl w:val="1A604B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50585"/>
    <w:multiLevelType w:val="multilevel"/>
    <w:tmpl w:val="CBB69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5F67C0"/>
    <w:multiLevelType w:val="multilevel"/>
    <w:tmpl w:val="0B16BE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314306"/>
    <w:multiLevelType w:val="multilevel"/>
    <w:tmpl w:val="0AEA1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FD4873"/>
    <w:multiLevelType w:val="hybridMultilevel"/>
    <w:tmpl w:val="66B21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F72DB7"/>
    <w:multiLevelType w:val="hybridMultilevel"/>
    <w:tmpl w:val="16064D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000C2A"/>
    <w:multiLevelType w:val="multilevel"/>
    <w:tmpl w:val="D19C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5C4A8F"/>
    <w:multiLevelType w:val="hybridMultilevel"/>
    <w:tmpl w:val="0B726A5A"/>
    <w:lvl w:ilvl="0" w:tplc="70C0009E">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0" w15:restartNumberingAfterBreak="0">
    <w:nsid w:val="41FE6D57"/>
    <w:multiLevelType w:val="hybridMultilevel"/>
    <w:tmpl w:val="E85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92D44"/>
    <w:multiLevelType w:val="multilevel"/>
    <w:tmpl w:val="A986F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820F4A"/>
    <w:multiLevelType w:val="multilevel"/>
    <w:tmpl w:val="55DE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4"/>
  </w:num>
  <w:num w:numId="5">
    <w:abstractNumId w:val="11"/>
  </w:num>
  <w:num w:numId="6">
    <w:abstractNumId w:val="0"/>
  </w:num>
  <w:num w:numId="7">
    <w:abstractNumId w:val="5"/>
  </w:num>
  <w:num w:numId="8">
    <w:abstractNumId w:val="7"/>
  </w:num>
  <w:num w:numId="9">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numFmt w:val="lowerLetter"/>
        <w:lvlText w:val="%1."/>
        <w:lvlJc w:val="left"/>
      </w:lvl>
    </w:lvlOverride>
  </w:num>
  <w:num w:numId="11">
    <w:abstractNumId w:val="3"/>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A0"/>
    <w:rsid w:val="0000626A"/>
    <w:rsid w:val="00217F8B"/>
    <w:rsid w:val="0026530A"/>
    <w:rsid w:val="003B565F"/>
    <w:rsid w:val="00435625"/>
    <w:rsid w:val="0045132E"/>
    <w:rsid w:val="004E1695"/>
    <w:rsid w:val="0055281B"/>
    <w:rsid w:val="006070A0"/>
    <w:rsid w:val="00636095"/>
    <w:rsid w:val="006C1DC1"/>
    <w:rsid w:val="006C2D6A"/>
    <w:rsid w:val="0074566A"/>
    <w:rsid w:val="007809F0"/>
    <w:rsid w:val="007B160A"/>
    <w:rsid w:val="00A16609"/>
    <w:rsid w:val="00B5288E"/>
    <w:rsid w:val="00B53090"/>
    <w:rsid w:val="00BD55E6"/>
    <w:rsid w:val="00BD5CF7"/>
    <w:rsid w:val="00C44AD2"/>
    <w:rsid w:val="00C870A0"/>
    <w:rsid w:val="00DC5D4C"/>
    <w:rsid w:val="00DE0790"/>
    <w:rsid w:val="00E83E45"/>
    <w:rsid w:val="00FA26E7"/>
    <w:rsid w:val="00FB2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ECAA"/>
  <w15:docId w15:val="{798FE887-431D-4F0C-8004-AA1313E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4784">
      <w:bodyDiv w:val="1"/>
      <w:marLeft w:val="0"/>
      <w:marRight w:val="0"/>
      <w:marTop w:val="0"/>
      <w:marBottom w:val="0"/>
      <w:divBdr>
        <w:top w:val="none" w:sz="0" w:space="0" w:color="auto"/>
        <w:left w:val="none" w:sz="0" w:space="0" w:color="auto"/>
        <w:bottom w:val="none" w:sz="0" w:space="0" w:color="auto"/>
        <w:right w:val="none" w:sz="0" w:space="0" w:color="auto"/>
      </w:divBdr>
    </w:div>
    <w:div w:id="949632058">
      <w:bodyDiv w:val="1"/>
      <w:marLeft w:val="0"/>
      <w:marRight w:val="0"/>
      <w:marTop w:val="0"/>
      <w:marBottom w:val="0"/>
      <w:divBdr>
        <w:top w:val="none" w:sz="0" w:space="0" w:color="auto"/>
        <w:left w:val="none" w:sz="0" w:space="0" w:color="auto"/>
        <w:bottom w:val="none" w:sz="0" w:space="0" w:color="auto"/>
        <w:right w:val="none" w:sz="0" w:space="0" w:color="auto"/>
      </w:divBdr>
      <w:divsChild>
        <w:div w:id="1672221875">
          <w:marLeft w:val="0"/>
          <w:marRight w:val="0"/>
          <w:marTop w:val="0"/>
          <w:marBottom w:val="82"/>
          <w:divBdr>
            <w:top w:val="none" w:sz="0" w:space="0" w:color="auto"/>
            <w:left w:val="none" w:sz="0" w:space="0" w:color="auto"/>
            <w:bottom w:val="none" w:sz="0" w:space="0" w:color="auto"/>
            <w:right w:val="none" w:sz="0" w:space="0" w:color="auto"/>
          </w:divBdr>
        </w:div>
        <w:div w:id="877820453">
          <w:marLeft w:val="0"/>
          <w:marRight w:val="0"/>
          <w:marTop w:val="0"/>
          <w:marBottom w:val="82"/>
          <w:divBdr>
            <w:top w:val="none" w:sz="0" w:space="0" w:color="auto"/>
            <w:left w:val="none" w:sz="0" w:space="0" w:color="auto"/>
            <w:bottom w:val="none" w:sz="0" w:space="0" w:color="auto"/>
            <w:right w:val="none" w:sz="0" w:space="0" w:color="auto"/>
          </w:divBdr>
        </w:div>
        <w:div w:id="2052534487">
          <w:marLeft w:val="0"/>
          <w:marRight w:val="0"/>
          <w:marTop w:val="0"/>
          <w:marBottom w:val="82"/>
          <w:divBdr>
            <w:top w:val="none" w:sz="0" w:space="0" w:color="auto"/>
            <w:left w:val="none" w:sz="0" w:space="0" w:color="auto"/>
            <w:bottom w:val="none" w:sz="0" w:space="0" w:color="auto"/>
            <w:right w:val="none" w:sz="0" w:space="0" w:color="auto"/>
          </w:divBdr>
        </w:div>
      </w:divsChild>
    </w:div>
    <w:div w:id="1817800617">
      <w:bodyDiv w:val="1"/>
      <w:marLeft w:val="0"/>
      <w:marRight w:val="0"/>
      <w:marTop w:val="0"/>
      <w:marBottom w:val="0"/>
      <w:divBdr>
        <w:top w:val="none" w:sz="0" w:space="0" w:color="auto"/>
        <w:left w:val="none" w:sz="0" w:space="0" w:color="auto"/>
        <w:bottom w:val="none" w:sz="0" w:space="0" w:color="auto"/>
        <w:right w:val="none" w:sz="0" w:space="0" w:color="auto"/>
      </w:divBdr>
    </w:div>
    <w:div w:id="1906721057">
      <w:bodyDiv w:val="1"/>
      <w:marLeft w:val="0"/>
      <w:marRight w:val="0"/>
      <w:marTop w:val="0"/>
      <w:marBottom w:val="0"/>
      <w:divBdr>
        <w:top w:val="none" w:sz="0" w:space="0" w:color="auto"/>
        <w:left w:val="none" w:sz="0" w:space="0" w:color="auto"/>
        <w:bottom w:val="none" w:sz="0" w:space="0" w:color="auto"/>
        <w:right w:val="none" w:sz="0" w:space="0" w:color="auto"/>
      </w:divBdr>
      <w:divsChild>
        <w:div w:id="3409176">
          <w:marLeft w:val="0"/>
          <w:marRight w:val="0"/>
          <w:marTop w:val="0"/>
          <w:marBottom w:val="82"/>
          <w:divBdr>
            <w:top w:val="none" w:sz="0" w:space="0" w:color="auto"/>
            <w:left w:val="none" w:sz="0" w:space="0" w:color="auto"/>
            <w:bottom w:val="none" w:sz="0" w:space="0" w:color="auto"/>
            <w:right w:val="none" w:sz="0" w:space="0" w:color="auto"/>
          </w:divBdr>
        </w:div>
        <w:div w:id="2078554846">
          <w:marLeft w:val="0"/>
          <w:marRight w:val="0"/>
          <w:marTop w:val="0"/>
          <w:marBottom w:val="82"/>
          <w:divBdr>
            <w:top w:val="none" w:sz="0" w:space="0" w:color="auto"/>
            <w:left w:val="none" w:sz="0" w:space="0" w:color="auto"/>
            <w:bottom w:val="none" w:sz="0" w:space="0" w:color="auto"/>
            <w:right w:val="none" w:sz="0" w:space="0" w:color="auto"/>
          </w:divBdr>
        </w:div>
        <w:div w:id="54479196">
          <w:marLeft w:val="0"/>
          <w:marRight w:val="0"/>
          <w:marTop w:val="0"/>
          <w:marBottom w:val="82"/>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izapan.gob.mx/cona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NBnFqjnlrvL0avcYN8o9vvXhg==">CgMxLjAyCGguZ2pkZ3hzMg1oLnpqMHRzYzRtemV6Mg5oLjJnejNmMXg1MWw4eTIOaC5hYWx4djAxOHJobG0yDmgubjBpZG53ZnNjOWZ2Mg5oLjdqeHRnc2szOGtkdTIOaC4zaGVzdGFjc2c0cHgyDmguNW8xb2lhcmgwZGFxMg5oLmNwMGw1NmV2dWhrdjIOaC5jZDZ1N3pwZjFkbGYyDmgudDR0aXE5cWZzNm5mOAByITFMZDFjSG5NemlzbzZQUlNmU18tejlTX2pGTDhVYU1y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3037</Words>
  <Characters>17311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NAJERA </cp:lastModifiedBy>
  <cp:revision>3</cp:revision>
  <cp:lastPrinted>2023-09-04T17:01:00Z</cp:lastPrinted>
  <dcterms:created xsi:type="dcterms:W3CDTF">2023-09-22T20:39:00Z</dcterms:created>
  <dcterms:modified xsi:type="dcterms:W3CDTF">2023-09-22T21:08:00Z</dcterms:modified>
</cp:coreProperties>
</file>