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60BB" w14:textId="77777777" w:rsidR="00F03166" w:rsidRDefault="00F03166" w:rsidP="00C169ED">
      <w:pPr>
        <w:tabs>
          <w:tab w:val="left" w:pos="1843"/>
        </w:tabs>
        <w:spacing w:after="0" w:line="360" w:lineRule="auto"/>
        <w:jc w:val="both"/>
        <w:rPr>
          <w:rFonts w:ascii="Palatino Linotype" w:hAnsi="Palatino Linotype" w:cs="Tahoma"/>
          <w:b/>
        </w:rPr>
      </w:pPr>
    </w:p>
    <w:p w14:paraId="578E4ECC" w14:textId="2EE4E2A7" w:rsidR="00C169ED" w:rsidRDefault="00C169ED" w:rsidP="00C169ED">
      <w:pPr>
        <w:tabs>
          <w:tab w:val="left" w:pos="1843"/>
        </w:tabs>
        <w:spacing w:after="0" w:line="360" w:lineRule="auto"/>
        <w:jc w:val="both"/>
        <w:rPr>
          <w:rFonts w:ascii="Palatino Linotype" w:hAnsi="Palatino Linotype" w:cs="Tahoma"/>
          <w:b/>
        </w:rPr>
      </w:pPr>
      <w:r w:rsidRPr="000C73AC">
        <w:rPr>
          <w:rFonts w:ascii="Palatino Linotype" w:hAnsi="Palatino Linotype" w:cs="Tahoma"/>
          <w:b/>
        </w:rPr>
        <w:t xml:space="preserve">VOTO PARTICULAR QUE FORMULA EL COMISIONADO LUIS GUSTAVO PARRA NORIEGA, A LA RESOLUCIÓN DEL RECURSO DE REVISIÓN </w:t>
      </w:r>
      <w:r w:rsidR="00390F20" w:rsidRPr="00390F20">
        <w:rPr>
          <w:rFonts w:ascii="Palatino Linotype" w:hAnsi="Palatino Linotype" w:cs="Arial"/>
          <w:b/>
          <w:bCs/>
          <w:lang w:val="es-MX" w:eastAsia="es-MX"/>
        </w:rPr>
        <w:t>13902/INFOEM/IP/RR/2022 Y ACUMULADOS</w:t>
      </w:r>
      <w:r w:rsidRPr="000C73AC">
        <w:rPr>
          <w:rFonts w:ascii="Palatino Linotype" w:hAnsi="Palatino Linotype" w:cs="Tahoma"/>
          <w:b/>
        </w:rPr>
        <w:t>, PROMOVIDO EN CONTRA DE</w:t>
      </w:r>
      <w:r>
        <w:rPr>
          <w:rFonts w:ascii="Palatino Linotype" w:hAnsi="Palatino Linotype" w:cs="Tahoma"/>
          <w:b/>
        </w:rPr>
        <w:t xml:space="preserve">L AYUNTAMIENTO DE </w:t>
      </w:r>
      <w:r w:rsidR="00456620" w:rsidRPr="00456620">
        <w:rPr>
          <w:rFonts w:ascii="Palatino Linotype" w:hAnsi="Palatino Linotype" w:cs="Tahoma"/>
          <w:b/>
        </w:rPr>
        <w:t>TLALNEPANTLA DE BAZ</w:t>
      </w:r>
      <w:r w:rsidR="00456620">
        <w:rPr>
          <w:rFonts w:ascii="Palatino Linotype" w:hAnsi="Palatino Linotype" w:cs="Tahoma"/>
          <w:b/>
        </w:rPr>
        <w:t>.</w:t>
      </w:r>
    </w:p>
    <w:p w14:paraId="6CB6764A" w14:textId="77777777" w:rsidR="00456620" w:rsidRPr="000C73AC" w:rsidRDefault="00456620" w:rsidP="00C169ED">
      <w:pPr>
        <w:tabs>
          <w:tab w:val="left" w:pos="1843"/>
        </w:tabs>
        <w:spacing w:after="0" w:line="360" w:lineRule="auto"/>
        <w:jc w:val="both"/>
        <w:rPr>
          <w:rFonts w:ascii="Palatino Linotype" w:hAnsi="Palatino Linotype" w:cs="Arial"/>
          <w:b/>
        </w:rPr>
      </w:pPr>
    </w:p>
    <w:p w14:paraId="0971DF8C" w14:textId="187767A0" w:rsidR="00C169ED" w:rsidRPr="000C73AC" w:rsidRDefault="00C169ED" w:rsidP="00C169ED">
      <w:pPr>
        <w:spacing w:after="0" w:line="360" w:lineRule="auto"/>
        <w:jc w:val="both"/>
        <w:rPr>
          <w:rFonts w:ascii="Palatino Linotype" w:hAnsi="Palatino Linotype" w:cs="Tahoma"/>
        </w:rPr>
      </w:pPr>
      <w:r w:rsidRPr="000C73AC">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RPr="000C73AC">
        <w:rPr>
          <w:rFonts w:ascii="Palatino Linotype" w:hAnsi="Palatino Linotype" w:cs="Tahoma"/>
          <w:b/>
        </w:rPr>
        <w:t>Voto Particular</w:t>
      </w:r>
      <w:r w:rsidRPr="000C73AC">
        <w:rPr>
          <w:rFonts w:ascii="Palatino Linotype" w:hAnsi="Palatino Linotype" w:cs="Tahoma"/>
        </w:rPr>
        <w:t xml:space="preserve"> por no compartir en su totalidad las consideraciones que sustentan la Resolución del Recurso de Revisión </w:t>
      </w:r>
      <w:r w:rsidR="00390F20" w:rsidRPr="00390F20">
        <w:rPr>
          <w:rFonts w:ascii="Palatino Linotype" w:hAnsi="Palatino Linotype"/>
          <w:b/>
          <w:bCs/>
          <w:lang w:val="es-MX"/>
        </w:rPr>
        <w:t>13902/INFOEM/IP/RR/2022 y acumulados</w:t>
      </w:r>
      <w:r w:rsidRPr="000C73AC">
        <w:rPr>
          <w:rFonts w:ascii="Palatino Linotype" w:hAnsi="Palatino Linotype"/>
          <w:b/>
          <w:bCs/>
          <w:lang w:val="es-MX"/>
        </w:rPr>
        <w:t xml:space="preserve">, </w:t>
      </w:r>
      <w:r w:rsidRPr="000C73AC">
        <w:rPr>
          <w:rFonts w:ascii="Palatino Linotype" w:hAnsi="Palatino Linotype" w:cs="Tahoma"/>
        </w:rPr>
        <w:t>conforme a lo siguiente:</w:t>
      </w:r>
    </w:p>
    <w:p w14:paraId="7099C5DD" w14:textId="77777777" w:rsidR="00C169ED" w:rsidRDefault="00C169ED" w:rsidP="00C169ED">
      <w:pPr>
        <w:tabs>
          <w:tab w:val="left" w:pos="1843"/>
        </w:tabs>
        <w:spacing w:after="0" w:line="360" w:lineRule="auto"/>
        <w:jc w:val="both"/>
        <w:rPr>
          <w:rFonts w:ascii="Palatino Linotype" w:hAnsi="Palatino Linotype" w:cs="Tahoma"/>
        </w:rPr>
      </w:pPr>
    </w:p>
    <w:p w14:paraId="39A60329" w14:textId="0998D075"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pueden contener el </w:t>
      </w:r>
      <w:r>
        <w:rPr>
          <w:rFonts w:ascii="Palatino Linotype" w:hAnsi="Palatino Linotype" w:cs="Tahoma"/>
          <w:b/>
          <w:bCs/>
          <w:u w:val="single"/>
        </w:rPr>
        <w:t>nombre y cargo</w:t>
      </w:r>
      <w:r w:rsidRPr="005A5AC9">
        <w:rPr>
          <w:rFonts w:ascii="Palatino Linotype" w:hAnsi="Palatino Linotype" w:cs="Tahoma"/>
          <w:b/>
          <w:bCs/>
        </w:rPr>
        <w:t xml:space="preserve"> de los elementos operativos del área de seguridad pública del Sujeto Obligado</w:t>
      </w:r>
      <w:r>
        <w:rPr>
          <w:rFonts w:ascii="Palatino Linotype" w:hAnsi="Palatino Linotype" w:cs="Tahoma"/>
        </w:rPr>
        <w:t>, por ello, se determinó que estos deben ser clasificados como reservados y, se ordenó la entrega de la información en versión pública, así como el acuerdo de clasificación emitido por el Comité de Transparencia.</w:t>
      </w:r>
    </w:p>
    <w:p w14:paraId="30D413B6" w14:textId="77777777" w:rsidR="00796F78" w:rsidRDefault="00796F78" w:rsidP="00796F78">
      <w:pPr>
        <w:spacing w:after="0" w:line="360" w:lineRule="auto"/>
        <w:jc w:val="both"/>
        <w:rPr>
          <w:rFonts w:ascii="Palatino Linotype" w:hAnsi="Palatino Linotype" w:cs="Tahoma"/>
        </w:rPr>
      </w:pPr>
    </w:p>
    <w:p w14:paraId="53050276"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w:t>
      </w:r>
      <w:r w:rsidRPr="00D76A6E">
        <w:rPr>
          <w:rFonts w:ascii="Palatino Linotype" w:hAnsi="Palatino Linotype" w:cs="Tahoma"/>
          <w:u w:val="single"/>
        </w:rPr>
        <w:t>la reserva del nombre de aquellos servidores públicos que realizan funciones de seguridad pública</w:t>
      </w:r>
      <w:r>
        <w:rPr>
          <w:rFonts w:ascii="Palatino Linotype" w:hAnsi="Palatino Linotype" w:cs="Tahoma"/>
        </w:rPr>
        <w:t xml:space="preserve">, considero que para acreditar dicha circunstancia el Organismo Garante debe de desarrollar y estudiar la prueba de daño específica; además, no comparto la </w:t>
      </w:r>
      <w:r>
        <w:rPr>
          <w:rFonts w:ascii="Palatino Linotype" w:hAnsi="Palatino Linotype" w:cs="Tahoma"/>
        </w:rPr>
        <w:lastRenderedPageBreak/>
        <w:t>clasificación del cargo y el horario de los elementos operativos, por las siguientes consideraciones.</w:t>
      </w:r>
    </w:p>
    <w:p w14:paraId="023C3E70" w14:textId="77777777" w:rsidR="00796F78" w:rsidRDefault="00796F78" w:rsidP="00796F78">
      <w:pPr>
        <w:spacing w:after="0" w:line="360" w:lineRule="auto"/>
        <w:jc w:val="both"/>
        <w:rPr>
          <w:rFonts w:ascii="Palatino Linotype" w:hAnsi="Palatino Linotype" w:cs="Tahoma"/>
        </w:rPr>
      </w:pPr>
    </w:p>
    <w:p w14:paraId="5C3412CC" w14:textId="77777777" w:rsidR="00796F78" w:rsidRPr="00C75CD8" w:rsidRDefault="00796F78" w:rsidP="00796F78">
      <w:pPr>
        <w:spacing w:after="0" w:line="360" w:lineRule="auto"/>
        <w:jc w:val="both"/>
        <w:rPr>
          <w:rFonts w:ascii="Palatino Linotype" w:hAnsi="Palatino Linotype" w:cs="Tahoma"/>
          <w:b/>
          <w:bCs/>
        </w:rPr>
      </w:pPr>
      <w:r w:rsidRPr="00C75CD8">
        <w:rPr>
          <w:rFonts w:ascii="Palatino Linotype" w:hAnsi="Palatino Linotype" w:cs="Tahoma"/>
          <w:b/>
          <w:bCs/>
        </w:rPr>
        <w:t>A) Clasificación del nombre de los elementos operativos de seguridad pública.</w:t>
      </w:r>
    </w:p>
    <w:p w14:paraId="54C1FA39" w14:textId="77777777" w:rsidR="00796F78" w:rsidRDefault="00796F78" w:rsidP="00796F78">
      <w:pPr>
        <w:spacing w:after="0" w:line="360" w:lineRule="auto"/>
        <w:jc w:val="both"/>
        <w:rPr>
          <w:rFonts w:ascii="Palatino Linotype" w:hAnsi="Palatino Linotype" w:cs="Tahoma"/>
        </w:rPr>
      </w:pPr>
    </w:p>
    <w:p w14:paraId="30A92C95"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Por lo que hace a la clasificación del nombre de elementos operativos, considero especialmente que el tema de la reserva debe analizarse de forma tal que se plantee en el estudio la prueba de daño que permita a este Organismo Garante confirmar que la entrega de la información causa un daño al interés público y que en ese caso particular, supera el derecho de acceso a la información de un particular; lo anterior, en virtud de que, para que proceda o no la reserva, no basta con que se actualice el dispositivo normativo previsto en el artículo 140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sino que además es menester acreditar la prueba de daño, de conformidad con lo establecido en los artículos 128, 129 y 130 de la </w:t>
      </w:r>
      <w:r w:rsidRPr="00885189">
        <w:rPr>
          <w:rFonts w:ascii="Palatino Linotype" w:hAnsi="Palatino Linotype" w:cs="Tahoma"/>
        </w:rPr>
        <w:t xml:space="preserve">Ley </w:t>
      </w:r>
      <w:r>
        <w:rPr>
          <w:rFonts w:ascii="Palatino Linotype" w:hAnsi="Palatino Linotype" w:cs="Tahoma"/>
        </w:rPr>
        <w:t xml:space="preserve">antes citada, en relación con el Trigésimo de los </w:t>
      </w:r>
      <w:r w:rsidRPr="001A758C">
        <w:rPr>
          <w:rFonts w:ascii="Palatino Linotype" w:hAnsi="Palatino Linotype" w:cs="Tahoma"/>
        </w:rPr>
        <w:t>Lineamientos Generales en Materia de Clasificación y</w:t>
      </w:r>
      <w:r>
        <w:rPr>
          <w:rFonts w:ascii="Palatino Linotype" w:hAnsi="Palatino Linotype" w:cs="Tahoma"/>
        </w:rPr>
        <w:t xml:space="preserve"> </w:t>
      </w:r>
      <w:r w:rsidRPr="001A758C">
        <w:rPr>
          <w:rFonts w:ascii="Palatino Linotype" w:hAnsi="Palatino Linotype" w:cs="Tahoma"/>
        </w:rPr>
        <w:t>Desclasificación de la Información, así como para la</w:t>
      </w:r>
      <w:r>
        <w:rPr>
          <w:rFonts w:ascii="Palatino Linotype" w:hAnsi="Palatino Linotype" w:cs="Tahoma"/>
        </w:rPr>
        <w:t xml:space="preserve"> </w:t>
      </w:r>
      <w:r w:rsidRPr="001A758C">
        <w:rPr>
          <w:rFonts w:ascii="Palatino Linotype" w:hAnsi="Palatino Linotype" w:cs="Tahoma"/>
        </w:rPr>
        <w:t>Elaboración de Versiones Públicas</w:t>
      </w:r>
      <w:r>
        <w:rPr>
          <w:rFonts w:ascii="Palatino Linotype" w:hAnsi="Palatino Linotype" w:cs="Tahoma"/>
        </w:rPr>
        <w:t>.</w:t>
      </w:r>
    </w:p>
    <w:p w14:paraId="65201BBB" w14:textId="77777777" w:rsidR="00796F78" w:rsidRDefault="00796F78" w:rsidP="00796F78">
      <w:pPr>
        <w:spacing w:after="0" w:line="360" w:lineRule="auto"/>
        <w:jc w:val="both"/>
        <w:rPr>
          <w:rFonts w:ascii="Palatino Linotype" w:hAnsi="Palatino Linotype" w:cs="Tahoma"/>
        </w:rPr>
      </w:pPr>
    </w:p>
    <w:p w14:paraId="1BD4B957" w14:textId="272D6149" w:rsidR="00796F78" w:rsidRDefault="00796F78" w:rsidP="00796F78">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ordenamientos citados, es necesario confirmar que la entrega del nombre de los elementos operativos de seguridad </w:t>
      </w:r>
      <w:r w:rsidR="00E95351">
        <w:rPr>
          <w:rFonts w:ascii="Palatino Linotype" w:hAnsi="Palatino Linotype" w:cs="Tahoma"/>
        </w:rPr>
        <w:t>pública</w:t>
      </w:r>
      <w:r>
        <w:rPr>
          <w:rFonts w:ascii="Palatino Linotype" w:hAnsi="Palatino Linotype" w:cs="Tahoma"/>
        </w:rPr>
        <w:t xml:space="preserve">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4AD7015E" w14:textId="77777777" w:rsidR="00796F78" w:rsidRDefault="00796F78" w:rsidP="00796F78">
      <w:pPr>
        <w:spacing w:after="0" w:line="360" w:lineRule="auto"/>
        <w:jc w:val="both"/>
        <w:rPr>
          <w:rFonts w:ascii="Palatino Linotype" w:hAnsi="Palatino Linotype" w:cs="Tahoma"/>
        </w:rPr>
      </w:pPr>
    </w:p>
    <w:p w14:paraId="355C46EB" w14:textId="77777777" w:rsidR="00796F78" w:rsidRPr="00FB0274" w:rsidRDefault="00796F78" w:rsidP="00796F78">
      <w:pPr>
        <w:spacing w:after="0" w:line="360" w:lineRule="auto"/>
        <w:jc w:val="both"/>
        <w:rPr>
          <w:rFonts w:ascii="Palatino Linotype" w:hAnsi="Palatino Linotype"/>
        </w:rPr>
      </w:pPr>
      <w:r>
        <w:rPr>
          <w:rFonts w:ascii="Palatino Linotype" w:hAnsi="Palatino Linotype"/>
        </w:rPr>
        <w:t>Lo anterior, resulta importante</w:t>
      </w:r>
      <w:r w:rsidRPr="00FB0274">
        <w:rPr>
          <w:rFonts w:ascii="Palatino Linotype" w:hAnsi="Palatino Linotype"/>
        </w:rPr>
        <w:t>,</w:t>
      </w:r>
      <w:r>
        <w:rPr>
          <w:rFonts w:ascii="Palatino Linotype" w:hAnsi="Palatino Linotype"/>
        </w:rPr>
        <w:t xml:space="preserve"> toda vez que</w:t>
      </w:r>
      <w:r w:rsidRPr="00FB0274">
        <w:rPr>
          <w:rFonts w:ascii="Palatino Linotype" w:hAnsi="Palatino Linotype"/>
        </w:rPr>
        <w:t xml:space="preserve">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w:t>
      </w:r>
      <w:r w:rsidRPr="00FB0274">
        <w:rPr>
          <w:rFonts w:ascii="Palatino Linotype" w:hAnsi="Palatino Linotype"/>
        </w:rPr>
        <w:lastRenderedPageBreak/>
        <w:t>pública, se encuentran en un régimen de excepción a diferencia de los servidores públicos con funciones administrativas</w:t>
      </w:r>
      <w:r>
        <w:rPr>
          <w:rFonts w:ascii="Palatino Linotype" w:hAnsi="Palatino Linotype"/>
        </w:rPr>
        <w:t xml:space="preserve"> incluso de las mismas áreas de seguridad pública</w:t>
      </w:r>
      <w:r w:rsidRPr="00FB0274">
        <w:rPr>
          <w:rFonts w:ascii="Palatino Linotype" w:hAnsi="Palatino Linotype"/>
        </w:rPr>
        <w:t>,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3019820F" w14:textId="77777777" w:rsidR="00796F78" w:rsidRPr="00FB0274" w:rsidRDefault="00796F78" w:rsidP="00796F78">
      <w:pPr>
        <w:spacing w:after="0" w:line="360" w:lineRule="auto"/>
        <w:jc w:val="both"/>
        <w:rPr>
          <w:rFonts w:ascii="Palatino Linotype" w:hAnsi="Palatino Linotype"/>
        </w:rPr>
      </w:pPr>
    </w:p>
    <w:p w14:paraId="5D9F4760" w14:textId="1A896229" w:rsidR="00796F78" w:rsidRPr="00FB0274" w:rsidRDefault="00796F78" w:rsidP="00796F78">
      <w:pPr>
        <w:spacing w:after="0" w:line="360" w:lineRule="auto"/>
        <w:jc w:val="both"/>
        <w:rPr>
          <w:rFonts w:ascii="Palatino Linotype" w:hAnsi="Palatino Linotype"/>
        </w:rPr>
      </w:pPr>
      <w:r w:rsidRPr="00FB0274">
        <w:rPr>
          <w:rFonts w:ascii="Palatino Linotype" w:hAnsi="Palatino Linotype"/>
        </w:rPr>
        <w:t xml:space="preserve">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w:t>
      </w:r>
      <w:r w:rsidR="00E95351" w:rsidRPr="00FB0274">
        <w:rPr>
          <w:rFonts w:ascii="Palatino Linotype" w:hAnsi="Palatino Linotype"/>
        </w:rPr>
        <w:t>información</w:t>
      </w:r>
      <w:r w:rsidRPr="00FB0274">
        <w:rPr>
          <w:rFonts w:ascii="Palatino Linotype" w:hAnsi="Palatino Linotype"/>
        </w:rPr>
        <w:t xml:space="preserve"> pone en riesgo su vida,</w:t>
      </w:r>
      <w:r>
        <w:rPr>
          <w:rFonts w:ascii="Palatino Linotype" w:hAnsi="Palatino Linotype"/>
        </w:rPr>
        <w:t xml:space="preserve"> salud,</w:t>
      </w:r>
      <w:r w:rsidRPr="00FB0274">
        <w:rPr>
          <w:rFonts w:ascii="Palatino Linotype" w:hAnsi="Palatino Linotype"/>
        </w:rPr>
        <w:t xml:space="preserve"> integridad o seguridad.</w:t>
      </w:r>
    </w:p>
    <w:p w14:paraId="4282041E" w14:textId="77777777" w:rsidR="00796F78" w:rsidRPr="00FB0274" w:rsidRDefault="00796F78" w:rsidP="00796F78">
      <w:pPr>
        <w:spacing w:after="0" w:line="360" w:lineRule="auto"/>
        <w:jc w:val="both"/>
        <w:rPr>
          <w:rFonts w:ascii="Palatino Linotype" w:hAnsi="Palatino Linotype"/>
        </w:rPr>
      </w:pPr>
    </w:p>
    <w:p w14:paraId="10E4CF5D" w14:textId="77777777" w:rsidR="00796F78" w:rsidRPr="00FB0274" w:rsidRDefault="00796F78" w:rsidP="00796F78">
      <w:pPr>
        <w:spacing w:after="0" w:line="360" w:lineRule="auto"/>
        <w:jc w:val="both"/>
        <w:rPr>
          <w:rFonts w:ascii="Palatino Linotype" w:hAnsi="Palatino Linotype"/>
        </w:rPr>
      </w:pPr>
      <w:r w:rsidRPr="00FB0274">
        <w:rPr>
          <w:rFonts w:ascii="Palatino Linotype" w:hAnsi="Palatino Linotype"/>
        </w:rPr>
        <w:t xml:space="preserve">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w:t>
      </w:r>
      <w:r>
        <w:rPr>
          <w:rFonts w:ascii="Palatino Linotype" w:hAnsi="Palatino Linotype"/>
        </w:rPr>
        <w:t>Local</w:t>
      </w:r>
      <w:r w:rsidRPr="00FB0274">
        <w:rPr>
          <w:rFonts w:ascii="Palatino Linotype" w:hAnsi="Palatino Linotype"/>
        </w:rPr>
        <w:t>, antes referido, el cual dispone lo siguiente:</w:t>
      </w:r>
    </w:p>
    <w:p w14:paraId="34F3DBCE" w14:textId="77777777" w:rsidR="00796F78" w:rsidRPr="006A7606" w:rsidRDefault="00796F78" w:rsidP="00796F78">
      <w:pPr>
        <w:spacing w:after="0" w:line="360" w:lineRule="auto"/>
        <w:jc w:val="both"/>
        <w:rPr>
          <w:rFonts w:ascii="Palatino Linotype" w:eastAsia="MS Mincho" w:hAnsi="Palatino Linotype" w:cs="Arial"/>
        </w:rPr>
      </w:pPr>
    </w:p>
    <w:p w14:paraId="0A445072"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1A758C">
        <w:rPr>
          <w:rFonts w:ascii="Palatino Linotype" w:eastAsia="MS Mincho" w:hAnsi="Palatino Linotype" w:cs="Arial"/>
          <w:b/>
          <w:bCs/>
          <w:i/>
          <w:sz w:val="20"/>
          <w:szCs w:val="20"/>
        </w:rPr>
        <w:t>“Artículo 140.</w:t>
      </w:r>
      <w:r w:rsidRPr="006E2C84">
        <w:rPr>
          <w:rFonts w:ascii="Palatino Linotype" w:eastAsia="MS Mincho" w:hAnsi="Palatino Linotype" w:cs="Arial"/>
          <w:i/>
          <w:sz w:val="20"/>
          <w:szCs w:val="20"/>
        </w:rPr>
        <w:t xml:space="preserve"> El acceso a la información pública será restringido excepcionalmente, cuando por razones de interés público, ésta sea clasificada como reservada, conforme a los criterios siguientes:</w:t>
      </w:r>
    </w:p>
    <w:p w14:paraId="79CEDA63"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F9CF1EB"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12F971DB"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lastRenderedPageBreak/>
        <w:t>…”</w:t>
      </w:r>
    </w:p>
    <w:p w14:paraId="06919BDB" w14:textId="77777777" w:rsidR="00796F78" w:rsidRDefault="00796F78" w:rsidP="00796F78">
      <w:pPr>
        <w:spacing w:after="0" w:line="360" w:lineRule="auto"/>
        <w:jc w:val="both"/>
        <w:rPr>
          <w:rFonts w:ascii="Palatino Linotype" w:eastAsia="MS Mincho" w:hAnsi="Palatino Linotype" w:cs="Arial"/>
        </w:rPr>
      </w:pPr>
    </w:p>
    <w:p w14:paraId="1B14C401" w14:textId="77777777" w:rsidR="00796F78" w:rsidRPr="001A758C" w:rsidRDefault="00796F78" w:rsidP="00796F78">
      <w:pPr>
        <w:spacing w:after="0" w:line="360" w:lineRule="auto"/>
        <w:jc w:val="both"/>
        <w:rPr>
          <w:rFonts w:ascii="Palatino Linotype" w:eastAsia="MS Mincho" w:hAnsi="Palatino Linotype" w:cs="Arial"/>
          <w:b/>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establece que, para actualizar la causal de reserva aludida, se deberá </w:t>
      </w:r>
      <w:r w:rsidRPr="00C75CD8">
        <w:rPr>
          <w:rFonts w:ascii="Palatino Linotype" w:eastAsia="Calibri" w:hAnsi="Palatino Linotype" w:cs="Tahoma"/>
          <w:b/>
          <w:bCs/>
          <w:u w:val="single"/>
        </w:rPr>
        <w:t>acreditar el vínculo</w:t>
      </w:r>
      <w:r w:rsidRPr="000F496B">
        <w:rPr>
          <w:rFonts w:ascii="Palatino Linotype" w:eastAsia="Calibri" w:hAnsi="Palatino Linotype" w:cs="Tahoma"/>
          <w:b/>
          <w:bCs/>
        </w:rPr>
        <w:t>, entre la persona física y la información que pueda poner en riesgo su vida, seguridad o salud</w:t>
      </w:r>
      <w:r>
        <w:rPr>
          <w:rFonts w:ascii="Palatino Linotype" w:eastAsia="Calibri" w:hAnsi="Palatino Linotype" w:cs="Tahoma"/>
          <w:bCs/>
        </w:rPr>
        <w:t xml:space="preserve">, </w:t>
      </w:r>
      <w:r>
        <w:rPr>
          <w:rFonts w:ascii="Palatino Linotype" w:eastAsia="Calibri" w:hAnsi="Palatino Linotype" w:cs="Tahoma"/>
          <w:b/>
        </w:rPr>
        <w:t>por medio de la especificación del bien jurídico que será afectado, así como, el potencial del daño o riesgo que causaría.</w:t>
      </w:r>
    </w:p>
    <w:p w14:paraId="06B00A9F" w14:textId="77777777" w:rsidR="00796F78" w:rsidRDefault="00796F78" w:rsidP="00796F78">
      <w:pPr>
        <w:spacing w:after="0" w:line="360" w:lineRule="auto"/>
        <w:jc w:val="both"/>
        <w:rPr>
          <w:rFonts w:ascii="Palatino Linotype" w:eastAsia="MS Mincho" w:hAnsi="Palatino Linotype" w:cs="Arial"/>
        </w:rPr>
      </w:pPr>
    </w:p>
    <w:p w14:paraId="2A942857" w14:textId="77777777" w:rsidR="00796F78" w:rsidRPr="006A7606" w:rsidRDefault="00796F78" w:rsidP="00796F78">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w:t>
      </w:r>
      <w:r>
        <w:rPr>
          <w:rFonts w:ascii="Palatino Linotype" w:eastAsia="MS Mincho" w:hAnsi="Palatino Linotype" w:cs="Arial"/>
        </w:rPr>
        <w:t>,</w:t>
      </w:r>
      <w:r w:rsidRPr="006A7606">
        <w:rPr>
          <w:rFonts w:ascii="Palatino Linotype" w:eastAsia="MS Mincho" w:hAnsi="Palatino Linotype" w:cs="Arial"/>
        </w:rPr>
        <w:t xml:space="preserv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10DC5C63" w14:textId="77777777" w:rsidR="00796F78" w:rsidRPr="006A7606" w:rsidRDefault="00796F78" w:rsidP="00796F78">
      <w:pPr>
        <w:spacing w:after="0" w:line="360" w:lineRule="auto"/>
        <w:jc w:val="both"/>
        <w:rPr>
          <w:rFonts w:ascii="Palatino Linotype" w:eastAsia="MS Mincho" w:hAnsi="Palatino Linotype" w:cs="Arial"/>
          <w:lang w:val="es-ES_tradnl"/>
        </w:rPr>
      </w:pPr>
    </w:p>
    <w:p w14:paraId="70D10014" w14:textId="77777777" w:rsidR="00796F78" w:rsidRPr="006A7606" w:rsidRDefault="00796F78" w:rsidP="00796F78">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1CFCEF5C" w14:textId="77777777" w:rsidR="00796F78" w:rsidRPr="006A7606" w:rsidRDefault="00796F78" w:rsidP="00796F78">
      <w:pPr>
        <w:spacing w:after="0" w:line="360" w:lineRule="auto"/>
        <w:ind w:left="851" w:right="851"/>
        <w:jc w:val="both"/>
        <w:rPr>
          <w:rFonts w:ascii="Palatino Linotype" w:eastAsia="MS Mincho" w:hAnsi="Palatino Linotype" w:cs="Arial"/>
          <w:i/>
          <w:lang w:val="es-ES_tradnl"/>
        </w:rPr>
      </w:pPr>
    </w:p>
    <w:p w14:paraId="2E776C12"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w:t>
      </w:r>
      <w:r w:rsidRPr="001A758C">
        <w:rPr>
          <w:rFonts w:ascii="Palatino Linotype" w:eastAsia="MS Mincho" w:hAnsi="Palatino Linotype" w:cs="Arial"/>
          <w:bCs/>
          <w:i/>
          <w:sz w:val="20"/>
          <w:szCs w:val="20"/>
          <w:lang w:val="es-ES_tradnl"/>
        </w:rPr>
        <w:t>información para la seguridad pública generada o en poder de Instituciones de Seguridad Pública o de cualquier instancia del Sistema Estatal debe registrarse, clasificarse y tratarse de conformidad con las disposiciones aplicables.</w:t>
      </w:r>
      <w:r w:rsidRPr="006E2C84">
        <w:rPr>
          <w:rFonts w:ascii="Palatino Linotype" w:eastAsia="MS Mincho" w:hAnsi="Palatino Linotype" w:cs="Arial"/>
          <w:b/>
          <w:i/>
          <w:sz w:val="20"/>
          <w:szCs w:val="20"/>
          <w:lang w:val="es-ES_tradnl"/>
        </w:rPr>
        <w:t xml:space="preserve">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3679CB9A"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lastRenderedPageBreak/>
        <w:t>…</w:t>
      </w:r>
    </w:p>
    <w:p w14:paraId="79849D59" w14:textId="77777777" w:rsidR="00796F78" w:rsidRPr="006E2C84" w:rsidRDefault="00796F78" w:rsidP="00796F78">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6F954754" w14:textId="77777777" w:rsidR="00796F78" w:rsidRDefault="00796F78" w:rsidP="00796F78">
      <w:pPr>
        <w:spacing w:after="0" w:line="360" w:lineRule="auto"/>
        <w:jc w:val="both"/>
        <w:rPr>
          <w:rFonts w:ascii="Palatino Linotype" w:hAnsi="Palatino Linotype" w:cs="Arial"/>
        </w:rPr>
      </w:pPr>
    </w:p>
    <w:p w14:paraId="4CDE6637" w14:textId="77777777" w:rsidR="00796F78" w:rsidRPr="006A7606" w:rsidRDefault="00796F78" w:rsidP="00796F78">
      <w:pPr>
        <w:spacing w:after="0" w:line="360" w:lineRule="auto"/>
        <w:jc w:val="both"/>
        <w:rPr>
          <w:rFonts w:ascii="Palatino Linotype" w:hAnsi="Palatino Linotype" w:cs="Arial"/>
        </w:rPr>
      </w:pPr>
      <w:r w:rsidRPr="006A7606">
        <w:rPr>
          <w:rFonts w:ascii="Palatino Linotype" w:hAnsi="Palatino Linotype" w:cs="Arial"/>
        </w:rPr>
        <w:t xml:space="preserve">Argumento que se fortalece con lo estipulado en el </w:t>
      </w:r>
      <w:r w:rsidRPr="001A758C">
        <w:rPr>
          <w:rFonts w:ascii="Palatino Linotype" w:hAnsi="Palatino Linotype" w:cs="Arial"/>
        </w:rPr>
        <w:t>Criterio de interpretación,</w:t>
      </w:r>
      <w:r>
        <w:rPr>
          <w:rFonts w:ascii="Palatino Linotype" w:hAnsi="Palatino Linotype" w:cs="Arial"/>
        </w:rPr>
        <w:t xml:space="preserve"> </w:t>
      </w:r>
      <w:r w:rsidRPr="001A758C">
        <w:rPr>
          <w:rFonts w:ascii="Palatino Linotype" w:hAnsi="Palatino Linotype" w:cs="Arial"/>
        </w:rPr>
        <w:t>con número de registro SO/006/2009, de la Segunda Época, emitido por el entonces</w:t>
      </w:r>
      <w:r>
        <w:rPr>
          <w:rFonts w:ascii="Palatino Linotype" w:hAnsi="Palatino Linotype" w:cs="Arial"/>
        </w:rPr>
        <w:t xml:space="preserve"> </w:t>
      </w:r>
      <w:r w:rsidRPr="001A758C">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0B0419D6" w14:textId="77777777" w:rsidR="00796F78" w:rsidRPr="006A7606" w:rsidRDefault="00796F78" w:rsidP="00796F78">
      <w:pPr>
        <w:spacing w:after="0" w:line="360" w:lineRule="auto"/>
        <w:jc w:val="both"/>
        <w:rPr>
          <w:rFonts w:ascii="Palatino Linotype" w:hAnsi="Palatino Linotype" w:cs="Arial"/>
        </w:rPr>
      </w:pPr>
    </w:p>
    <w:p w14:paraId="375FCFA7" w14:textId="77777777" w:rsidR="00796F78" w:rsidRPr="006E2C84" w:rsidRDefault="00796F78" w:rsidP="00796F78">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71AE1A3F" w14:textId="77777777" w:rsidR="00796F78" w:rsidRDefault="00796F78" w:rsidP="00796F78">
      <w:pPr>
        <w:spacing w:after="0" w:line="360" w:lineRule="auto"/>
        <w:jc w:val="both"/>
        <w:rPr>
          <w:rFonts w:ascii="Palatino Linotype" w:hAnsi="Palatino Linotype"/>
        </w:rPr>
      </w:pPr>
    </w:p>
    <w:p w14:paraId="3F31E842" w14:textId="77777777" w:rsidR="00796F78" w:rsidRPr="006A7606" w:rsidRDefault="00796F78" w:rsidP="00796F78">
      <w:pPr>
        <w:spacing w:after="0" w:line="360" w:lineRule="auto"/>
        <w:jc w:val="both"/>
        <w:rPr>
          <w:rFonts w:ascii="Palatino Linotype" w:hAnsi="Palatino Linotype" w:cs="Arial"/>
        </w:rPr>
      </w:pPr>
      <w:r w:rsidRPr="006A7606">
        <w:rPr>
          <w:rFonts w:ascii="Palatino Linotype" w:hAnsi="Palatino Linotype"/>
        </w:rPr>
        <w:lastRenderedPageBreak/>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recrudecido y el Estado Mexicano ha redoblado esfuerzos para garantizar la seguridad pública, es eliminando el nombre de estos elementos en aquellos documentos que se entreguen en atención a solicitudes de acceso a la información pública</w:t>
      </w:r>
      <w:r>
        <w:rPr>
          <w:rFonts w:ascii="Palatino Linotype" w:hAnsi="Palatino Linotype" w:cs="Arial"/>
        </w:rPr>
        <w:t>,</w:t>
      </w:r>
      <w:r w:rsidRPr="006A7606">
        <w:rPr>
          <w:rFonts w:ascii="Palatino Linotype" w:hAnsi="Palatino Linotype" w:cs="Arial"/>
        </w:rPr>
        <w:t xml:space="preserve"> </w:t>
      </w:r>
      <w:r>
        <w:rPr>
          <w:rFonts w:ascii="Palatino Linotype" w:hAnsi="Palatino Linotype" w:cs="Arial"/>
        </w:rPr>
        <w:t>s</w:t>
      </w:r>
      <w:r w:rsidRPr="006A7606">
        <w:rPr>
          <w:rFonts w:ascii="Palatino Linotype" w:hAnsi="Palatino Linotype" w:cs="Arial"/>
        </w:rPr>
        <w:t>ituación que se replica en el escenario local.</w:t>
      </w:r>
    </w:p>
    <w:p w14:paraId="78A8121A" w14:textId="77777777" w:rsidR="00796F78" w:rsidRPr="006A7606" w:rsidRDefault="00796F78" w:rsidP="00796F78">
      <w:pPr>
        <w:spacing w:after="0" w:line="360" w:lineRule="auto"/>
        <w:jc w:val="both"/>
        <w:rPr>
          <w:rFonts w:ascii="Palatino Linotype" w:hAnsi="Palatino Linotype"/>
        </w:rPr>
      </w:pPr>
    </w:p>
    <w:p w14:paraId="62CB5F63" w14:textId="1FF34466" w:rsidR="00796F78" w:rsidRPr="006A7606" w:rsidRDefault="00796F78" w:rsidP="00796F78">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w:t>
      </w:r>
      <w:r w:rsidR="00E95351" w:rsidRPr="006A7606">
        <w:rPr>
          <w:rFonts w:ascii="Palatino Linotype" w:hAnsi="Palatino Linotype" w:cs="Segoe UI"/>
        </w:rPr>
        <w:t>debido a</w:t>
      </w:r>
      <w:r w:rsidRPr="006A7606">
        <w:rPr>
          <w:rFonts w:ascii="Palatino Linotype" w:hAnsi="Palatino Linotype" w:cs="Segoe UI"/>
        </w:rPr>
        <w:t xml:space="preserv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2F174131" w14:textId="77777777" w:rsidR="00796F78" w:rsidRPr="006A7606" w:rsidRDefault="00796F78" w:rsidP="00796F78">
      <w:pPr>
        <w:spacing w:after="0" w:line="360" w:lineRule="auto"/>
        <w:jc w:val="both"/>
        <w:rPr>
          <w:rFonts w:ascii="Palatino Linotype" w:hAnsi="Palatino Linotype" w:cs="Segoe UI"/>
        </w:rPr>
      </w:pPr>
    </w:p>
    <w:p w14:paraId="2A2CC1AE" w14:textId="77777777" w:rsidR="00796F78" w:rsidRPr="006E2C84" w:rsidRDefault="00796F78" w:rsidP="00796F78">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w:t>
      </w:r>
      <w:r w:rsidRPr="006E2C84">
        <w:rPr>
          <w:rFonts w:ascii="Palatino Linotype" w:eastAsia="Calibri" w:hAnsi="Palatino Linotype" w:cs="Arial"/>
          <w:i/>
          <w:sz w:val="20"/>
          <w:szCs w:val="20"/>
        </w:rPr>
        <w:lastRenderedPageBreak/>
        <w:t>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20EF1A0" w14:textId="77777777" w:rsidR="00796F78" w:rsidRDefault="00796F78" w:rsidP="00796F78">
      <w:pPr>
        <w:autoSpaceDE w:val="0"/>
        <w:autoSpaceDN w:val="0"/>
        <w:adjustRightInd w:val="0"/>
        <w:spacing w:after="0" w:line="360" w:lineRule="auto"/>
        <w:ind w:left="567" w:right="567"/>
        <w:jc w:val="both"/>
        <w:rPr>
          <w:rFonts w:ascii="Palatino Linotype" w:eastAsia="Calibri" w:hAnsi="Palatino Linotype" w:cs="Arial"/>
          <w:b/>
          <w:bCs/>
          <w:i/>
          <w:sz w:val="20"/>
          <w:szCs w:val="20"/>
        </w:rPr>
      </w:pPr>
    </w:p>
    <w:p w14:paraId="6258508E" w14:textId="77777777" w:rsidR="00796F78" w:rsidRPr="001A758C" w:rsidRDefault="00796F78" w:rsidP="00796F78">
      <w:pPr>
        <w:autoSpaceDE w:val="0"/>
        <w:autoSpaceDN w:val="0"/>
        <w:adjustRightInd w:val="0"/>
        <w:spacing w:after="0" w:line="360" w:lineRule="auto"/>
        <w:ind w:left="567" w:right="567"/>
        <w:jc w:val="both"/>
        <w:rPr>
          <w:rFonts w:ascii="Palatino Linotype" w:eastAsia="Calibri" w:hAnsi="Palatino Linotype" w:cs="Arial"/>
          <w:b/>
          <w:bCs/>
          <w:i/>
          <w:sz w:val="20"/>
          <w:szCs w:val="20"/>
        </w:rPr>
      </w:pPr>
      <w:r w:rsidRPr="001A758C">
        <w:rPr>
          <w:rFonts w:ascii="Palatino Linotype" w:eastAsia="Calibri" w:hAnsi="Palatino Linotype" w:cs="Arial"/>
          <w:b/>
          <w:bCs/>
          <w:i/>
          <w:sz w:val="20"/>
          <w:szCs w:val="20"/>
        </w:rPr>
        <w:t>“TRANSPARENCIA Y ACCESO A LA INFORMACIÓN PÚBLICA GUBERNAMENTAL. EL ARTÍCULO 14, FRACCIÓN I, DE LA LEY FEDERAL RELATIVA, NO VIOLA LA GARANTÍA DE ACCESO A LA INFORMACIÓN. </w:t>
      </w:r>
      <w:r w:rsidRPr="001A758C">
        <w:rPr>
          <w:rFonts w:ascii="Palatino Linotype" w:eastAsia="Calibri" w:hAnsi="Palatino Linotype" w:cs="Arial"/>
          <w:i/>
          <w:sz w:val="20"/>
          <w:szCs w:val="20"/>
        </w:rPr>
        <w:t>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p>
    <w:p w14:paraId="711731B9" w14:textId="77777777" w:rsidR="00796F78" w:rsidRDefault="00796F78" w:rsidP="00796F78">
      <w:pPr>
        <w:spacing w:after="0" w:line="360" w:lineRule="auto"/>
        <w:jc w:val="both"/>
        <w:rPr>
          <w:rFonts w:ascii="Palatino Linotype" w:hAnsi="Palatino Linotype" w:cs="Arial"/>
        </w:rPr>
      </w:pPr>
    </w:p>
    <w:p w14:paraId="21DB73C1" w14:textId="77777777" w:rsidR="00796F78" w:rsidRDefault="00796F78" w:rsidP="00796F78">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w:t>
      </w:r>
      <w:r w:rsidRPr="006A7606">
        <w:rPr>
          <w:rFonts w:ascii="Palatino Linotype" w:hAnsi="Palatino Linotype" w:cs="Arial"/>
        </w:rPr>
        <w:lastRenderedPageBreak/>
        <w:t>tutelado</w:t>
      </w:r>
      <w:r>
        <w:rPr>
          <w:rFonts w:ascii="Palatino Linotype" w:hAnsi="Palatino Linotype" w:cs="Arial"/>
        </w:rPr>
        <w:t xml:space="preserve"> y</w:t>
      </w:r>
      <w:r w:rsidRPr="006A7606">
        <w:rPr>
          <w:rFonts w:ascii="Palatino Linotype" w:hAnsi="Palatino Linotype" w:cs="Arial"/>
        </w:rPr>
        <w:t xml:space="preserve">,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permite garantizar el acceso a la información pública que es de interés público, por estar relacionado con el ejercicio de recursos públicos –salario de servidores públicos- y 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7AF47C2A" w14:textId="77777777" w:rsidR="00796F78" w:rsidRDefault="00796F78" w:rsidP="00796F78">
      <w:pPr>
        <w:spacing w:after="0" w:line="360" w:lineRule="auto"/>
        <w:jc w:val="both"/>
        <w:rPr>
          <w:rFonts w:ascii="Palatino Linotype" w:hAnsi="Palatino Linotype" w:cs="Arial"/>
        </w:rPr>
      </w:pPr>
    </w:p>
    <w:p w14:paraId="104C5B49" w14:textId="77777777" w:rsidR="00796F78" w:rsidRPr="00885189" w:rsidRDefault="00796F78" w:rsidP="00796F78">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5C56B518" w14:textId="77777777" w:rsidR="00796F78" w:rsidRDefault="00796F78" w:rsidP="00796F78">
      <w:pPr>
        <w:spacing w:after="0" w:line="360" w:lineRule="auto"/>
        <w:jc w:val="both"/>
        <w:rPr>
          <w:rFonts w:ascii="Palatino Linotype" w:hAnsi="Palatino Linotype" w:cs="Tahoma"/>
        </w:rPr>
      </w:pPr>
    </w:p>
    <w:p w14:paraId="056E2EB1" w14:textId="77777777" w:rsidR="00796F78" w:rsidRPr="00D07D91"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También, el Juicio de Amparo Indirecto 1232/2017 resuelto por el Juzgado Cuarto de Distrito en Materia Administrativa en la Ciudad de México, cuya síntesis se expone en el libro</w:t>
      </w:r>
      <w:r>
        <w:rPr>
          <w:rFonts w:ascii="Palatino Linotype" w:eastAsia="Calibri" w:hAnsi="Palatino Linotype" w:cs="Tahoma"/>
        </w:rPr>
        <w:t xml:space="preserve"> </w:t>
      </w:r>
      <w:r w:rsidRPr="00D07D91">
        <w:rPr>
          <w:rFonts w:ascii="Palatino Linotype" w:eastAsia="Calibri" w:hAnsi="Palatino Linotype" w:cs="Tahoma"/>
        </w:rPr>
        <w:t>Casos Paradigmáticos del Poder Judicial de la Federación en materia de acceso a la información y protección de datos personal (Esquivel,</w:t>
      </w:r>
      <w:r>
        <w:rPr>
          <w:rFonts w:ascii="Palatino Linotype" w:eastAsia="Calibri" w:hAnsi="Palatino Linotype" w:cs="Tahoma"/>
        </w:rPr>
        <w:t xml:space="preserve"> </w:t>
      </w:r>
      <w:r w:rsidRPr="00D07D91">
        <w:rPr>
          <w:rFonts w:ascii="Palatino Linotype" w:eastAsia="Calibri" w:hAnsi="Palatino Linotype" w:cs="Tahoma"/>
        </w:rPr>
        <w:t xml:space="preserve">Yasmin, </w:t>
      </w:r>
      <w:r w:rsidRPr="00D07D91">
        <w:rPr>
          <w:rFonts w:ascii="Palatino Linotype" w:eastAsia="Calibri" w:hAnsi="Palatino Linotype" w:cs="Tahoma"/>
          <w:i/>
          <w:iCs/>
        </w:rPr>
        <w:t>et al</w:t>
      </w:r>
      <w:r w:rsidRPr="00D07D91">
        <w:rPr>
          <w:rFonts w:ascii="Palatino Linotype" w:eastAsia="Calibri" w:hAnsi="Palatino Linotype" w:cs="Tahoma"/>
        </w:rPr>
        <w:t xml:space="preserve">. P. (2021), INAI, pp. 45 a 61 ), en donde </w:t>
      </w:r>
      <w:r w:rsidRPr="00D07D91">
        <w:rPr>
          <w:rFonts w:ascii="Palatino Linotype" w:eastAsia="Calibri" w:hAnsi="Palatino Linotype" w:cs="Tahoma"/>
          <w:i/>
          <w:iCs/>
        </w:rPr>
        <w:t>grosso modo</w:t>
      </w:r>
      <w:r w:rsidRPr="00D07D91">
        <w:rPr>
          <w:rFonts w:ascii="Palatino Linotype" w:eastAsia="Calibri" w:hAnsi="Palatino Linotype" w:cs="Tahoma"/>
        </w:rPr>
        <w:t xml:space="preserve"> se expone que se concedió el amparo y protección de la justicia al quejoso por un recurso de revisión resuelto por el INAI en donde destaca la necesidad de que el Organismo Garante Nacional acredite la prueba de daño para la reserva de información bajo los argumentos siguientes:</w:t>
      </w:r>
    </w:p>
    <w:p w14:paraId="6F01EF06" w14:textId="77777777" w:rsidR="00796F78" w:rsidRPr="00D07D91" w:rsidRDefault="00796F78" w:rsidP="00796F78">
      <w:pPr>
        <w:spacing w:after="0" w:line="360" w:lineRule="auto"/>
        <w:jc w:val="both"/>
        <w:rPr>
          <w:rFonts w:ascii="Palatino Linotype" w:eastAsia="Calibri" w:hAnsi="Palatino Linotype" w:cs="Tahoma"/>
        </w:rPr>
      </w:pPr>
    </w:p>
    <w:p w14:paraId="383BB842"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el hecho de que se solicitara información relacionada o inmersa en una investigación ministerial no genera, por sí misma, que tenga el carácter de reservada </w:t>
      </w:r>
      <w:r w:rsidRPr="00D07D91">
        <w:rPr>
          <w:rFonts w:ascii="Palatino Linotype" w:eastAsia="Calibri" w:hAnsi="Palatino Linotype" w:cs="Tahoma"/>
        </w:rPr>
        <w:lastRenderedPageBreak/>
        <w:t>por obstaculizar una investigación ministerial, sino que es necesario que la reserva se funde y motive mediante una prueba de daño.</w:t>
      </w:r>
    </w:p>
    <w:p w14:paraId="66189836" w14:textId="77777777" w:rsidR="00796F78" w:rsidRPr="00D07D91" w:rsidRDefault="00796F78" w:rsidP="00796F78">
      <w:pPr>
        <w:spacing w:after="0" w:line="360" w:lineRule="auto"/>
        <w:jc w:val="both"/>
        <w:rPr>
          <w:rFonts w:ascii="Palatino Linotype" w:eastAsia="Calibri" w:hAnsi="Palatino Linotype" w:cs="Tahoma"/>
        </w:rPr>
      </w:pPr>
    </w:p>
    <w:p w14:paraId="58944075"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xml:space="preserve">(…) en la sentencia se sostuvo que el </w:t>
      </w:r>
      <w:r w:rsidRPr="00D07D91">
        <w:rPr>
          <w:rFonts w:ascii="Palatino Linotype" w:eastAsia="Calibri" w:hAnsi="Palatino Linotype" w:cs="Tahoma"/>
          <w:b/>
          <w:bCs/>
          <w:u w:val="single"/>
        </w:rPr>
        <w:t>INAI no había justificado debidamente la ponderación entre los intereses en conflicto al correr la prueba de daño</w:t>
      </w:r>
      <w:r w:rsidRPr="00D07D91">
        <w:rPr>
          <w:rFonts w:ascii="Palatino Linotype" w:eastAsia="Calibri"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4A79B779" w14:textId="77777777" w:rsidR="00796F78" w:rsidRPr="00D07D91" w:rsidRDefault="00796F78" w:rsidP="00796F78">
      <w:pPr>
        <w:spacing w:after="0" w:line="360" w:lineRule="auto"/>
        <w:jc w:val="both"/>
        <w:rPr>
          <w:rFonts w:ascii="Palatino Linotype" w:eastAsia="Calibri" w:hAnsi="Palatino Linotype" w:cs="Tahoma"/>
        </w:rPr>
      </w:pPr>
    </w:p>
    <w:p w14:paraId="3A80772C" w14:textId="77777777" w:rsidR="00796F78" w:rsidRPr="00D07D91" w:rsidRDefault="00796F78" w:rsidP="00796F78">
      <w:pPr>
        <w:numPr>
          <w:ilvl w:val="0"/>
          <w:numId w:val="1"/>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6D68A122" w14:textId="77777777" w:rsidR="00796F78" w:rsidRPr="00D07D91" w:rsidRDefault="00796F78" w:rsidP="00796F78">
      <w:pPr>
        <w:spacing w:after="0" w:line="360" w:lineRule="auto"/>
        <w:jc w:val="both"/>
        <w:rPr>
          <w:rFonts w:ascii="Palatino Linotype" w:eastAsia="Calibri" w:hAnsi="Palatino Linotype" w:cs="Tahoma"/>
        </w:rPr>
      </w:pPr>
    </w:p>
    <w:p w14:paraId="61FA807F" w14:textId="7D30FE0E" w:rsidR="00796F78" w:rsidRPr="00D07D91"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Aún más, al resolverse la impugnación que interpuso el</w:t>
      </w:r>
      <w:r>
        <w:rPr>
          <w:rFonts w:ascii="Palatino Linotype" w:eastAsia="Calibri" w:hAnsi="Palatino Linotype" w:cs="Tahoma"/>
        </w:rPr>
        <w:t xml:space="preserve"> Instituto Nacional de Transparencia, Acceso a la Información y Protección de Datos </w:t>
      </w:r>
      <w:r w:rsidR="00E95351">
        <w:rPr>
          <w:rFonts w:ascii="Palatino Linotype" w:eastAsia="Calibri" w:hAnsi="Palatino Linotype" w:cs="Tahoma"/>
        </w:rPr>
        <w:t xml:space="preserve">Personales, </w:t>
      </w:r>
      <w:r w:rsidR="00E95351" w:rsidRPr="00D07D91">
        <w:rPr>
          <w:rFonts w:ascii="Palatino Linotype" w:eastAsia="Calibri" w:hAnsi="Palatino Linotype" w:cs="Tahoma"/>
        </w:rPr>
        <w:t>en</w:t>
      </w:r>
      <w:r w:rsidRPr="00D07D91">
        <w:rPr>
          <w:rFonts w:ascii="Palatino Linotype" w:eastAsia="Calibri" w:hAnsi="Palatino Linotype" w:cs="Tahoma"/>
        </w:rPr>
        <w:t xml:space="preserve">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62207EBF" w14:textId="77777777" w:rsidR="00796F78" w:rsidRPr="00D07D91" w:rsidRDefault="00796F78" w:rsidP="00796F78">
      <w:pPr>
        <w:spacing w:after="0" w:line="360" w:lineRule="auto"/>
        <w:jc w:val="both"/>
        <w:rPr>
          <w:rFonts w:ascii="Palatino Linotype" w:eastAsia="Calibri" w:hAnsi="Palatino Linotype" w:cs="Tahoma"/>
        </w:rPr>
      </w:pPr>
    </w:p>
    <w:p w14:paraId="13AB53D6" w14:textId="77777777" w:rsidR="00796F78" w:rsidRPr="00D07D91" w:rsidRDefault="00796F78" w:rsidP="00796F78">
      <w:pPr>
        <w:numPr>
          <w:ilvl w:val="0"/>
          <w:numId w:val="2"/>
        </w:numPr>
        <w:spacing w:after="0" w:line="360" w:lineRule="auto"/>
        <w:contextualSpacing/>
        <w:jc w:val="both"/>
        <w:rPr>
          <w:rFonts w:ascii="Palatino Linotype" w:eastAsia="Calibri" w:hAnsi="Palatino Linotype" w:cs="Tahoma"/>
        </w:rPr>
      </w:pPr>
      <w:r w:rsidRPr="00D07D91">
        <w:rPr>
          <w:rFonts w:ascii="Palatino Linotype" w:eastAsia="Calibri" w:hAnsi="Palatino Linotype" w:cs="Tahoma"/>
        </w:rPr>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2EBBE22E" w14:textId="77777777" w:rsidR="00796F78" w:rsidRPr="00D07D91" w:rsidRDefault="00796F78" w:rsidP="00796F78">
      <w:pPr>
        <w:spacing w:after="0" w:line="360" w:lineRule="auto"/>
        <w:jc w:val="both"/>
        <w:rPr>
          <w:rFonts w:ascii="Palatino Linotype" w:eastAsia="Calibri" w:hAnsi="Palatino Linotype" w:cs="Tahoma"/>
        </w:rPr>
      </w:pPr>
    </w:p>
    <w:p w14:paraId="78E0C358" w14:textId="77777777" w:rsidR="00796F78" w:rsidRPr="00D07D91" w:rsidRDefault="00796F78" w:rsidP="00796F78">
      <w:pPr>
        <w:numPr>
          <w:ilvl w:val="0"/>
          <w:numId w:val="2"/>
        </w:numPr>
        <w:spacing w:after="0" w:line="360" w:lineRule="auto"/>
        <w:contextualSpacing/>
        <w:jc w:val="both"/>
        <w:rPr>
          <w:rFonts w:ascii="Palatino Linotype" w:eastAsia="Calibri" w:hAnsi="Palatino Linotype" w:cs="Tahoma"/>
          <w:b/>
          <w:bCs/>
          <w:u w:val="single"/>
        </w:rPr>
      </w:pPr>
      <w:r w:rsidRPr="00D07D91">
        <w:rPr>
          <w:rFonts w:ascii="Palatino Linotype" w:eastAsia="Calibri"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w:t>
      </w:r>
      <w:r>
        <w:rPr>
          <w:rFonts w:ascii="Palatino Linotype" w:eastAsia="Calibri" w:hAnsi="Palatino Linotype" w:cs="Tahoma"/>
          <w:b/>
          <w:bCs/>
          <w:u w:val="single"/>
        </w:rPr>
        <w:t>a</w:t>
      </w:r>
      <w:r w:rsidRPr="00D07D91">
        <w:rPr>
          <w:rFonts w:ascii="Palatino Linotype" w:eastAsia="Calibri" w:hAnsi="Palatino Linotype" w:cs="Tahoma"/>
          <w:b/>
          <w:bCs/>
          <w:u w:val="single"/>
        </w:rPr>
        <w:t xml:space="preserve"> satisfecha en sede administrativa, sin verse en la necesidad de acudir a otras instancias, de tal suerte que se dilate el tiempo en el que verá satisfecho el ejercicio de su derecho.</w:t>
      </w:r>
    </w:p>
    <w:p w14:paraId="61B2EF7E" w14:textId="77777777" w:rsidR="00796F78" w:rsidRPr="00D07D91" w:rsidRDefault="00796F78" w:rsidP="00796F78">
      <w:pPr>
        <w:spacing w:after="0" w:line="360" w:lineRule="auto"/>
        <w:jc w:val="both"/>
        <w:rPr>
          <w:rFonts w:ascii="Palatino Linotype" w:eastAsia="Calibri" w:hAnsi="Palatino Linotype" w:cs="Tahoma"/>
        </w:rPr>
      </w:pPr>
    </w:p>
    <w:p w14:paraId="289A9D9A" w14:textId="77777777" w:rsidR="00796F78" w:rsidRDefault="00796F78" w:rsidP="00796F78">
      <w:pPr>
        <w:spacing w:after="0" w:line="360" w:lineRule="auto"/>
        <w:jc w:val="both"/>
        <w:rPr>
          <w:rFonts w:ascii="Palatino Linotype" w:eastAsia="Calibri" w:hAnsi="Palatino Linotype" w:cs="Tahoma"/>
        </w:rPr>
      </w:pPr>
      <w:r w:rsidRPr="00D07D91">
        <w:rPr>
          <w:rFonts w:ascii="Palatino Linotype" w:eastAsia="Calibri"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w:t>
      </w:r>
      <w:r>
        <w:rPr>
          <w:rFonts w:ascii="Palatino Linotype" w:eastAsia="Calibri" w:hAnsi="Palatino Linotype" w:cs="Tahoma"/>
        </w:rPr>
        <w:t xml:space="preserve"> la prueba de daño.</w:t>
      </w:r>
    </w:p>
    <w:p w14:paraId="4E9CD4D7" w14:textId="77777777" w:rsidR="00796F78" w:rsidRPr="00885189" w:rsidRDefault="00796F78" w:rsidP="00796F78">
      <w:pPr>
        <w:spacing w:after="0" w:line="360" w:lineRule="auto"/>
        <w:jc w:val="both"/>
        <w:rPr>
          <w:rFonts w:ascii="Palatino Linotype" w:hAnsi="Palatino Linotype" w:cs="Tahoma"/>
        </w:rPr>
      </w:pPr>
    </w:p>
    <w:p w14:paraId="719E2946" w14:textId="77777777"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w:t>
      </w:r>
      <w:r>
        <w:rPr>
          <w:rFonts w:ascii="Palatino Linotype" w:hAnsi="Palatino Linotype" w:cs="Tahoma"/>
        </w:rPr>
        <w:t>resolución</w:t>
      </w:r>
      <w:r w:rsidRPr="00885189">
        <w:rPr>
          <w:rFonts w:ascii="Palatino Linotype" w:hAnsi="Palatino Linotype" w:cs="Tahoma"/>
        </w:rPr>
        <w:t xml:space="preserve">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xml:space="preserve">, debe contener un análisis exhaustivo de los elementos de forma y fondo que establecen la Ley de Transparencia y Acceso a la Información Pública del Estado de México y Municipios y los </w:t>
      </w:r>
      <w:r w:rsidRPr="00F16598">
        <w:rPr>
          <w:rFonts w:ascii="Palatino Linotype" w:hAnsi="Palatino Linotype" w:cs="Tahoma"/>
        </w:rPr>
        <w:t>Lineamientos Generales en Materia de Clasificación y</w:t>
      </w:r>
      <w:r>
        <w:rPr>
          <w:rFonts w:ascii="Palatino Linotype" w:hAnsi="Palatino Linotype" w:cs="Tahoma"/>
        </w:rPr>
        <w:t xml:space="preserve"> </w:t>
      </w:r>
      <w:r w:rsidRPr="00F16598">
        <w:rPr>
          <w:rFonts w:ascii="Palatino Linotype" w:hAnsi="Palatino Linotype" w:cs="Tahoma"/>
        </w:rPr>
        <w:t>Desclasificación de la Información, así como para la</w:t>
      </w:r>
      <w:r>
        <w:rPr>
          <w:rFonts w:ascii="Palatino Linotype" w:hAnsi="Palatino Linotype" w:cs="Tahoma"/>
        </w:rPr>
        <w:t xml:space="preserve"> </w:t>
      </w:r>
      <w:r w:rsidRPr="00F16598">
        <w:rPr>
          <w:rFonts w:ascii="Palatino Linotype" w:hAnsi="Palatino Linotype" w:cs="Tahoma"/>
        </w:rPr>
        <w:t>Elaboración de Versiones Públicas</w:t>
      </w:r>
      <w:r>
        <w:rPr>
          <w:rFonts w:ascii="Palatino Linotype" w:hAnsi="Palatino Linotype" w:cs="Tahoma"/>
        </w:rPr>
        <w:t>.</w:t>
      </w:r>
    </w:p>
    <w:p w14:paraId="5BA25538" w14:textId="77777777" w:rsidR="00796F78" w:rsidRPr="00885189" w:rsidRDefault="00796F78" w:rsidP="00796F78">
      <w:pPr>
        <w:spacing w:after="0" w:line="360" w:lineRule="auto"/>
        <w:jc w:val="both"/>
        <w:rPr>
          <w:rFonts w:ascii="Palatino Linotype" w:hAnsi="Palatino Linotype" w:cs="Tahoma"/>
        </w:rPr>
      </w:pPr>
    </w:p>
    <w:p w14:paraId="7DAC29AB" w14:textId="77777777" w:rsidR="00796F78" w:rsidRDefault="00796F78" w:rsidP="00796F78">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w:t>
      </w:r>
      <w:r>
        <w:rPr>
          <w:rFonts w:ascii="Palatino Linotype" w:hAnsi="Palatino Linotype" w:cs="Tahoma"/>
        </w:rPr>
        <w:lastRenderedPageBreak/>
        <w:t xml:space="preserve">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50C78DA4" w14:textId="77777777" w:rsidR="00796F78" w:rsidRDefault="00796F78" w:rsidP="00796F78">
      <w:pPr>
        <w:spacing w:after="0" w:line="360" w:lineRule="auto"/>
        <w:jc w:val="both"/>
        <w:rPr>
          <w:rFonts w:ascii="Palatino Linotype" w:hAnsi="Palatino Linotype" w:cs="Tahoma"/>
        </w:rPr>
      </w:pPr>
    </w:p>
    <w:p w14:paraId="1291A49F" w14:textId="77777777" w:rsidR="00796F78" w:rsidRPr="00885189" w:rsidRDefault="00796F78" w:rsidP="00796F78">
      <w:pPr>
        <w:spacing w:after="0" w:line="360" w:lineRule="auto"/>
        <w:jc w:val="both"/>
        <w:rPr>
          <w:rFonts w:ascii="Palatino Linotype" w:hAnsi="Palatino Linotype" w:cs="Tahoma"/>
        </w:rPr>
      </w:pPr>
      <w:r w:rsidRPr="00EB7785">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78652BA5" w14:textId="77777777" w:rsidR="00796F78" w:rsidRPr="00885189" w:rsidRDefault="00796F78" w:rsidP="00796F78">
      <w:pPr>
        <w:spacing w:after="0" w:line="360" w:lineRule="auto"/>
        <w:jc w:val="both"/>
        <w:rPr>
          <w:rFonts w:ascii="Palatino Linotype" w:hAnsi="Palatino Linotype" w:cs="Tahoma"/>
        </w:rPr>
      </w:pPr>
    </w:p>
    <w:p w14:paraId="5C484882" w14:textId="77777777" w:rsidR="00796F78" w:rsidRPr="00EB7785" w:rsidRDefault="00796F78" w:rsidP="00796F78">
      <w:pPr>
        <w:spacing w:after="0" w:line="360" w:lineRule="auto"/>
        <w:jc w:val="both"/>
        <w:rPr>
          <w:rFonts w:ascii="Palatino Linotype" w:hAnsi="Palatino Linotype" w:cs="Tahoma"/>
          <w:b/>
          <w:bCs/>
        </w:rPr>
      </w:pPr>
      <w:r w:rsidRPr="00EB7785">
        <w:rPr>
          <w:rFonts w:ascii="Palatino Linotype" w:hAnsi="Palatino Linotype" w:cs="Tahoma"/>
          <w:b/>
          <w:bCs/>
        </w:rPr>
        <w:t>B) Clasificación del cargo de elementos operativos de seguridad pública.</w:t>
      </w:r>
    </w:p>
    <w:p w14:paraId="5C128EE6" w14:textId="77777777" w:rsidR="00796F78" w:rsidRDefault="00796F78" w:rsidP="00796F78">
      <w:pPr>
        <w:spacing w:after="0" w:line="360" w:lineRule="auto"/>
        <w:jc w:val="both"/>
        <w:rPr>
          <w:rFonts w:ascii="Palatino Linotype" w:hAnsi="Palatino Linotype" w:cs="Tahoma"/>
        </w:rPr>
      </w:pPr>
    </w:p>
    <w:p w14:paraId="4F00E811"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En cuanto a la clasificación del cargo de los elementos operativos en materia de seguridad, considero que no actualiza la causal de clasificación prevista en el artículo 140, fracción I, de la Ley de Transparencia y Acceso a la Información Pública del Estado de México y Municipios, conforme a lo siguiente:</w:t>
      </w:r>
    </w:p>
    <w:p w14:paraId="70D3BE32" w14:textId="77777777" w:rsidR="00796F78" w:rsidRDefault="00796F78" w:rsidP="00796F78">
      <w:pPr>
        <w:spacing w:after="0" w:line="360" w:lineRule="auto"/>
        <w:jc w:val="both"/>
        <w:rPr>
          <w:rFonts w:ascii="Palatino Linotype" w:hAnsi="Palatino Linotype" w:cs="Tahoma"/>
        </w:rPr>
      </w:pPr>
    </w:p>
    <w:p w14:paraId="06348532" w14:textId="77777777" w:rsidR="00796F78" w:rsidRPr="00F16598" w:rsidRDefault="00796F78" w:rsidP="00796F78">
      <w:pPr>
        <w:tabs>
          <w:tab w:val="left" w:pos="4962"/>
        </w:tabs>
        <w:spacing w:after="0" w:line="360" w:lineRule="auto"/>
        <w:jc w:val="both"/>
        <w:rPr>
          <w:rFonts w:ascii="Palatino Linotype" w:eastAsia="Calibri" w:hAnsi="Palatino Linotype" w:cs="Tahoma"/>
          <w:iCs/>
          <w:lang w:eastAsia="es-ES_tradnl"/>
        </w:rPr>
      </w:pPr>
      <w:r>
        <w:rPr>
          <w:rFonts w:ascii="Palatino Linotype" w:eastAsia="Calibri" w:hAnsi="Palatino Linotype" w:cs="Tahoma"/>
          <w:iCs/>
          <w:lang w:eastAsia="es-ES_tradnl"/>
        </w:rPr>
        <w:t>El</w:t>
      </w:r>
      <w:r w:rsidRPr="00F16598">
        <w:rPr>
          <w:rFonts w:ascii="Palatino Linotype" w:eastAsia="Calibri" w:hAnsi="Palatino Linotype" w:cs="Tahoma"/>
          <w:b/>
          <w:iCs/>
          <w:lang w:eastAsia="es-ES_tradnl"/>
        </w:rPr>
        <w:t xml:space="preserve"> </w:t>
      </w:r>
      <w:r w:rsidRPr="00F16598">
        <w:rPr>
          <w:rFonts w:ascii="Palatino Linotype" w:eastAsia="Calibri" w:hAnsi="Palatino Linotype" w:cs="Tahoma"/>
          <w:iCs/>
          <w:lang w:eastAsia="es-ES_tradnl"/>
        </w:rPr>
        <w:t>artículo 140, fracción I, de la Ley de Transparencia y Acceso a la Información Pública del Estado de México y Municipios, (homólogo del artículo 113, fracción I</w:t>
      </w:r>
      <w:r>
        <w:rPr>
          <w:rFonts w:ascii="Palatino Linotype" w:eastAsia="Calibri" w:hAnsi="Palatino Linotype" w:cs="Tahoma"/>
          <w:iCs/>
          <w:lang w:eastAsia="es-ES_tradnl"/>
        </w:rPr>
        <w:t>,</w:t>
      </w:r>
      <w:r w:rsidRPr="00F16598">
        <w:rPr>
          <w:rFonts w:ascii="Palatino Linotype" w:eastAsia="Calibri" w:hAnsi="Palatino Linotype" w:cs="Tahoma"/>
          <w:iCs/>
          <w:lang w:eastAsia="es-ES_tradnl"/>
        </w:rPr>
        <w:t xml:space="preserve"> de la Ley General de Transparencia y Acceso a la Información Pública), prevé lo siguiente:</w:t>
      </w:r>
    </w:p>
    <w:p w14:paraId="27E67A8D"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4FF82D37"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w:t>
      </w:r>
      <w:r w:rsidRPr="00F16598">
        <w:rPr>
          <w:rFonts w:ascii="Palatino Linotype" w:eastAsia="Calibri" w:hAnsi="Palatino Linotype" w:cs="Tahoma"/>
          <w:b/>
          <w:i/>
          <w:iCs/>
          <w:sz w:val="20"/>
          <w:szCs w:val="20"/>
          <w:lang w:eastAsia="es-ES_tradnl"/>
        </w:rPr>
        <w:t>Artículo 140.</w:t>
      </w:r>
      <w:r w:rsidRPr="00F16598">
        <w:rPr>
          <w:rFonts w:ascii="Palatino Linotype" w:eastAsia="Calibri" w:hAnsi="Palatino Linotype" w:cs="Tahoma"/>
          <w:i/>
          <w:iCs/>
          <w:sz w:val="20"/>
          <w:szCs w:val="20"/>
          <w:lang w:eastAsia="es-ES_tradnl"/>
        </w:rPr>
        <w:t xml:space="preserve"> El acceso a la información pública será restringido excepcionalmente, cuando por razones de interés público, ésta sea clasificada como reservada, conforme a los criterios siguientes: </w:t>
      </w:r>
    </w:p>
    <w:p w14:paraId="7EEB8772"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p>
    <w:p w14:paraId="2CB812E8"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lastRenderedPageBreak/>
        <w:t>I. Comprometa la seguridad pública y cuente con un propósito genuino y un efecto demostrable;</w:t>
      </w:r>
    </w:p>
    <w:p w14:paraId="2CBA16BD"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eastAsia="es-ES_tradnl"/>
        </w:rPr>
        <w:t xml:space="preserve">…” </w:t>
      </w:r>
    </w:p>
    <w:p w14:paraId="7A071CEF"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Cs/>
          <w:sz w:val="20"/>
          <w:szCs w:val="20"/>
          <w:lang w:eastAsia="es-ES_tradnl"/>
        </w:rPr>
      </w:pPr>
    </w:p>
    <w:p w14:paraId="7DEDF994" w14:textId="77777777" w:rsidR="00796F78" w:rsidRPr="00F16598" w:rsidRDefault="00796F78" w:rsidP="00796F78">
      <w:pPr>
        <w:tabs>
          <w:tab w:val="left" w:pos="4962"/>
        </w:tabs>
        <w:spacing w:after="0" w:line="360" w:lineRule="auto"/>
        <w:jc w:val="both"/>
        <w:rPr>
          <w:rFonts w:ascii="Palatino Linotype" w:eastAsia="Calibri" w:hAnsi="Palatino Linotype" w:cs="Tahoma"/>
          <w:bCs/>
          <w:iCs/>
          <w:lang w:val="es-MX" w:eastAsia="es-ES_tradnl"/>
        </w:rPr>
      </w:pPr>
      <w:r w:rsidRPr="00F16598">
        <w:rPr>
          <w:rFonts w:ascii="Palatino Linotype" w:eastAsia="Calibri" w:hAnsi="Palatino Linotype" w:cs="Tahoma"/>
          <w:iCs/>
          <w:lang w:val="es-MX" w:eastAsia="es-ES_tradnl"/>
        </w:rPr>
        <w:t xml:space="preserve">De dicho precepto normativo se desprende que podrá clasificarse como información reservada aquella cuya publicación comprometa la seguridad pública y cuente con un propósito genuino y un efecto demostrable; por lo que, los </w:t>
      </w:r>
      <w:r w:rsidRPr="00F16598">
        <w:rPr>
          <w:rFonts w:ascii="Palatino Linotype" w:eastAsia="Calibri" w:hAnsi="Palatino Linotype" w:cs="Tahoma"/>
          <w:bCs/>
          <w:iCs/>
          <w:lang w:val="es-MX" w:eastAsia="es-ES_tradnl"/>
        </w:rPr>
        <w:t>Lineamientos Generales</w:t>
      </w:r>
      <w:r>
        <w:rPr>
          <w:rFonts w:ascii="Palatino Linotype" w:eastAsia="Calibri" w:hAnsi="Palatino Linotype" w:cs="Tahoma"/>
          <w:bCs/>
          <w:iCs/>
          <w:lang w:val="es-MX" w:eastAsia="es-ES_tradnl"/>
        </w:rPr>
        <w:t xml:space="preserve"> multicitados</w:t>
      </w:r>
      <w:r w:rsidRPr="00F16598">
        <w:rPr>
          <w:rFonts w:ascii="Palatino Linotype" w:eastAsia="Calibri" w:hAnsi="Palatino Linotype" w:cs="Tahoma"/>
          <w:bCs/>
          <w:iCs/>
          <w:lang w:val="es-MX" w:eastAsia="es-ES_tradnl"/>
        </w:rPr>
        <w:t>, disponen:</w:t>
      </w:r>
    </w:p>
    <w:p w14:paraId="2D8C8D3D" w14:textId="77777777" w:rsidR="00796F78" w:rsidRPr="00F16598" w:rsidRDefault="00796F78" w:rsidP="00796F78">
      <w:pPr>
        <w:spacing w:after="0" w:line="360" w:lineRule="auto"/>
        <w:jc w:val="both"/>
        <w:rPr>
          <w:rFonts w:ascii="Palatino Linotype" w:eastAsia="Calibri" w:hAnsi="Palatino Linotype" w:cs="Tahoma"/>
          <w:bCs/>
          <w:lang w:val="es-MX"/>
        </w:rPr>
      </w:pPr>
    </w:p>
    <w:p w14:paraId="04133B59"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b/>
          <w:iCs/>
          <w:sz w:val="20"/>
          <w:szCs w:val="20"/>
          <w:lang w:eastAsia="es-ES_tradnl"/>
        </w:rPr>
        <w:t>“</w:t>
      </w:r>
      <w:r w:rsidRPr="00F16598">
        <w:rPr>
          <w:rFonts w:ascii="Palatino Linotype" w:eastAsia="Calibri" w:hAnsi="Palatino Linotype" w:cs="Tahoma"/>
          <w:b/>
          <w:i/>
          <w:iCs/>
          <w:sz w:val="20"/>
          <w:szCs w:val="20"/>
          <w:lang w:eastAsia="es-ES_tradnl"/>
        </w:rPr>
        <w:t>Décimo octavo.</w:t>
      </w:r>
      <w:r w:rsidRPr="00F16598">
        <w:rPr>
          <w:rFonts w:ascii="Palatino Linotype" w:eastAsia="Calibri" w:hAnsi="Palatino Linotype" w:cs="Tahoma"/>
          <w:i/>
          <w:iCs/>
          <w:sz w:val="20"/>
          <w:szCs w:val="20"/>
          <w:lang w:eastAsia="es-ES_tradnl"/>
        </w:rPr>
        <w:t xml:space="preserve"> De conformidad con el artículo 113, fracción I de la Ley General, podrá considerarse como información reservada, aquella que comprometa la seguridad pública, al poner en peligro las funciones a cargo de la Federación, la </w:t>
      </w:r>
      <w:r w:rsidRPr="00F16598">
        <w:rPr>
          <w:rFonts w:ascii="Palatino Linotype" w:eastAsia="Calibri" w:hAnsi="Palatino Linotype" w:cs="Tahoma"/>
          <w:i/>
          <w:iCs/>
          <w:sz w:val="20"/>
          <w:szCs w:val="20"/>
          <w:lang w:val="es-MX" w:eastAsia="es-ES_tradnl"/>
        </w:rPr>
        <w:t xml:space="preserve">Ciudad de México, los Estados y los Municipios, tendientes a preservar y resguardar la vida, la salud, la integridad y el ejercicio de los derechos de las personas, así como para el mantenimiento del orden público. </w:t>
      </w:r>
    </w:p>
    <w:p w14:paraId="70D8852B"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3D79B988"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r w:rsidRPr="00F16598">
        <w:rPr>
          <w:rFonts w:ascii="Palatino Linotype" w:eastAsia="Calibri" w:hAnsi="Palatino Linotype" w:cs="Tahoma"/>
          <w:i/>
          <w:iCs/>
          <w:sz w:val="20"/>
          <w:szCs w:val="20"/>
          <w:lang w:val="es-MX" w:eastAsia="es-ES_tradnl"/>
        </w:rPr>
        <w:t xml:space="preserve">Se pone en peligro el orden público cuando la difusión de la información pueda entorpecer los sistemas de coordinación interinstitucional en materia de seguridad pública, menoscabar o dificultar las estrategias contra la evasión de reos; o menoscabar o limitar la capacidad de las autoridades encaminadas a disuadir o prevenir disturbios sociales. </w:t>
      </w:r>
    </w:p>
    <w:p w14:paraId="01CF7A71"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val="es-MX" w:eastAsia="es-ES_tradnl"/>
        </w:rPr>
      </w:pPr>
    </w:p>
    <w:p w14:paraId="0F98E0F9" w14:textId="77777777" w:rsidR="00796F78" w:rsidRPr="00F16598" w:rsidRDefault="00796F78" w:rsidP="00796F78">
      <w:pPr>
        <w:tabs>
          <w:tab w:val="left" w:pos="4962"/>
        </w:tabs>
        <w:spacing w:after="0" w:line="360" w:lineRule="auto"/>
        <w:ind w:left="567" w:right="567"/>
        <w:jc w:val="both"/>
        <w:rPr>
          <w:rFonts w:ascii="Palatino Linotype" w:eastAsia="Calibri" w:hAnsi="Palatino Linotype" w:cs="Tahoma"/>
          <w:i/>
          <w:iCs/>
          <w:sz w:val="20"/>
          <w:szCs w:val="20"/>
          <w:lang w:eastAsia="es-ES_tradnl"/>
        </w:rPr>
      </w:pPr>
      <w:r w:rsidRPr="00F16598">
        <w:rPr>
          <w:rFonts w:ascii="Palatino Linotype" w:eastAsia="Calibri" w:hAnsi="Palatino Linotype" w:cs="Tahoma"/>
          <w:i/>
          <w:iCs/>
          <w:sz w:val="20"/>
          <w:szCs w:val="20"/>
          <w:lang w:val="es-MX" w:eastAsia="es-ES_tradnl"/>
        </w:rPr>
        <w:t>Asimismo, podrá considerarse como reservada aquella que revele datos que pudieran ser aprovechados para conocer la capacidad de reacción de las instituciones encargadas de la seguridad pública, sus planes, estrategias, tecnología, información, sistemas de comunicaciones.”</w:t>
      </w:r>
    </w:p>
    <w:p w14:paraId="76FB7278" w14:textId="77777777" w:rsidR="00796F78" w:rsidRDefault="00796F78" w:rsidP="00796F78">
      <w:pPr>
        <w:spacing w:after="0" w:line="360" w:lineRule="auto"/>
        <w:jc w:val="both"/>
        <w:rPr>
          <w:rFonts w:ascii="Palatino Linotype" w:eastAsia="Calibri" w:hAnsi="Palatino Linotype" w:cs="Tahoma"/>
          <w:bCs/>
          <w:lang w:val="es-MX"/>
        </w:rPr>
      </w:pPr>
    </w:p>
    <w:p w14:paraId="27635769"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Así, es posible observar que podrá clasificarse como información reservada, aquélla que comprometa la seguridad pública o bien, entorpezca los sistemas de coordinación interinstitucional en materia de seguridad pública, menosca</w:t>
      </w:r>
      <w:r>
        <w:rPr>
          <w:rFonts w:ascii="Palatino Linotype" w:eastAsia="Calibri" w:hAnsi="Palatino Linotype" w:cs="Tahoma"/>
          <w:bCs/>
          <w:lang w:val="es-MX"/>
        </w:rPr>
        <w:t>be</w:t>
      </w:r>
      <w:r w:rsidRPr="00F16598">
        <w:rPr>
          <w:rFonts w:ascii="Palatino Linotype" w:eastAsia="Calibri" w:hAnsi="Palatino Linotype" w:cs="Tahoma"/>
          <w:bCs/>
          <w:lang w:val="es-MX"/>
        </w:rPr>
        <w:t xml:space="preserve"> o dificult</w:t>
      </w:r>
      <w:r>
        <w:rPr>
          <w:rFonts w:ascii="Palatino Linotype" w:eastAsia="Calibri" w:hAnsi="Palatino Linotype" w:cs="Tahoma"/>
          <w:bCs/>
          <w:lang w:val="es-MX"/>
        </w:rPr>
        <w:t>e</w:t>
      </w:r>
      <w:r w:rsidRPr="00F16598">
        <w:rPr>
          <w:rFonts w:ascii="Palatino Linotype" w:eastAsia="Calibri" w:hAnsi="Palatino Linotype" w:cs="Tahoma"/>
          <w:bCs/>
          <w:lang w:val="es-MX"/>
        </w:rPr>
        <w:t xml:space="preserve"> las estrategias contra la evasión de reos o la capacidad de las autoridades para disuadir o prevenir disturbios sociales. </w:t>
      </w:r>
    </w:p>
    <w:p w14:paraId="291D2DB0" w14:textId="77777777" w:rsidR="00796F78" w:rsidRPr="00F16598" w:rsidRDefault="00796F78" w:rsidP="00796F78">
      <w:pPr>
        <w:spacing w:after="0" w:line="360" w:lineRule="auto"/>
        <w:jc w:val="both"/>
        <w:rPr>
          <w:rFonts w:ascii="Palatino Linotype" w:eastAsia="Calibri" w:hAnsi="Palatino Linotype" w:cs="Tahoma"/>
          <w:bCs/>
          <w:lang w:val="es-MX"/>
        </w:rPr>
      </w:pPr>
    </w:p>
    <w:p w14:paraId="5F6E8AE8"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De la misma manera, será información clasificada aquella que revele datos que pudieran ser aprovechados para conocer la capacidad de reacción de las instituciones encargadas de la seguridad pública, sus planes, estrategias, tecnología, información, sistemas de comunicaciones.</w:t>
      </w:r>
    </w:p>
    <w:p w14:paraId="2ED3DB8C" w14:textId="77777777" w:rsidR="00796F78" w:rsidRPr="00F16598" w:rsidRDefault="00796F78" w:rsidP="00796F78">
      <w:pPr>
        <w:spacing w:after="0" w:line="360" w:lineRule="auto"/>
        <w:jc w:val="both"/>
        <w:rPr>
          <w:rFonts w:ascii="Palatino Linotype" w:eastAsia="Calibri" w:hAnsi="Palatino Linotype" w:cs="Tahoma"/>
          <w:bCs/>
          <w:lang w:val="es-MX"/>
        </w:rPr>
      </w:pPr>
    </w:p>
    <w:p w14:paraId="109A479A"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En ese orden de ideas, el artículo 81 de la Ley de Seguridad del Estado de México, que establece lo siguiente:</w:t>
      </w:r>
    </w:p>
    <w:p w14:paraId="09B9AC33" w14:textId="77777777" w:rsidR="00796F78" w:rsidRPr="00F16598" w:rsidRDefault="00796F78" w:rsidP="00796F78">
      <w:pPr>
        <w:spacing w:after="0" w:line="360" w:lineRule="auto"/>
        <w:jc w:val="both"/>
        <w:rPr>
          <w:rFonts w:ascii="Palatino Linotype" w:eastAsia="Calibri" w:hAnsi="Palatino Linotype" w:cs="Tahoma"/>
          <w:bCs/>
          <w:lang w:val="es-MX"/>
        </w:rPr>
      </w:pPr>
    </w:p>
    <w:p w14:paraId="330FDE6B"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“Artículo 81.-</w:t>
      </w:r>
      <w:r w:rsidRPr="00F16598">
        <w:rPr>
          <w:rFonts w:ascii="Palatino Linotype" w:eastAsia="Calibri" w:hAnsi="Palatino Linotype" w:cs="Tahoma"/>
          <w:bCs/>
          <w:i/>
          <w:sz w:val="20"/>
          <w:szCs w:val="20"/>
          <w:lang w:val="es-MX"/>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2D48A10"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p>
    <w:p w14:paraId="2EC13D76"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w:t>
      </w:r>
      <w:r w:rsidRPr="00F16598">
        <w:rPr>
          <w:rFonts w:ascii="Palatino Linotype" w:eastAsia="Calibri" w:hAnsi="Palatino Linotype" w:cs="Tahoma"/>
          <w:bCs/>
          <w:i/>
          <w:sz w:val="20"/>
          <w:szCs w:val="20"/>
          <w:lang w:val="es-MX"/>
        </w:rPr>
        <w:t xml:space="preserve"> Aquella cuya divulgación implique la revelación de normas, procedimientos, métodos, fuentes, especificaciones técnicas, sistemas, tecnología o equipos útiles a la generación de inteligencia para la seguridad pública o el combate a la delincuencia en el Estado de México; </w:t>
      </w:r>
    </w:p>
    <w:p w14:paraId="465FB3CE"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p>
    <w:p w14:paraId="6081D1CE"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II.</w:t>
      </w:r>
      <w:r w:rsidRPr="00F16598">
        <w:rPr>
          <w:rFonts w:ascii="Palatino Linotype" w:eastAsia="Calibri" w:hAnsi="Palatino Linotype" w:cs="Tahoma"/>
          <w:bCs/>
          <w:i/>
          <w:sz w:val="20"/>
          <w:szCs w:val="20"/>
          <w:lang w:val="es-MX"/>
        </w:rPr>
        <w:t xml:space="preserve"> Aquella cuya revelación pueda ser utilizada para actualizar o potenciar una amenaza a la seguridad pública o a las instituciones del Estado de México; </w:t>
      </w:r>
    </w:p>
    <w:p w14:paraId="6F5AC238"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Cs/>
          <w:i/>
          <w:sz w:val="20"/>
          <w:szCs w:val="20"/>
          <w:lang w:val="es-MX"/>
        </w:rPr>
        <w:t>…</w:t>
      </w:r>
    </w:p>
    <w:p w14:paraId="07D9DE40"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 xml:space="preserve">IV. </w:t>
      </w:r>
      <w:r w:rsidRPr="00F16598">
        <w:rPr>
          <w:rFonts w:ascii="Palatino Linotype" w:eastAsia="Calibri" w:hAnsi="Palatino Linotype" w:cs="Tahoma"/>
          <w:bCs/>
          <w:i/>
          <w:sz w:val="20"/>
          <w:szCs w:val="20"/>
          <w:lang w:val="es-MX"/>
        </w:rPr>
        <w:t xml:space="preserve">La que sea producto de una intervención de comunicaciones privadas autorizadas conforme a la Constitución Federal y las disposiciones legales correspondientes; y </w:t>
      </w:r>
    </w:p>
    <w:p w14:paraId="4C2FF31F"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p>
    <w:p w14:paraId="668EDD1A" w14:textId="77777777" w:rsidR="00796F78" w:rsidRPr="00F16598" w:rsidRDefault="00796F78" w:rsidP="00796F78">
      <w:pPr>
        <w:spacing w:after="0" w:line="360" w:lineRule="auto"/>
        <w:ind w:left="567" w:right="567"/>
        <w:jc w:val="both"/>
        <w:rPr>
          <w:rFonts w:ascii="Palatino Linotype" w:eastAsia="Calibri" w:hAnsi="Palatino Linotype" w:cs="Tahoma"/>
          <w:bCs/>
          <w:i/>
          <w:sz w:val="20"/>
          <w:szCs w:val="20"/>
          <w:lang w:val="es-MX"/>
        </w:rPr>
      </w:pPr>
      <w:r w:rsidRPr="00F16598">
        <w:rPr>
          <w:rFonts w:ascii="Palatino Linotype" w:eastAsia="Calibri" w:hAnsi="Palatino Linotype" w:cs="Tahoma"/>
          <w:b/>
          <w:bCs/>
          <w:i/>
          <w:sz w:val="20"/>
          <w:szCs w:val="20"/>
          <w:lang w:val="es-MX"/>
        </w:rPr>
        <w:t>V.</w:t>
      </w:r>
      <w:r w:rsidRPr="00F16598">
        <w:rPr>
          <w:rFonts w:ascii="Palatino Linotype" w:eastAsia="Calibri" w:hAnsi="Palatino Linotype" w:cs="Tahoma"/>
          <w:bCs/>
          <w:i/>
          <w:sz w:val="20"/>
          <w:szCs w:val="20"/>
          <w:lang w:val="es-MX"/>
        </w:rPr>
        <w:t xml:space="preserve"> La contenida en averiguaciones previas, carpetas de investigación, expedientes y demás archivos relativos a la investigación para la prevención y la investigación de los delitos y faltas administrativas, en términos de las disposiciones aplicables.”</w:t>
      </w:r>
    </w:p>
    <w:p w14:paraId="11C51D6B" w14:textId="77777777" w:rsidR="00796F78" w:rsidRPr="00F16598" w:rsidRDefault="00796F78" w:rsidP="00796F78">
      <w:pPr>
        <w:spacing w:after="0" w:line="360" w:lineRule="auto"/>
        <w:jc w:val="both"/>
        <w:rPr>
          <w:rFonts w:ascii="Palatino Linotype" w:eastAsia="Calibri" w:hAnsi="Palatino Linotype" w:cs="Tahoma"/>
          <w:bCs/>
          <w:lang w:val="es-MX"/>
        </w:rPr>
      </w:pPr>
    </w:p>
    <w:p w14:paraId="520645B8" w14:textId="77777777" w:rsidR="00796F78" w:rsidRPr="00F16598" w:rsidRDefault="00796F78" w:rsidP="00796F78">
      <w:pPr>
        <w:spacing w:after="0" w:line="360" w:lineRule="auto"/>
        <w:jc w:val="both"/>
        <w:rPr>
          <w:rFonts w:ascii="Palatino Linotype" w:eastAsia="Calibri" w:hAnsi="Palatino Linotype" w:cs="Tahoma"/>
          <w:bCs/>
          <w:lang w:val="es-MX"/>
        </w:rPr>
      </w:pPr>
      <w:r w:rsidRPr="00F16598">
        <w:rPr>
          <w:rFonts w:ascii="Palatino Linotype" w:eastAsia="Calibri" w:hAnsi="Palatino Linotype" w:cs="Tahoma"/>
          <w:bCs/>
          <w:lang w:val="es-MX"/>
        </w:rPr>
        <w:t>De lo anterior, se logra desprender que es información reservada, aquella que pueda revelar las normas, procedimientos, métodos, fuentes, técnicas, sistemas</w:t>
      </w:r>
      <w:r>
        <w:rPr>
          <w:rFonts w:ascii="Palatino Linotype" w:eastAsia="Calibri" w:hAnsi="Palatino Linotype" w:cs="Tahoma"/>
          <w:bCs/>
          <w:lang w:val="es-MX"/>
        </w:rPr>
        <w:t xml:space="preserve"> y</w:t>
      </w:r>
      <w:r w:rsidRPr="00F16598">
        <w:rPr>
          <w:rFonts w:ascii="Palatino Linotype" w:eastAsia="Calibri" w:hAnsi="Palatino Linotype" w:cs="Tahoma"/>
          <w:bCs/>
          <w:lang w:val="es-MX"/>
        </w:rPr>
        <w:t xml:space="preserve"> tecnología, útiles a la </w:t>
      </w:r>
      <w:r w:rsidRPr="00F16598">
        <w:rPr>
          <w:rFonts w:ascii="Palatino Linotype" w:eastAsia="Calibri" w:hAnsi="Palatino Linotype" w:cs="Tahoma"/>
          <w:bCs/>
          <w:lang w:val="es-MX"/>
        </w:rPr>
        <w:lastRenderedPageBreak/>
        <w:t>generación de inteligencia para la seguridad pública o el combate a la delincuencia, que pueda potenciar o amenazar la seguridad pública o las instituciones del Estado de México, la que sea producto de un intervención de comunicaciones privadas, o bien, la contenida en las averiguaciones previas, carpetas de investigación de los delitos y faltas administrativas.</w:t>
      </w:r>
    </w:p>
    <w:p w14:paraId="55AD985B" w14:textId="77777777" w:rsidR="00796F78" w:rsidRPr="00F16598" w:rsidRDefault="00796F78" w:rsidP="00796F78">
      <w:pPr>
        <w:spacing w:after="0" w:line="360" w:lineRule="auto"/>
        <w:jc w:val="both"/>
        <w:rPr>
          <w:rFonts w:ascii="Palatino Linotype" w:eastAsia="Calibri" w:hAnsi="Palatino Linotype" w:cs="Tahoma"/>
          <w:bCs/>
          <w:lang w:val="es-MX"/>
        </w:rPr>
      </w:pPr>
    </w:p>
    <w:p w14:paraId="7FBAC634" w14:textId="77777777" w:rsidR="00796F78" w:rsidRPr="00F16598" w:rsidRDefault="00796F78" w:rsidP="00796F7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 es de señalar que la reserva del dato en cuestión se sustenta en el hecho de que proporcionar el cargo</w:t>
      </w:r>
      <w:r w:rsidRPr="00F16598">
        <w:rPr>
          <w:rFonts w:ascii="Palatino Linotype" w:eastAsia="Calibri" w:hAnsi="Palatino Linotype" w:cs="Tahoma"/>
          <w:bCs/>
          <w:lang w:val="es-MX"/>
        </w:rPr>
        <w:t xml:space="preserve"> de los servidores público</w:t>
      </w:r>
      <w:r>
        <w:rPr>
          <w:rFonts w:ascii="Palatino Linotype" w:eastAsia="Calibri" w:hAnsi="Palatino Linotype" w:cs="Tahoma"/>
          <w:bCs/>
          <w:lang w:val="es-MX"/>
        </w:rPr>
        <w:t>s</w:t>
      </w:r>
      <w:r w:rsidRPr="00F16598">
        <w:rPr>
          <w:rFonts w:ascii="Palatino Linotype" w:eastAsia="Calibri" w:hAnsi="Palatino Linotype" w:cs="Tahoma"/>
          <w:bCs/>
          <w:lang w:val="es-MX"/>
        </w:rPr>
        <w:t>, en específico de los cuerpos de seguridad</w:t>
      </w:r>
      <w:r>
        <w:rPr>
          <w:rFonts w:ascii="Palatino Linotype" w:eastAsia="Calibri" w:hAnsi="Palatino Linotype" w:cs="Tahoma"/>
          <w:bCs/>
          <w:lang w:val="es-MX"/>
        </w:rPr>
        <w:t xml:space="preserve"> </w:t>
      </w:r>
      <w:r w:rsidRPr="00F16598">
        <w:rPr>
          <w:rFonts w:ascii="Palatino Linotype" w:eastAsia="Calibri" w:hAnsi="Palatino Linotype" w:cs="Tahoma"/>
          <w:bCs/>
          <w:lang w:val="es-MX"/>
        </w:rPr>
        <w:t xml:space="preserve">podría revelar </w:t>
      </w:r>
      <w:r w:rsidRPr="00F16598">
        <w:rPr>
          <w:rFonts w:ascii="Palatino Linotype" w:eastAsia="Calibri" w:hAnsi="Palatino Linotype" w:cs="Tahoma"/>
          <w:b/>
          <w:bCs/>
          <w:lang w:val="es-MX"/>
        </w:rPr>
        <w:t>el estado de fuerza del Municipio</w:t>
      </w:r>
      <w:r>
        <w:rPr>
          <w:rFonts w:ascii="Palatino Linotype" w:eastAsia="Calibri" w:hAnsi="Palatino Linotype" w:cs="Tahoma"/>
          <w:b/>
          <w:bCs/>
          <w:lang w:val="es-MX"/>
        </w:rPr>
        <w:t xml:space="preserve">; </w:t>
      </w:r>
      <w:r w:rsidRPr="009073A7">
        <w:rPr>
          <w:rFonts w:ascii="Palatino Linotype" w:eastAsia="Calibri" w:hAnsi="Palatino Linotype" w:cs="Tahoma"/>
          <w:lang w:val="es-MX"/>
        </w:rPr>
        <w:t>sobre el tema,</w:t>
      </w:r>
      <w:r w:rsidRPr="00AF7673">
        <w:rPr>
          <w:rFonts w:ascii="Palatino Linotype" w:eastAsia="Calibri" w:hAnsi="Palatino Linotype" w:cs="Tahoma"/>
          <w:bCs/>
          <w:lang w:val="es-MX"/>
        </w:rPr>
        <w:t xml:space="preserve"> </w:t>
      </w:r>
      <w:r>
        <w:rPr>
          <w:rFonts w:ascii="Palatino Linotype" w:eastAsia="Calibri" w:hAnsi="Palatino Linotype" w:cs="Tahoma"/>
          <w:bCs/>
          <w:lang w:val="es-MX"/>
        </w:rPr>
        <w:t>los artículos</w:t>
      </w:r>
      <w:r w:rsidRPr="00F16598">
        <w:rPr>
          <w:rFonts w:ascii="Palatino Linotype" w:eastAsia="Calibri" w:hAnsi="Palatino Linotype" w:cs="Tahoma"/>
          <w:bCs/>
          <w:lang w:val="es-MX"/>
        </w:rPr>
        <w:t xml:space="preserve"> 142 y 143 de la Ley de Seguridad del Estado de México, establece</w:t>
      </w:r>
      <w:r>
        <w:rPr>
          <w:rFonts w:ascii="Palatino Linotype" w:eastAsia="Calibri" w:hAnsi="Palatino Linotype" w:cs="Tahoma"/>
          <w:bCs/>
          <w:lang w:val="es-MX"/>
        </w:rPr>
        <w:t>n</w:t>
      </w:r>
      <w:r w:rsidRPr="00F16598">
        <w:rPr>
          <w:rFonts w:ascii="Palatino Linotype" w:eastAsia="Calibri" w:hAnsi="Palatino Linotype" w:cs="Tahoma"/>
          <w:bCs/>
          <w:lang w:val="es-MX"/>
        </w:rPr>
        <w:t xml:space="preserve"> la organización jerárquica de las instituciones policiales de la </w:t>
      </w:r>
      <w:r>
        <w:rPr>
          <w:rFonts w:ascii="Palatino Linotype" w:eastAsia="Calibri" w:hAnsi="Palatino Linotype" w:cs="Tahoma"/>
          <w:bCs/>
          <w:lang w:val="es-MX"/>
        </w:rPr>
        <w:t>E</w:t>
      </w:r>
      <w:r w:rsidRPr="00F16598">
        <w:rPr>
          <w:rFonts w:ascii="Palatino Linotype" w:eastAsia="Calibri" w:hAnsi="Palatino Linotype" w:cs="Tahoma"/>
          <w:bCs/>
          <w:lang w:val="es-MX"/>
        </w:rPr>
        <w:t xml:space="preserve">ntidad </w:t>
      </w:r>
      <w:r>
        <w:rPr>
          <w:rFonts w:ascii="Palatino Linotype" w:eastAsia="Calibri" w:hAnsi="Palatino Linotype" w:cs="Tahoma"/>
          <w:bCs/>
          <w:lang w:val="es-MX"/>
        </w:rPr>
        <w:t>F</w:t>
      </w:r>
      <w:r w:rsidRPr="00F16598">
        <w:rPr>
          <w:rFonts w:ascii="Palatino Linotype" w:eastAsia="Calibri" w:hAnsi="Palatino Linotype" w:cs="Tahoma"/>
          <w:bCs/>
          <w:lang w:val="es-MX"/>
        </w:rPr>
        <w:t>ederativa y sus municipios, la cual es la siguiente:</w:t>
      </w:r>
    </w:p>
    <w:p w14:paraId="3B52AF5A" w14:textId="77777777" w:rsidR="00796F78" w:rsidRPr="00F16598" w:rsidRDefault="00796F78" w:rsidP="00796F78">
      <w:pPr>
        <w:spacing w:after="0" w:line="360" w:lineRule="auto"/>
        <w:jc w:val="both"/>
        <w:rPr>
          <w:rFonts w:ascii="Palatino Linotype" w:eastAsia="Calibri" w:hAnsi="Palatino Linotype" w:cs="Tahoma"/>
          <w:bCs/>
          <w:lang w:val="es-MX"/>
        </w:rPr>
      </w:pPr>
    </w:p>
    <w:p w14:paraId="6E1DF047"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Comisarios:</w:t>
      </w:r>
    </w:p>
    <w:p w14:paraId="0D97B2CE" w14:textId="77777777" w:rsidR="00796F78" w:rsidRPr="00F16598" w:rsidRDefault="00796F78" w:rsidP="00796F78">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General;</w:t>
      </w:r>
    </w:p>
    <w:p w14:paraId="0FB3489A" w14:textId="77777777" w:rsidR="00796F78" w:rsidRPr="00F16598" w:rsidRDefault="00796F78" w:rsidP="00796F78">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 Jefe, y</w:t>
      </w:r>
    </w:p>
    <w:p w14:paraId="6BF50586" w14:textId="77777777" w:rsidR="00796F78" w:rsidRDefault="00796F78" w:rsidP="00796F78">
      <w:pPr>
        <w:numPr>
          <w:ilvl w:val="0"/>
          <w:numId w:val="4"/>
        </w:numPr>
        <w:spacing w:after="0" w:line="360" w:lineRule="auto"/>
        <w:ind w:left="993" w:hanging="77"/>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Comisario.</w:t>
      </w:r>
    </w:p>
    <w:p w14:paraId="31E1CDC2" w14:textId="77777777" w:rsidR="00796F78" w:rsidRPr="00F16598" w:rsidRDefault="00796F78" w:rsidP="00796F78">
      <w:pPr>
        <w:spacing w:after="0" w:line="360" w:lineRule="auto"/>
        <w:ind w:left="993"/>
        <w:contextualSpacing/>
        <w:jc w:val="both"/>
        <w:rPr>
          <w:rFonts w:ascii="Palatino Linotype" w:eastAsia="Calibri" w:hAnsi="Palatino Linotype" w:cs="Tahoma"/>
          <w:bCs/>
          <w:lang w:val="es-MX"/>
        </w:rPr>
      </w:pPr>
    </w:p>
    <w:p w14:paraId="3E9F4A7E"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Inspectores:</w:t>
      </w:r>
    </w:p>
    <w:p w14:paraId="7FF99465" w14:textId="77777777" w:rsidR="00796F78" w:rsidRPr="00F16598" w:rsidRDefault="00796F78" w:rsidP="00796F78">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General;</w:t>
      </w:r>
    </w:p>
    <w:p w14:paraId="24BED19E" w14:textId="77777777" w:rsidR="00796F78" w:rsidRPr="00F16598" w:rsidRDefault="00796F78" w:rsidP="00796F78">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 Jefe, y</w:t>
      </w:r>
    </w:p>
    <w:p w14:paraId="477C55AB" w14:textId="77777777" w:rsidR="00796F78" w:rsidRDefault="00796F78" w:rsidP="00796F78">
      <w:pPr>
        <w:numPr>
          <w:ilvl w:val="0"/>
          <w:numId w:val="5"/>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Inspector.</w:t>
      </w:r>
    </w:p>
    <w:p w14:paraId="07EF4E9A" w14:textId="77777777" w:rsidR="00796F78" w:rsidRPr="00F16598" w:rsidRDefault="00796F78" w:rsidP="00796F78">
      <w:pPr>
        <w:spacing w:after="0" w:line="360" w:lineRule="auto"/>
        <w:ind w:left="993"/>
        <w:contextualSpacing/>
        <w:jc w:val="both"/>
        <w:rPr>
          <w:rFonts w:ascii="Palatino Linotype" w:eastAsia="Calibri" w:hAnsi="Palatino Linotype" w:cs="Tahoma"/>
          <w:bCs/>
          <w:lang w:val="es-MX"/>
        </w:rPr>
      </w:pPr>
    </w:p>
    <w:p w14:paraId="02A71662"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Oficiales:</w:t>
      </w:r>
    </w:p>
    <w:p w14:paraId="5F125610" w14:textId="77777777" w:rsidR="00796F78" w:rsidRPr="00F16598" w:rsidRDefault="00796F78" w:rsidP="00796F78">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Subinspector;</w:t>
      </w:r>
    </w:p>
    <w:p w14:paraId="5D7C80F3" w14:textId="77777777" w:rsidR="00796F78" w:rsidRPr="00F16598" w:rsidRDefault="00796F78" w:rsidP="00796F78">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Oficial, y</w:t>
      </w:r>
    </w:p>
    <w:p w14:paraId="0C6BD2A8" w14:textId="77777777" w:rsidR="00796F78" w:rsidRDefault="00796F78" w:rsidP="00796F78">
      <w:pPr>
        <w:numPr>
          <w:ilvl w:val="0"/>
          <w:numId w:val="6"/>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Suboficial.</w:t>
      </w:r>
    </w:p>
    <w:p w14:paraId="1F7D2B7C" w14:textId="77777777" w:rsidR="00796F78" w:rsidRPr="00F16598" w:rsidRDefault="00796F78" w:rsidP="00796F78">
      <w:pPr>
        <w:spacing w:after="0" w:line="360" w:lineRule="auto"/>
        <w:ind w:left="993"/>
        <w:contextualSpacing/>
        <w:jc w:val="both"/>
        <w:rPr>
          <w:rFonts w:ascii="Palatino Linotype" w:eastAsia="Calibri" w:hAnsi="Palatino Linotype" w:cs="Tahoma"/>
          <w:bCs/>
          <w:lang w:val="es-MX"/>
        </w:rPr>
      </w:pPr>
    </w:p>
    <w:p w14:paraId="1FF9ED38" w14:textId="77777777" w:rsidR="00796F78" w:rsidRPr="00F16598" w:rsidRDefault="00796F78" w:rsidP="00796F78">
      <w:pPr>
        <w:numPr>
          <w:ilvl w:val="0"/>
          <w:numId w:val="3"/>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Escala Básica:</w:t>
      </w:r>
    </w:p>
    <w:p w14:paraId="520E4786"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lastRenderedPageBreak/>
        <w:t>Policía Primero;</w:t>
      </w:r>
    </w:p>
    <w:p w14:paraId="08DAB2C7"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Policía Segundo; </w:t>
      </w:r>
    </w:p>
    <w:p w14:paraId="490940A1"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 Tercero, y</w:t>
      </w:r>
    </w:p>
    <w:p w14:paraId="03012D25" w14:textId="77777777" w:rsidR="00796F78" w:rsidRPr="00F16598" w:rsidRDefault="00796F78" w:rsidP="00796F78">
      <w:pPr>
        <w:numPr>
          <w:ilvl w:val="0"/>
          <w:numId w:val="7"/>
        </w:numPr>
        <w:spacing w:after="0" w:line="360" w:lineRule="auto"/>
        <w:ind w:left="993" w:hanging="54"/>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Policía.</w:t>
      </w:r>
    </w:p>
    <w:p w14:paraId="5F2D90F2" w14:textId="77777777" w:rsidR="00796F78" w:rsidRPr="00F16598" w:rsidRDefault="00796F78" w:rsidP="00796F78">
      <w:pPr>
        <w:spacing w:after="0" w:line="360" w:lineRule="auto"/>
        <w:jc w:val="both"/>
        <w:rPr>
          <w:rFonts w:ascii="Palatino Linotype" w:eastAsia="Calibri" w:hAnsi="Palatino Linotype" w:cs="Tahoma"/>
          <w:bCs/>
          <w:sz w:val="20"/>
          <w:lang w:val="es-MX"/>
        </w:rPr>
      </w:pPr>
      <w:r w:rsidRPr="00F16598">
        <w:rPr>
          <w:rFonts w:ascii="Palatino Linotype" w:eastAsia="Calibri" w:hAnsi="Palatino Linotype" w:cs="Tahoma"/>
          <w:bCs/>
          <w:sz w:val="20"/>
          <w:lang w:val="es-MX"/>
        </w:rPr>
        <w:t xml:space="preserve">                                                                                                                                                                                                  </w:t>
      </w:r>
    </w:p>
    <w:p w14:paraId="721E9012" w14:textId="77777777" w:rsidR="00796F78" w:rsidRPr="009073A7" w:rsidRDefault="00796F78" w:rsidP="00796F78">
      <w:pPr>
        <w:spacing w:after="0" w:line="360" w:lineRule="auto"/>
        <w:jc w:val="both"/>
        <w:rPr>
          <w:rFonts w:ascii="Palatino Linotype" w:eastAsia="Calibri" w:hAnsi="Palatino Linotype" w:cs="Tahoma"/>
          <w:lang w:val="es-MX"/>
        </w:rPr>
      </w:pPr>
      <w:r>
        <w:rPr>
          <w:rFonts w:ascii="Palatino Linotype" w:eastAsia="Calibri" w:hAnsi="Palatino Linotype" w:cs="Tahoma"/>
          <w:lang w:val="es-MX"/>
        </w:rPr>
        <w:t xml:space="preserve">Además, </w:t>
      </w:r>
      <w:r w:rsidRPr="009073A7">
        <w:rPr>
          <w:rFonts w:ascii="Palatino Linotype" w:eastAsia="Calibri" w:hAnsi="Palatino Linotype" w:cs="Tahoma"/>
          <w:lang w:val="es-MX"/>
        </w:rPr>
        <w:t>el Modelo Óptimo de la Función Policial, emitido por la Secretaría de</w:t>
      </w:r>
      <w:r>
        <w:rPr>
          <w:rFonts w:ascii="Palatino Linotype" w:eastAsia="Calibri" w:hAnsi="Palatino Linotype" w:cs="Tahoma"/>
          <w:lang w:val="es-MX"/>
        </w:rPr>
        <w:t xml:space="preserve"> </w:t>
      </w:r>
      <w:r w:rsidRPr="009073A7">
        <w:rPr>
          <w:rFonts w:ascii="Palatino Linotype" w:eastAsia="Calibri" w:hAnsi="Palatino Linotype" w:cs="Tahoma"/>
          <w:lang w:val="es-MX"/>
        </w:rPr>
        <w:t>Gobernación “Diagnostico Nacional sobre las Policías Preventivas de las Entidades</w:t>
      </w:r>
      <w:r>
        <w:rPr>
          <w:rFonts w:ascii="Palatino Linotype" w:eastAsia="Calibri" w:hAnsi="Palatino Linotype" w:cs="Tahoma"/>
          <w:lang w:val="es-MX"/>
        </w:rPr>
        <w:t xml:space="preserve"> </w:t>
      </w:r>
      <w:r w:rsidRPr="009073A7">
        <w:rPr>
          <w:rFonts w:ascii="Palatino Linotype" w:eastAsia="Calibri" w:hAnsi="Palatino Linotype" w:cs="Tahoma"/>
          <w:lang w:val="es-MX"/>
        </w:rPr>
        <w:t>Federativas”</w:t>
      </w:r>
      <w:r>
        <w:rPr>
          <w:rFonts w:ascii="Palatino Linotype" w:eastAsia="Calibri" w:hAnsi="Palatino Linotype" w:cs="Tahoma"/>
          <w:lang w:val="es-MX"/>
        </w:rPr>
        <w:t xml:space="preserve">, </w:t>
      </w:r>
      <w:r w:rsidRPr="009073A7">
        <w:rPr>
          <w:rFonts w:ascii="Palatino Linotype" w:eastAsia="Calibri" w:hAnsi="Palatino Linotype" w:cs="Tahoma"/>
          <w:lang w:val="es-MX"/>
        </w:rPr>
        <w:t>establece que el estado de fuerza se refiere al número de elementos operativos en activo,</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p>
    <w:p w14:paraId="1989F28F" w14:textId="77777777" w:rsidR="00796F78" w:rsidRPr="009073A7" w:rsidRDefault="00796F78" w:rsidP="00796F78">
      <w:pPr>
        <w:spacing w:after="0" w:line="360" w:lineRule="auto"/>
        <w:jc w:val="both"/>
        <w:rPr>
          <w:rFonts w:ascii="Palatino Linotype" w:eastAsia="Calibri" w:hAnsi="Palatino Linotype" w:cs="Tahoma"/>
          <w:lang w:val="es-MX"/>
        </w:rPr>
      </w:pPr>
    </w:p>
    <w:p w14:paraId="5C2B20B4" w14:textId="77777777" w:rsidR="00796F78" w:rsidRPr="009073A7" w:rsidRDefault="00796F78" w:rsidP="00796F78">
      <w:pPr>
        <w:spacing w:after="0" w:line="360" w:lineRule="auto"/>
        <w:jc w:val="both"/>
        <w:rPr>
          <w:rFonts w:ascii="Palatino Linotype" w:eastAsia="Calibri" w:hAnsi="Palatino Linotype" w:cs="Tahoma"/>
          <w:lang w:val="es-MX"/>
        </w:rPr>
      </w:pPr>
      <w:r w:rsidRPr="009073A7">
        <w:rPr>
          <w:rFonts w:ascii="Palatino Linotype" w:eastAsia="Calibri" w:hAnsi="Palatino Linotype" w:cs="Tahoma"/>
          <w:lang w:val="es-MX"/>
        </w:rPr>
        <w:t>Lo cual</w:t>
      </w:r>
      <w:r>
        <w:rPr>
          <w:rFonts w:ascii="Palatino Linotype" w:eastAsia="Calibri" w:hAnsi="Palatino Linotype" w:cs="Tahoma"/>
          <w:lang w:val="es-MX"/>
        </w:rPr>
        <w:t>,</w:t>
      </w:r>
      <w:r w:rsidRPr="009073A7">
        <w:rPr>
          <w:rFonts w:ascii="Palatino Linotype" w:eastAsia="Calibri" w:hAnsi="Palatino Linotype" w:cs="Tahoma"/>
          <w:lang w:val="es-MX"/>
        </w:rPr>
        <w:t xml:space="preserve"> se fortalece con el Anexo 1 del Acuerdo 05/XLVI/20, denominado Modelo Nacional</w:t>
      </w:r>
    </w:p>
    <w:p w14:paraId="7D92818A" w14:textId="77777777" w:rsidR="00796F78" w:rsidRDefault="00796F78" w:rsidP="00796F78">
      <w:pPr>
        <w:spacing w:after="0" w:line="360" w:lineRule="auto"/>
        <w:jc w:val="both"/>
        <w:rPr>
          <w:rFonts w:ascii="Palatino Linotype" w:eastAsia="Calibri" w:hAnsi="Palatino Linotype" w:cs="Tahoma"/>
          <w:b/>
          <w:bCs/>
          <w:lang w:val="es-MX"/>
        </w:rPr>
      </w:pPr>
      <w:r w:rsidRPr="009073A7">
        <w:rPr>
          <w:rFonts w:ascii="Palatino Linotype" w:eastAsia="Calibri" w:hAnsi="Palatino Linotype" w:cs="Tahoma"/>
          <w:lang w:val="es-MX"/>
        </w:rPr>
        <w:t>de Policía y Justicia Cívica, que precisa que el</w:t>
      </w:r>
      <w:r>
        <w:rPr>
          <w:rFonts w:ascii="Palatino Linotype" w:eastAsia="Calibri" w:hAnsi="Palatino Linotype" w:cs="Tahoma"/>
          <w:lang w:val="es-MX"/>
        </w:rPr>
        <w:t xml:space="preserve"> </w:t>
      </w:r>
      <w:r w:rsidRPr="009073A7">
        <w:rPr>
          <w:rFonts w:ascii="Palatino Linotype" w:eastAsia="Calibri" w:hAnsi="Palatino Linotype" w:cs="Tahoma"/>
          <w:lang w:val="es-MX"/>
        </w:rPr>
        <w:t>estado de fuerza se conforma de los elementos operativos en materia de seguridad,</w:t>
      </w:r>
      <w:r>
        <w:rPr>
          <w:rFonts w:ascii="Palatino Linotype" w:eastAsia="Calibri" w:hAnsi="Palatino Linotype" w:cs="Tahoma"/>
          <w:lang w:val="es-MX"/>
        </w:rPr>
        <w:t xml:space="preserve"> </w:t>
      </w:r>
      <w:r w:rsidRPr="009073A7">
        <w:rPr>
          <w:rFonts w:ascii="Palatino Linotype" w:eastAsia="Calibri" w:hAnsi="Palatino Linotype" w:cs="Tahoma"/>
          <w:lang w:val="es-MX"/>
        </w:rPr>
        <w:t>excluyendo al personal administrativo</w:t>
      </w:r>
      <w:r>
        <w:rPr>
          <w:rFonts w:ascii="Palatino Linotype" w:eastAsia="Calibri" w:hAnsi="Palatino Linotype" w:cs="Tahoma"/>
          <w:lang w:val="es-MX"/>
        </w:rPr>
        <w:t xml:space="preserve">; sin embargo, de dicho documento </w:t>
      </w:r>
      <w:r w:rsidRPr="009073A7">
        <w:rPr>
          <w:rFonts w:ascii="Palatino Linotype" w:eastAsia="Calibri" w:hAnsi="Palatino Linotype" w:cs="Tahoma"/>
          <w:lang w:val="es-MX"/>
        </w:rPr>
        <w:t>se logra vislumbrar</w:t>
      </w:r>
      <w:r>
        <w:rPr>
          <w:rFonts w:ascii="Palatino Linotype" w:eastAsia="Calibri" w:hAnsi="Palatino Linotype" w:cs="Tahoma"/>
          <w:b/>
          <w:bCs/>
          <w:lang w:val="es-MX"/>
        </w:rPr>
        <w:t xml:space="preserve"> que el Estado de Fuerza real de una Institución de Seguridad, no debe basarse </w:t>
      </w:r>
      <w:r w:rsidRPr="001C25E0">
        <w:rPr>
          <w:rFonts w:ascii="Palatino Linotype" w:eastAsia="Calibri" w:hAnsi="Palatino Linotype" w:cs="Tahoma"/>
          <w:b/>
          <w:bCs/>
          <w:u w:val="single"/>
          <w:lang w:val="es-MX"/>
        </w:rPr>
        <w:t>únicamente en el total de servidores públicos operativos</w:t>
      </w:r>
      <w:r>
        <w:rPr>
          <w:rFonts w:ascii="Palatino Linotype" w:eastAsia="Calibri" w:hAnsi="Palatino Linotype" w:cs="Tahoma"/>
          <w:b/>
          <w:bCs/>
          <w:lang w:val="es-MX"/>
        </w:rPr>
        <w:t xml:space="preserve">, sino que se </w:t>
      </w:r>
      <w:r w:rsidRPr="001C25E0">
        <w:rPr>
          <w:rFonts w:ascii="Palatino Linotype" w:eastAsia="Calibri" w:hAnsi="Palatino Linotype" w:cs="Tahoma"/>
          <w:b/>
          <w:bCs/>
          <w:u w:val="single"/>
          <w:lang w:val="es-MX"/>
        </w:rPr>
        <w:t>debe ceñir a otros factores</w:t>
      </w:r>
      <w:r>
        <w:rPr>
          <w:rFonts w:ascii="Palatino Linotype" w:eastAsia="Calibri" w:hAnsi="Palatino Linotype" w:cs="Tahoma"/>
          <w:b/>
          <w:bCs/>
          <w:lang w:val="es-MX"/>
        </w:rPr>
        <w:t>, como el turno, las necesidades y actividades operativas.</w:t>
      </w:r>
    </w:p>
    <w:p w14:paraId="78807767" w14:textId="77777777" w:rsidR="00796F78" w:rsidRDefault="00796F78" w:rsidP="00796F78">
      <w:pPr>
        <w:spacing w:after="0" w:line="360" w:lineRule="auto"/>
        <w:jc w:val="both"/>
        <w:rPr>
          <w:rFonts w:ascii="Palatino Linotype" w:eastAsia="Calibri" w:hAnsi="Palatino Linotype" w:cs="Tahoma"/>
          <w:b/>
          <w:bCs/>
          <w:lang w:val="es-MX"/>
        </w:rPr>
      </w:pPr>
    </w:p>
    <w:p w14:paraId="73719663" w14:textId="77777777" w:rsidR="00796F78" w:rsidRPr="00F16598" w:rsidRDefault="00796F78" w:rsidP="00796F78">
      <w:pPr>
        <w:spacing w:after="0" w:line="360" w:lineRule="auto"/>
        <w:jc w:val="both"/>
        <w:rPr>
          <w:rFonts w:ascii="Palatino Linotype" w:eastAsia="Calibri" w:hAnsi="Palatino Linotype" w:cs="Tahoma"/>
          <w:b/>
          <w:lang w:val="es-MX"/>
        </w:rPr>
      </w:pPr>
      <w:r>
        <w:rPr>
          <w:rFonts w:ascii="Palatino Linotype" w:eastAsia="Calibri" w:hAnsi="Palatino Linotype" w:cs="Tahoma"/>
          <w:bCs/>
          <w:lang w:val="es-MX"/>
        </w:rPr>
        <w:t>Así</w:t>
      </w:r>
      <w:r w:rsidRPr="00F16598">
        <w:rPr>
          <w:rFonts w:ascii="Palatino Linotype" w:eastAsia="Calibri" w:hAnsi="Palatino Linotype" w:cs="Tahoma"/>
          <w:bCs/>
          <w:lang w:val="es-MX"/>
        </w:rPr>
        <w:t>, el estado de fuerza corresponde al número de elementos</w:t>
      </w:r>
      <w:r>
        <w:rPr>
          <w:rFonts w:ascii="Palatino Linotype" w:eastAsia="Calibri" w:hAnsi="Palatino Linotype" w:cs="Tahoma"/>
          <w:bCs/>
          <w:lang w:val="es-MX"/>
        </w:rPr>
        <w:t xml:space="preserve"> operativos en total</w:t>
      </w:r>
      <w:r w:rsidRPr="00F16598">
        <w:rPr>
          <w:rFonts w:ascii="Palatino Linotype" w:eastAsia="Calibri" w:hAnsi="Palatino Linotype" w:cs="Tahoma"/>
          <w:bCs/>
          <w:lang w:val="es-MX"/>
        </w:rPr>
        <w:t xml:space="preserve"> con los que cuenta el</w:t>
      </w:r>
      <w:r>
        <w:rPr>
          <w:rFonts w:ascii="Palatino Linotype" w:eastAsia="Calibri" w:hAnsi="Palatino Linotype" w:cs="Tahoma"/>
          <w:bCs/>
          <w:lang w:val="es-MX"/>
        </w:rPr>
        <w:t xml:space="preserve"> Sujeto Obligado en materia de seguridad pública y </w:t>
      </w:r>
      <w:r>
        <w:rPr>
          <w:rFonts w:ascii="Palatino Linotype" w:eastAsia="Calibri" w:hAnsi="Palatino Linotype" w:cs="Tahoma"/>
          <w:b/>
          <w:lang w:val="es-MX"/>
        </w:rPr>
        <w:t>el estado de fuerza real corresponde al número de policías con los que cuenta el Ayuntamiento, en un determinado turno, para atender las necesidades y tareas de seguridad.</w:t>
      </w:r>
    </w:p>
    <w:p w14:paraId="67A34A6D" w14:textId="77777777" w:rsidR="00796F78" w:rsidRPr="00F16598" w:rsidRDefault="00796F78" w:rsidP="00796F78">
      <w:pPr>
        <w:spacing w:after="0" w:line="360" w:lineRule="auto"/>
        <w:jc w:val="both"/>
        <w:rPr>
          <w:rFonts w:ascii="Palatino Linotype" w:eastAsia="Calibri" w:hAnsi="Palatino Linotype" w:cs="Tahoma"/>
          <w:bCs/>
          <w:lang w:val="es-MX"/>
        </w:rPr>
      </w:pPr>
    </w:p>
    <w:p w14:paraId="7E6B182D" w14:textId="77777777" w:rsidR="00796F78" w:rsidRPr="00F16598" w:rsidRDefault="00796F78" w:rsidP="00796F78">
      <w:pPr>
        <w:spacing w:after="0" w:line="360" w:lineRule="auto"/>
        <w:jc w:val="both"/>
        <w:rPr>
          <w:rFonts w:ascii="Palatino Linotype" w:eastAsia="Calibri" w:hAnsi="Palatino Linotype" w:cs="Tahoma"/>
          <w:bCs/>
          <w:lang w:val="es-MX"/>
        </w:rPr>
      </w:pPr>
      <w:r>
        <w:rPr>
          <w:rFonts w:ascii="Palatino Linotype" w:eastAsia="Calibri" w:hAnsi="Palatino Linotype" w:cs="Tahoma"/>
          <w:bCs/>
          <w:lang w:val="es-MX"/>
        </w:rPr>
        <w:t>En ese orden de ideas</w:t>
      </w:r>
      <w:r w:rsidRPr="00F16598">
        <w:rPr>
          <w:rFonts w:ascii="Palatino Linotype" w:eastAsia="Calibri" w:hAnsi="Palatino Linotype" w:cs="Tahoma"/>
          <w:bCs/>
          <w:lang w:val="es-MX"/>
        </w:rPr>
        <w:t xml:space="preserve">, cabe precisar que si bien proporcionar el cargo </w:t>
      </w:r>
      <w:r>
        <w:rPr>
          <w:rFonts w:ascii="Palatino Linotype" w:eastAsia="Calibri" w:hAnsi="Palatino Linotype" w:cs="Tahoma"/>
          <w:bCs/>
          <w:lang w:val="es-MX"/>
        </w:rPr>
        <w:t xml:space="preserve">de </w:t>
      </w:r>
      <w:r w:rsidRPr="00F16598">
        <w:rPr>
          <w:rFonts w:ascii="Palatino Linotype" w:eastAsia="Calibri" w:hAnsi="Palatino Linotype" w:cs="Tahoma"/>
          <w:bCs/>
          <w:lang w:val="es-MX"/>
        </w:rPr>
        <w:t xml:space="preserve">los elementos operativos, </w:t>
      </w:r>
      <w:r w:rsidRPr="00F16598">
        <w:rPr>
          <w:rFonts w:ascii="Palatino Linotype" w:eastAsia="Calibri" w:hAnsi="Palatino Linotype" w:cs="Tahoma"/>
          <w:b/>
          <w:bCs/>
          <w:lang w:val="es-MX"/>
        </w:rPr>
        <w:t xml:space="preserve">podría dar cuenta del estado de fuerza </w:t>
      </w:r>
      <w:r>
        <w:rPr>
          <w:rFonts w:ascii="Palatino Linotype" w:eastAsia="Calibri" w:hAnsi="Palatino Linotype" w:cs="Tahoma"/>
          <w:b/>
          <w:bCs/>
          <w:lang w:val="es-MX"/>
        </w:rPr>
        <w:t>del municipio</w:t>
      </w:r>
      <w:r w:rsidRPr="00F16598">
        <w:rPr>
          <w:rFonts w:ascii="Palatino Linotype" w:eastAsia="Calibri" w:hAnsi="Palatino Linotype" w:cs="Tahoma"/>
          <w:bCs/>
          <w:lang w:val="es-MX"/>
        </w:rPr>
        <w:t xml:space="preserve">, también lo es que </w:t>
      </w:r>
      <w:r>
        <w:rPr>
          <w:rFonts w:ascii="Palatino Linotype" w:eastAsia="Calibri" w:hAnsi="Palatino Linotype" w:cs="Tahoma"/>
          <w:bCs/>
          <w:lang w:val="es-MX"/>
        </w:rPr>
        <w:t xml:space="preserve">desde mi perspectiva </w:t>
      </w:r>
      <w:r w:rsidRPr="00F16598">
        <w:rPr>
          <w:rFonts w:ascii="Palatino Linotype" w:eastAsia="Calibri" w:hAnsi="Palatino Linotype" w:cs="Tahoma"/>
          <w:bCs/>
          <w:lang w:val="es-MX"/>
        </w:rPr>
        <w:t>no</w:t>
      </w:r>
      <w:r>
        <w:rPr>
          <w:rFonts w:ascii="Palatino Linotype" w:eastAsia="Calibri" w:hAnsi="Palatino Linotype" w:cs="Tahoma"/>
          <w:bCs/>
          <w:lang w:val="es-MX"/>
        </w:rPr>
        <w:t xml:space="preserve"> se</w:t>
      </w:r>
      <w:r w:rsidRPr="00F16598">
        <w:rPr>
          <w:rFonts w:ascii="Palatino Linotype" w:eastAsia="Calibri" w:hAnsi="Palatino Linotype" w:cs="Tahoma"/>
          <w:bCs/>
          <w:lang w:val="es-MX"/>
        </w:rPr>
        <w:t xml:space="preserve"> advierte de qué forma</w:t>
      </w:r>
      <w:r>
        <w:rPr>
          <w:rFonts w:ascii="Palatino Linotype" w:eastAsia="Calibri" w:hAnsi="Palatino Linotype" w:cs="Tahoma"/>
          <w:bCs/>
          <w:lang w:val="es-MX"/>
        </w:rPr>
        <w:t xml:space="preserve"> dicha información</w:t>
      </w:r>
      <w:r w:rsidRPr="00F16598">
        <w:rPr>
          <w:rFonts w:ascii="Palatino Linotype" w:eastAsia="Calibri" w:hAnsi="Palatino Linotype" w:cs="Tahoma"/>
          <w:bCs/>
          <w:lang w:val="es-MX"/>
        </w:rPr>
        <w:t xml:space="preserve"> comprometa la seguridad pública del Municipio, por las siguientes consideraciones</w:t>
      </w:r>
      <w:r>
        <w:rPr>
          <w:rFonts w:ascii="Palatino Linotype" w:eastAsia="Calibri" w:hAnsi="Palatino Linotype" w:cs="Tahoma"/>
          <w:bCs/>
          <w:lang w:val="es-MX"/>
        </w:rPr>
        <w:t xml:space="preserve">, dar a conocer los documentos </w:t>
      </w:r>
      <w:r>
        <w:rPr>
          <w:rFonts w:ascii="Palatino Linotype" w:eastAsia="Calibri" w:hAnsi="Palatino Linotype" w:cs="Tahoma"/>
          <w:bCs/>
          <w:lang w:val="es-MX"/>
        </w:rPr>
        <w:lastRenderedPageBreak/>
        <w:t>donde conste el cargo de los elementos operativos, desvinculado de su nombre (por ejemplo, Policía Primero; Policía Segundo y/o Policía Tercero):</w:t>
      </w:r>
    </w:p>
    <w:p w14:paraId="6D8B7BB8" w14:textId="77777777" w:rsidR="00796F78" w:rsidRPr="00F16598" w:rsidRDefault="00796F78" w:rsidP="00796F78">
      <w:pPr>
        <w:spacing w:after="0" w:line="360" w:lineRule="auto"/>
        <w:jc w:val="both"/>
        <w:rPr>
          <w:rFonts w:ascii="Palatino Linotype" w:eastAsia="Calibri" w:hAnsi="Palatino Linotype" w:cs="Tahoma"/>
          <w:bCs/>
          <w:lang w:val="es-MX"/>
        </w:rPr>
      </w:pPr>
    </w:p>
    <w:p w14:paraId="1B1627F9" w14:textId="77777777" w:rsidR="00796F78" w:rsidRPr="00F1659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No entorpece los sistemas de coordinación interinstitucional en materia de seguridad pública, pues únicamente se establecería el número de policías </w:t>
      </w:r>
      <w:r>
        <w:rPr>
          <w:rFonts w:ascii="Palatino Linotype" w:eastAsia="Calibri" w:hAnsi="Palatino Linotype" w:cs="Tahoma"/>
          <w:bCs/>
          <w:lang w:val="es-MX"/>
        </w:rPr>
        <w:t xml:space="preserve">total </w:t>
      </w:r>
      <w:r w:rsidRPr="00F16598">
        <w:rPr>
          <w:rFonts w:ascii="Palatino Linotype" w:eastAsia="Calibri" w:hAnsi="Palatino Linotype" w:cs="Tahoma"/>
          <w:bCs/>
          <w:lang w:val="es-MX"/>
        </w:rPr>
        <w:t>con los que cuenta</w:t>
      </w:r>
      <w:r>
        <w:rPr>
          <w:rFonts w:ascii="Palatino Linotype" w:eastAsia="Calibri" w:hAnsi="Palatino Linotype" w:cs="Tahoma"/>
          <w:bCs/>
          <w:lang w:val="es-MX"/>
        </w:rPr>
        <w:t>,</w:t>
      </w:r>
      <w:r w:rsidRPr="00F16598">
        <w:rPr>
          <w:rFonts w:ascii="Palatino Linotype" w:eastAsia="Calibri" w:hAnsi="Palatino Linotype" w:cs="Tahoma"/>
          <w:bCs/>
          <w:lang w:val="es-MX"/>
        </w:rPr>
        <w:t xml:space="preserve"> </w:t>
      </w:r>
      <w:r>
        <w:rPr>
          <w:rFonts w:ascii="Palatino Linotype" w:eastAsia="Calibri" w:hAnsi="Palatino Linotype" w:cs="Tahoma"/>
          <w:bCs/>
          <w:lang w:val="es-MX"/>
        </w:rPr>
        <w:t>a través de la entrega de</w:t>
      </w:r>
      <w:r w:rsidRPr="00F16598">
        <w:rPr>
          <w:rFonts w:ascii="Palatino Linotype" w:eastAsia="Calibri" w:hAnsi="Palatino Linotype" w:cs="Tahoma"/>
          <w:bCs/>
          <w:lang w:val="es-MX"/>
        </w:rPr>
        <w:t xml:space="preserve"> la denominación de</w:t>
      </w:r>
      <w:r>
        <w:rPr>
          <w:rFonts w:ascii="Palatino Linotype" w:eastAsia="Calibri" w:hAnsi="Palatino Linotype" w:cs="Tahoma"/>
          <w:bCs/>
          <w:lang w:val="es-MX"/>
        </w:rPr>
        <w:t>l</w:t>
      </w:r>
      <w:r w:rsidRPr="00F16598">
        <w:rPr>
          <w:rFonts w:ascii="Palatino Linotype" w:eastAsia="Calibri" w:hAnsi="Palatino Linotype" w:cs="Tahoma"/>
          <w:bCs/>
          <w:lang w:val="es-MX"/>
        </w:rPr>
        <w:t xml:space="preserve"> cargo en específico.</w:t>
      </w:r>
    </w:p>
    <w:p w14:paraId="3C08451D" w14:textId="77777777" w:rsidR="00796F78" w:rsidRPr="00F16598" w:rsidRDefault="00796F78" w:rsidP="00796F78">
      <w:pPr>
        <w:spacing w:after="0" w:line="360" w:lineRule="auto"/>
        <w:ind w:left="720"/>
        <w:contextualSpacing/>
        <w:jc w:val="both"/>
        <w:rPr>
          <w:rFonts w:ascii="Palatino Linotype" w:eastAsia="Calibri" w:hAnsi="Palatino Linotype" w:cs="Tahoma"/>
          <w:bCs/>
          <w:lang w:val="es-MX"/>
        </w:rPr>
      </w:pPr>
    </w:p>
    <w:p w14:paraId="24503238" w14:textId="77777777" w:rsidR="00796F78" w:rsidRPr="00F1659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Tampoco dificulta o menoscaba las estrategias contra la evasión de reos o la capacidad de disuadir, prevenir disturbios sociales, o bien, la capacidad de reacción, planes, estrategias, tecnologías, información o sistemas de comunicaciones, pues no se está dando a conocer información concerniente a vehículos, armamento, chalecos o radios de comunicación; sino únicamente al personal que se encarga de la seguridad pública del Municipio</w:t>
      </w:r>
      <w:r>
        <w:rPr>
          <w:rFonts w:ascii="Palatino Linotype" w:eastAsia="Calibri" w:hAnsi="Palatino Linotype" w:cs="Tahoma"/>
          <w:bCs/>
          <w:lang w:val="es-MX"/>
        </w:rPr>
        <w:t xml:space="preserve">, </w:t>
      </w:r>
      <w:r>
        <w:rPr>
          <w:rFonts w:ascii="Palatino Linotype" w:eastAsia="Calibri" w:hAnsi="Palatino Linotype" w:cs="Tahoma"/>
          <w:b/>
          <w:lang w:val="es-MX"/>
        </w:rPr>
        <w:t>sin dar a conocer el estado de fuerza real.</w:t>
      </w:r>
    </w:p>
    <w:p w14:paraId="33A3492A" w14:textId="77777777" w:rsidR="00796F78" w:rsidRPr="00F16598" w:rsidRDefault="00796F78" w:rsidP="00796F78">
      <w:pPr>
        <w:spacing w:after="0" w:line="360" w:lineRule="auto"/>
        <w:ind w:left="720"/>
        <w:contextualSpacing/>
        <w:rPr>
          <w:rFonts w:ascii="Palatino Linotype" w:eastAsia="Calibri" w:hAnsi="Palatino Linotype" w:cs="Tahoma"/>
          <w:bCs/>
          <w:lang w:val="es-MX"/>
        </w:rPr>
      </w:pPr>
    </w:p>
    <w:p w14:paraId="1A3A9A4A" w14:textId="77777777" w:rsidR="00796F78" w:rsidRPr="00F1659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La información requerida, no es producto de la intervención de comunicaciones privadas, ni se encuentra contenida en averiguaciones previas, carpetas de investigación, expedientes y archivos de investigación o prevención de delitos.</w:t>
      </w:r>
    </w:p>
    <w:p w14:paraId="553DCE0A" w14:textId="77777777" w:rsidR="00796F78" w:rsidRPr="00F16598" w:rsidRDefault="00796F78" w:rsidP="00796F78">
      <w:pPr>
        <w:spacing w:after="0" w:line="360" w:lineRule="auto"/>
        <w:ind w:left="720"/>
        <w:contextualSpacing/>
        <w:rPr>
          <w:rFonts w:ascii="Palatino Linotype" w:eastAsia="Calibri" w:hAnsi="Palatino Linotype" w:cs="Tahoma"/>
          <w:bCs/>
          <w:lang w:val="es-MX"/>
        </w:rPr>
      </w:pPr>
    </w:p>
    <w:p w14:paraId="3F164893" w14:textId="77777777" w:rsidR="00796F78" w:rsidRDefault="00796F78" w:rsidP="00796F78">
      <w:pPr>
        <w:numPr>
          <w:ilvl w:val="0"/>
          <w:numId w:val="8"/>
        </w:numPr>
        <w:spacing w:after="0" w:line="360" w:lineRule="auto"/>
        <w:contextualSpacing/>
        <w:jc w:val="both"/>
        <w:rPr>
          <w:rFonts w:ascii="Palatino Linotype" w:eastAsia="Calibri" w:hAnsi="Palatino Linotype" w:cs="Tahoma"/>
          <w:bCs/>
          <w:lang w:val="es-MX"/>
        </w:rPr>
      </w:pPr>
      <w:r w:rsidRPr="00F16598">
        <w:rPr>
          <w:rFonts w:ascii="Palatino Linotype" w:eastAsia="Calibri" w:hAnsi="Palatino Linotype" w:cs="Tahoma"/>
          <w:bCs/>
          <w:lang w:val="es-MX"/>
        </w:rPr>
        <w:t xml:space="preserve">El </w:t>
      </w:r>
      <w:r w:rsidRPr="00AF7673">
        <w:rPr>
          <w:rFonts w:ascii="Palatino Linotype" w:eastAsia="Calibri" w:hAnsi="Palatino Linotype" w:cs="Tahoma"/>
          <w:bCs/>
          <w:lang w:val="es-MX"/>
        </w:rPr>
        <w:t>cargo</w:t>
      </w:r>
      <w:r w:rsidRPr="00F16598">
        <w:rPr>
          <w:rFonts w:ascii="Palatino Linotype" w:eastAsia="Calibri" w:hAnsi="Palatino Linotype" w:cs="Tahoma"/>
          <w:bCs/>
          <w:lang w:val="es-MX"/>
        </w:rPr>
        <w:t xml:space="preserve">, de ninguna forma da cuenta, de normas, procedimientos, métodos, fuentes, especificaciones técnicas, sistemas, tecnologías o equipos útiles a la generación de inteligencia en materia de seguridad pública o en combate a la delincuencia, pues como se precisó solamente da a conocer el estado de fuerza municipal y no la forma de actuación, estrategias y equipo con la que opera </w:t>
      </w:r>
      <w:r>
        <w:rPr>
          <w:rFonts w:ascii="Palatino Linotype" w:eastAsia="Calibri" w:hAnsi="Palatino Linotype" w:cs="Tahoma"/>
          <w:bCs/>
          <w:lang w:val="es-MX"/>
        </w:rPr>
        <w:t>el Área de Seguridad.</w:t>
      </w:r>
    </w:p>
    <w:p w14:paraId="54EAFB4E" w14:textId="77777777" w:rsidR="00796F78" w:rsidRDefault="00796F78" w:rsidP="00796F78">
      <w:pPr>
        <w:spacing w:after="0" w:line="360" w:lineRule="auto"/>
        <w:jc w:val="both"/>
        <w:rPr>
          <w:rFonts w:ascii="Palatino Linotype" w:eastAsia="Calibri" w:hAnsi="Palatino Linotype" w:cs="Tahoma"/>
          <w:bCs/>
          <w:iCs/>
          <w:lang w:eastAsia="es-ES_tradnl"/>
        </w:rPr>
      </w:pPr>
    </w:p>
    <w:p w14:paraId="55B7B940" w14:textId="77777777" w:rsidR="00796F78" w:rsidRPr="00F16598" w:rsidRDefault="00796F78" w:rsidP="00796F78">
      <w:pPr>
        <w:spacing w:after="0" w:line="360" w:lineRule="auto"/>
        <w:jc w:val="both"/>
        <w:rPr>
          <w:rFonts w:ascii="Palatino Linotype" w:eastAsia="Calibri" w:hAnsi="Palatino Linotype" w:cs="Tahoma"/>
          <w:bCs/>
          <w:lang w:val="es-MX"/>
        </w:rPr>
      </w:pPr>
      <w:r>
        <w:rPr>
          <w:rFonts w:ascii="Palatino Linotype" w:eastAsia="Calibri" w:hAnsi="Palatino Linotype" w:cs="Tahoma"/>
          <w:bCs/>
          <w:iCs/>
          <w:lang w:eastAsia="es-ES_tradnl"/>
        </w:rPr>
        <w:t xml:space="preserve">Además, debo hacer hincapié que, aunque se clasifiquen los datos, como el nombre o  cargo  de los elementos operativos, esto no impide conocer el estado de fuerza municipal, pues basta con contar el número de servidores públicos en donde se testaron dichos datos, para que los Particulares puedan identificar el número total de policías y elementos operativos </w:t>
      </w:r>
      <w:r>
        <w:rPr>
          <w:rFonts w:ascii="Palatino Linotype" w:eastAsia="Calibri" w:hAnsi="Palatino Linotype" w:cs="Tahoma"/>
          <w:bCs/>
          <w:iCs/>
          <w:lang w:eastAsia="es-ES_tradnl"/>
        </w:rPr>
        <w:lastRenderedPageBreak/>
        <w:t>con los que cuentan, toda vez que, en documentos como la nómina o los recibos de nómina, la información relativa a los salarios es pública.</w:t>
      </w:r>
    </w:p>
    <w:p w14:paraId="044AA4E5" w14:textId="77777777" w:rsidR="00796F78" w:rsidRDefault="00796F78" w:rsidP="00796F78">
      <w:pPr>
        <w:spacing w:after="0" w:line="360" w:lineRule="auto"/>
        <w:jc w:val="both"/>
        <w:rPr>
          <w:rFonts w:ascii="Palatino Linotype" w:hAnsi="Palatino Linotype" w:cs="Tahoma"/>
        </w:rPr>
      </w:pPr>
    </w:p>
    <w:p w14:paraId="3EA49419" w14:textId="77777777" w:rsidR="00796F78" w:rsidRDefault="00796F78" w:rsidP="00796F78">
      <w:pPr>
        <w:spacing w:after="0" w:line="360" w:lineRule="auto"/>
        <w:jc w:val="both"/>
        <w:rPr>
          <w:rFonts w:ascii="Palatino Linotype" w:hAnsi="Palatino Linotype" w:cs="Tahoma"/>
        </w:rPr>
      </w:pPr>
      <w:r>
        <w:rPr>
          <w:rFonts w:ascii="Palatino Linotype" w:hAnsi="Palatino Linotype" w:cs="Tahoma"/>
        </w:rPr>
        <w:t>Por todo lo anterior, recalco la importancia y necesidad de que en el análisis de las resoluciones que dicta este Pleno, se proporcione un estudio exhaustivo y ofrecer al Particular las herramientas para conocer las razones por las que procede o no la reserva de la información, toda vez, que es la única manera para sustentar la procedencia o improcedencia de una clasificación.</w:t>
      </w:r>
    </w:p>
    <w:p w14:paraId="4AD251AE" w14:textId="77777777" w:rsidR="00796F78" w:rsidRDefault="00796F78" w:rsidP="00796F78">
      <w:pPr>
        <w:spacing w:after="0" w:line="360" w:lineRule="auto"/>
        <w:jc w:val="both"/>
        <w:rPr>
          <w:rFonts w:ascii="Palatino Linotype" w:hAnsi="Palatino Linotype" w:cs="Tahoma"/>
        </w:rPr>
      </w:pPr>
    </w:p>
    <w:p w14:paraId="01946ECF" w14:textId="77777777" w:rsidR="00796F78" w:rsidRDefault="00796F78" w:rsidP="00796F78">
      <w:pPr>
        <w:spacing w:after="0" w:line="360" w:lineRule="auto"/>
        <w:jc w:val="both"/>
        <w:rPr>
          <w:rFonts w:ascii="Palatino Linotype" w:hAnsi="Palatino Linotype" w:cs="Tahoma"/>
          <w:lang w:val="es-MX"/>
        </w:rPr>
      </w:pPr>
      <w:r>
        <w:rPr>
          <w:rFonts w:ascii="Palatino Linotype" w:hAnsi="Palatino Linotype" w:cs="Tahoma"/>
        </w:rPr>
        <w:t>Con base en lo detallado en los apartados anteriores</w:t>
      </w:r>
      <w:r w:rsidRPr="00EB7785">
        <w:rPr>
          <w:rFonts w:ascii="Palatino Linotype" w:hAnsi="Palatino Linotype" w:cs="Tahoma"/>
        </w:rPr>
        <w:t>,</w:t>
      </w:r>
      <w:r>
        <w:rPr>
          <w:rFonts w:ascii="Palatino Linotype" w:hAnsi="Palatino Linotype" w:cs="Tahoma"/>
        </w:rPr>
        <w:t xml:space="preserve"> considero que</w:t>
      </w:r>
      <w:r w:rsidRPr="00EB7785">
        <w:rPr>
          <w:rFonts w:ascii="Palatino Linotype" w:hAnsi="Palatino Linotype" w:cs="Tahoma"/>
        </w:rPr>
        <w:t xml:space="preserve"> el Instituto como máxima autoridad en materia de derecho de acceso a la información y protección de datos personales, </w:t>
      </w:r>
      <w:r>
        <w:rPr>
          <w:rFonts w:ascii="Palatino Linotype" w:hAnsi="Palatino Linotype" w:cs="Tahoma"/>
        </w:rPr>
        <w:t xml:space="preserve">debe </w:t>
      </w:r>
      <w:r w:rsidRPr="00EB7785">
        <w:rPr>
          <w:rFonts w:ascii="Palatino Linotype" w:hAnsi="Palatino Linotype" w:cs="Tahoma"/>
        </w:rPr>
        <w:t>garantiza</w:t>
      </w:r>
      <w:r>
        <w:rPr>
          <w:rFonts w:ascii="Palatino Linotype" w:hAnsi="Palatino Linotype" w:cs="Tahoma"/>
        </w:rPr>
        <w:t>r</w:t>
      </w:r>
      <w:r w:rsidRPr="00EB7785">
        <w:rPr>
          <w:rFonts w:ascii="Palatino Linotype" w:hAnsi="Palatino Linotype" w:cs="Tahoma"/>
        </w:rPr>
        <w:t xml:space="preserve"> que los particulares puedan ejercer sus derechos y ser partícipes de la vida democrática de nuestro Estado y nuestro país, de lo contrario se corre el riesgo de que el Sujeto Obligado realice una clasificación incorrecta de la información</w:t>
      </w:r>
      <w:r>
        <w:rPr>
          <w:rFonts w:ascii="Palatino Linotype" w:hAnsi="Palatino Linotype" w:cs="Tahoma"/>
        </w:rPr>
        <w:t xml:space="preserve">; por lo que, </w:t>
      </w:r>
      <w:r w:rsidRPr="00DF675F">
        <w:rPr>
          <w:rFonts w:ascii="Palatino Linotype" w:hAnsi="Palatino Linotype" w:cs="Tahoma"/>
        </w:rPr>
        <w:t>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p>
    <w:p w14:paraId="7F74EB95" w14:textId="77777777" w:rsidR="00E95351" w:rsidRDefault="00E95351" w:rsidP="00796F78">
      <w:pPr>
        <w:spacing w:after="0" w:line="360" w:lineRule="auto"/>
        <w:jc w:val="both"/>
        <w:rPr>
          <w:rFonts w:ascii="Palatino Linotype" w:hAnsi="Palatino Linotype" w:cs="Tahoma"/>
          <w:lang w:val="es-MX"/>
        </w:rPr>
      </w:pPr>
    </w:p>
    <w:p w14:paraId="6BF25562" w14:textId="77777777" w:rsidR="00E95351" w:rsidRDefault="00E95351" w:rsidP="00796F78">
      <w:pPr>
        <w:spacing w:after="0" w:line="360" w:lineRule="auto"/>
        <w:jc w:val="both"/>
        <w:rPr>
          <w:rFonts w:ascii="Palatino Linotype" w:hAnsi="Palatino Linotype" w:cs="Tahoma"/>
          <w:lang w:val="es-MX"/>
        </w:rPr>
      </w:pPr>
    </w:p>
    <w:p w14:paraId="23543684" w14:textId="77777777" w:rsidR="00E95351" w:rsidRDefault="00E95351" w:rsidP="00796F78">
      <w:pPr>
        <w:spacing w:after="0" w:line="360" w:lineRule="auto"/>
        <w:jc w:val="both"/>
        <w:rPr>
          <w:rFonts w:ascii="Palatino Linotype" w:hAnsi="Palatino Linotype" w:cs="Tahoma"/>
          <w:lang w:val="es-MX"/>
        </w:rPr>
      </w:pPr>
    </w:p>
    <w:p w14:paraId="7E10E122" w14:textId="77777777" w:rsidR="00E95351" w:rsidRDefault="00E95351" w:rsidP="00796F78">
      <w:pPr>
        <w:spacing w:after="0" w:line="360" w:lineRule="auto"/>
        <w:jc w:val="both"/>
        <w:rPr>
          <w:rFonts w:ascii="Palatino Linotype" w:hAnsi="Palatino Linotype" w:cs="Tahoma"/>
          <w:lang w:val="es-MX"/>
        </w:rPr>
      </w:pPr>
    </w:p>
    <w:p w14:paraId="7199AF35" w14:textId="77777777" w:rsidR="00E95351" w:rsidRDefault="00E95351" w:rsidP="00796F78">
      <w:pPr>
        <w:spacing w:after="0" w:line="360" w:lineRule="auto"/>
        <w:jc w:val="both"/>
        <w:rPr>
          <w:rFonts w:ascii="Palatino Linotype" w:hAnsi="Palatino Linotype" w:cs="Tahoma"/>
          <w:lang w:val="es-MX"/>
        </w:rPr>
      </w:pPr>
    </w:p>
    <w:p w14:paraId="45F8B2B4" w14:textId="77777777" w:rsidR="00E95351" w:rsidRDefault="00E95351" w:rsidP="00796F78">
      <w:pPr>
        <w:spacing w:after="0" w:line="360" w:lineRule="auto"/>
        <w:jc w:val="both"/>
        <w:rPr>
          <w:rFonts w:ascii="Palatino Linotype" w:hAnsi="Palatino Linotype" w:cs="Tahoma"/>
          <w:lang w:val="es-MX"/>
        </w:rPr>
      </w:pPr>
    </w:p>
    <w:p w14:paraId="3A1A42CA" w14:textId="77777777" w:rsidR="00E95351" w:rsidRDefault="00E95351" w:rsidP="00796F78">
      <w:pPr>
        <w:spacing w:after="0" w:line="360" w:lineRule="auto"/>
        <w:jc w:val="both"/>
        <w:rPr>
          <w:rFonts w:ascii="Palatino Linotype" w:hAnsi="Palatino Linotype" w:cs="Tahoma"/>
          <w:lang w:val="es-MX"/>
        </w:rPr>
      </w:pPr>
    </w:p>
    <w:p w14:paraId="1ED13B78" w14:textId="77777777" w:rsidR="00E95351" w:rsidRDefault="00E95351" w:rsidP="00796F78">
      <w:pPr>
        <w:spacing w:after="0" w:line="360" w:lineRule="auto"/>
        <w:jc w:val="both"/>
        <w:rPr>
          <w:rFonts w:ascii="Palatino Linotype" w:hAnsi="Palatino Linotype" w:cs="Tahoma"/>
          <w:lang w:val="es-MX"/>
        </w:rPr>
      </w:pPr>
    </w:p>
    <w:p w14:paraId="3521D1E6" w14:textId="77777777" w:rsidR="00E95351" w:rsidRDefault="00E95351" w:rsidP="00796F78">
      <w:pPr>
        <w:spacing w:after="0" w:line="360" w:lineRule="auto"/>
        <w:jc w:val="both"/>
        <w:rPr>
          <w:rFonts w:ascii="Palatino Linotype" w:hAnsi="Palatino Linotype" w:cs="Tahoma"/>
          <w:lang w:val="es-MX"/>
        </w:rPr>
      </w:pPr>
    </w:p>
    <w:p w14:paraId="1DFBC813" w14:textId="77777777" w:rsidR="00E95351" w:rsidRDefault="00E95351" w:rsidP="00796F78">
      <w:pPr>
        <w:spacing w:after="0" w:line="360" w:lineRule="auto"/>
        <w:jc w:val="both"/>
        <w:rPr>
          <w:rFonts w:ascii="Palatino Linotype" w:hAnsi="Palatino Linotype" w:cs="Tahoma"/>
          <w:lang w:val="es-MX"/>
        </w:rPr>
      </w:pPr>
    </w:p>
    <w:p w14:paraId="66092614" w14:textId="77777777" w:rsidR="00E95351" w:rsidRDefault="00E95351" w:rsidP="00796F78">
      <w:pPr>
        <w:spacing w:after="0" w:line="360" w:lineRule="auto"/>
        <w:jc w:val="both"/>
        <w:rPr>
          <w:rFonts w:ascii="Palatino Linotype" w:hAnsi="Palatino Linotype" w:cs="Tahoma"/>
          <w:lang w:val="es-MX"/>
        </w:rPr>
      </w:pPr>
    </w:p>
    <w:p w14:paraId="045C306E" w14:textId="77777777" w:rsidR="00E95351" w:rsidRDefault="00E95351" w:rsidP="00796F78">
      <w:pPr>
        <w:spacing w:after="0" w:line="360" w:lineRule="auto"/>
        <w:jc w:val="both"/>
        <w:rPr>
          <w:rFonts w:ascii="Palatino Linotype" w:hAnsi="Palatino Linotype" w:cs="Tahoma"/>
          <w:lang w:val="es-MX"/>
        </w:rPr>
      </w:pPr>
    </w:p>
    <w:p w14:paraId="158EDCD8" w14:textId="77777777" w:rsidR="00E95351" w:rsidRDefault="00E95351" w:rsidP="00796F78">
      <w:pPr>
        <w:spacing w:after="0" w:line="360" w:lineRule="auto"/>
        <w:jc w:val="both"/>
        <w:rPr>
          <w:rFonts w:ascii="Palatino Linotype" w:hAnsi="Palatino Linotype" w:cs="Tahoma"/>
          <w:lang w:val="es-MX"/>
        </w:rPr>
      </w:pPr>
    </w:p>
    <w:p w14:paraId="37E31999" w14:textId="77777777" w:rsidR="00E95351" w:rsidRDefault="00E95351" w:rsidP="00796F78">
      <w:pPr>
        <w:spacing w:after="0" w:line="360" w:lineRule="auto"/>
        <w:jc w:val="both"/>
        <w:rPr>
          <w:rFonts w:ascii="Palatino Linotype" w:hAnsi="Palatino Linotype" w:cs="Tahoma"/>
          <w:lang w:val="es-MX"/>
        </w:rPr>
      </w:pPr>
    </w:p>
    <w:p w14:paraId="79F0DB51" w14:textId="77777777" w:rsidR="00E95351" w:rsidRDefault="00E95351" w:rsidP="00796F78">
      <w:pPr>
        <w:spacing w:after="0" w:line="360" w:lineRule="auto"/>
        <w:jc w:val="both"/>
        <w:rPr>
          <w:rFonts w:ascii="Palatino Linotype" w:hAnsi="Palatino Linotype" w:cs="Tahoma"/>
          <w:lang w:val="es-MX"/>
        </w:rPr>
      </w:pPr>
    </w:p>
    <w:p w14:paraId="1FB1855D" w14:textId="77777777" w:rsidR="00E95351" w:rsidRDefault="00E95351" w:rsidP="00796F78">
      <w:pPr>
        <w:spacing w:after="0" w:line="360" w:lineRule="auto"/>
        <w:jc w:val="both"/>
        <w:rPr>
          <w:rFonts w:ascii="Palatino Linotype" w:hAnsi="Palatino Linotype" w:cs="Tahoma"/>
          <w:lang w:val="es-MX"/>
        </w:rPr>
      </w:pPr>
    </w:p>
    <w:p w14:paraId="166E4A29" w14:textId="77777777" w:rsidR="00E95351" w:rsidRDefault="00E95351" w:rsidP="00796F78">
      <w:pPr>
        <w:spacing w:after="0" w:line="360" w:lineRule="auto"/>
        <w:jc w:val="both"/>
        <w:rPr>
          <w:rFonts w:ascii="Palatino Linotype" w:hAnsi="Palatino Linotype" w:cs="Tahoma"/>
          <w:lang w:val="es-MX"/>
        </w:rPr>
      </w:pPr>
    </w:p>
    <w:p w14:paraId="7B4C2B0B" w14:textId="77777777" w:rsidR="00E95351" w:rsidRDefault="00E95351" w:rsidP="00796F78">
      <w:pPr>
        <w:spacing w:after="0" w:line="360" w:lineRule="auto"/>
        <w:jc w:val="both"/>
        <w:rPr>
          <w:rFonts w:ascii="Palatino Linotype" w:hAnsi="Palatino Linotype" w:cs="Tahoma"/>
          <w:lang w:val="es-MX"/>
        </w:rPr>
      </w:pPr>
    </w:p>
    <w:p w14:paraId="3BA8C680" w14:textId="77777777" w:rsidR="00E95351" w:rsidRDefault="00E95351" w:rsidP="00796F78">
      <w:pPr>
        <w:spacing w:after="0" w:line="360" w:lineRule="auto"/>
        <w:jc w:val="both"/>
        <w:rPr>
          <w:rFonts w:ascii="Palatino Linotype" w:hAnsi="Palatino Linotype" w:cs="Tahoma"/>
          <w:lang w:val="es-MX"/>
        </w:rPr>
      </w:pPr>
    </w:p>
    <w:p w14:paraId="5FE3B8B4" w14:textId="77777777" w:rsidR="00E95351" w:rsidRPr="00DF675F" w:rsidRDefault="00E95351" w:rsidP="00796F78">
      <w:pPr>
        <w:spacing w:after="0" w:line="360" w:lineRule="auto"/>
        <w:jc w:val="both"/>
        <w:rPr>
          <w:rFonts w:ascii="Palatino Linotype" w:hAnsi="Palatino Linotype" w:cs="Tahoma"/>
        </w:rPr>
      </w:pPr>
    </w:p>
    <w:p w14:paraId="366BB292" w14:textId="77777777" w:rsidR="00796F78" w:rsidRDefault="00796F78" w:rsidP="00796F78">
      <w:pPr>
        <w:spacing w:after="0" w:line="360" w:lineRule="auto"/>
        <w:jc w:val="both"/>
        <w:rPr>
          <w:rFonts w:ascii="Palatino Linotype" w:hAnsi="Palatino Linotype" w:cs="Tahoma"/>
        </w:rPr>
      </w:pPr>
    </w:p>
    <w:p w14:paraId="5CAE6DCB" w14:textId="77777777" w:rsidR="00796F78" w:rsidRDefault="00796F78" w:rsidP="00796F78">
      <w:pPr>
        <w:spacing w:after="0" w:line="360" w:lineRule="auto"/>
        <w:jc w:val="both"/>
        <w:rPr>
          <w:rFonts w:ascii="Palatino Linotype" w:hAnsi="Palatino Linotype" w:cs="Tahoma"/>
        </w:rPr>
      </w:pPr>
    </w:p>
    <w:p w14:paraId="2BC18207" w14:textId="77777777" w:rsidR="00796F78" w:rsidRPr="000C73AC" w:rsidRDefault="00796F78" w:rsidP="00C169ED">
      <w:pPr>
        <w:tabs>
          <w:tab w:val="left" w:pos="1843"/>
        </w:tabs>
        <w:spacing w:after="0" w:line="360" w:lineRule="auto"/>
        <w:jc w:val="both"/>
        <w:rPr>
          <w:rFonts w:ascii="Palatino Linotype" w:hAnsi="Palatino Linotype" w:cs="Tahoma"/>
        </w:rPr>
      </w:pPr>
    </w:p>
    <w:sectPr w:rsidR="00796F78" w:rsidRPr="000C73AC" w:rsidSect="00C25D84">
      <w:headerReference w:type="default" r:id="rId8"/>
      <w:footerReference w:type="default" r:id="rId9"/>
      <w:pgSz w:w="12240" w:h="15840" w:code="1"/>
      <w:pgMar w:top="1417" w:right="1701" w:bottom="1134" w:left="1701" w:header="426" w:footer="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E61EE" w14:textId="77777777" w:rsidR="001D320D" w:rsidRDefault="001D320D" w:rsidP="00A80C30">
      <w:pPr>
        <w:spacing w:after="0" w:line="240" w:lineRule="auto"/>
      </w:pPr>
      <w:r>
        <w:separator/>
      </w:r>
    </w:p>
  </w:endnote>
  <w:endnote w:type="continuationSeparator" w:id="0">
    <w:p w14:paraId="0124F433" w14:textId="77777777" w:rsidR="001D320D" w:rsidRDefault="001D320D"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5440139"/>
      <w:docPartObj>
        <w:docPartGallery w:val="Page Numbers (Bottom of Page)"/>
        <w:docPartUnique/>
      </w:docPartObj>
    </w:sdtPr>
    <w:sdtContent>
      <w:sdt>
        <w:sdtPr>
          <w:id w:val="-1769616900"/>
          <w:docPartObj>
            <w:docPartGallery w:val="Page Numbers (Top of Page)"/>
            <w:docPartUnique/>
          </w:docPartObj>
        </w:sdtPr>
        <w:sdtContent>
          <w:p w14:paraId="3182D66A" w14:textId="55A40E1F" w:rsidR="00C25D84" w:rsidRDefault="00C25D84">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456620">
              <w:rPr>
                <w:b/>
                <w:bCs/>
                <w:noProof/>
              </w:rPr>
              <w:t>17</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56620">
              <w:rPr>
                <w:b/>
                <w:bCs/>
                <w:noProof/>
              </w:rPr>
              <w:t>18</w:t>
            </w:r>
            <w:r>
              <w:rPr>
                <w:b/>
                <w:bCs/>
                <w:sz w:val="24"/>
                <w:szCs w:val="24"/>
              </w:rPr>
              <w:fldChar w:fldCharType="end"/>
            </w:r>
          </w:p>
        </w:sdtContent>
      </w:sdt>
    </w:sdtContent>
  </w:sdt>
  <w:p w14:paraId="0581D3D8"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16181" w14:textId="77777777" w:rsidR="001D320D" w:rsidRDefault="001D320D" w:rsidP="00A80C30">
      <w:pPr>
        <w:spacing w:after="0" w:line="240" w:lineRule="auto"/>
      </w:pPr>
      <w:r>
        <w:separator/>
      </w:r>
    </w:p>
  </w:footnote>
  <w:footnote w:type="continuationSeparator" w:id="0">
    <w:p w14:paraId="503EA3E9" w14:textId="77777777" w:rsidR="001D320D" w:rsidRDefault="001D320D"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694E" w:rsidRPr="001106EA" w14:paraId="1FC3852C" w14:textId="77777777" w:rsidTr="00C25D84">
      <w:trPr>
        <w:trHeight w:val="1696"/>
      </w:trPr>
      <w:tc>
        <w:tcPr>
          <w:tcW w:w="3119" w:type="dxa"/>
          <w:vAlign w:val="bottom"/>
        </w:tcPr>
        <w:p w14:paraId="3BB07D34" w14:textId="44CC82DC" w:rsidR="00000000" w:rsidRDefault="00C25D84"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0EDE95FB">
                <wp:simplePos x="0" y="0"/>
                <wp:positionH relativeFrom="column">
                  <wp:posOffset>-272415</wp:posOffset>
                </wp:positionH>
                <wp:positionV relativeFrom="paragraph">
                  <wp:posOffset>17780</wp:posOffset>
                </wp:positionV>
                <wp:extent cx="1873250" cy="1126490"/>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5E60A2A5" w14:textId="4E0BF485" w:rsidR="00285C7B" w:rsidRDefault="00285C7B" w:rsidP="00285C7B">
          <w:pPr>
            <w:pStyle w:val="Encabezado"/>
            <w:tabs>
              <w:tab w:val="clear" w:pos="4252"/>
              <w:tab w:val="center" w:pos="2614"/>
            </w:tabs>
            <w:ind w:left="-255"/>
          </w:pPr>
        </w:p>
      </w:tc>
      <w:tc>
        <w:tcPr>
          <w:tcW w:w="5812" w:type="dxa"/>
          <w:vAlign w:val="center"/>
        </w:tcPr>
        <w:p w14:paraId="5D63E913" w14:textId="77777777" w:rsidR="00000000"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4DD17548" w14:textId="608A9710" w:rsidR="00D84731" w:rsidRDefault="001F75E5" w:rsidP="00456620">
          <w:pPr>
            <w:pStyle w:val="Encabezado"/>
            <w:ind w:left="-108" w:right="37"/>
            <w:rPr>
              <w:rFonts w:ascii="Palatino Linotype" w:hAnsi="Palatino Linotype"/>
              <w:lang w:val="es-MX"/>
            </w:rPr>
          </w:pPr>
          <w:r w:rsidRPr="00B9745A">
            <w:rPr>
              <w:rFonts w:ascii="Palatino Linotype" w:hAnsi="Palatino Linotype" w:cs="Tahoma"/>
              <w:b/>
            </w:rPr>
            <w:t xml:space="preserve">Recurso de Revisión: </w:t>
          </w:r>
          <w:r w:rsidR="00390F20" w:rsidRPr="00390F20">
            <w:rPr>
              <w:rFonts w:ascii="Palatino Linotype" w:hAnsi="Palatino Linotype"/>
              <w:lang w:val="es-MX"/>
            </w:rPr>
            <w:t xml:space="preserve">13902/INFOEM/IP/RR/2022 y </w:t>
          </w:r>
          <w:r w:rsidR="00456620">
            <w:rPr>
              <w:rFonts w:ascii="Palatino Linotype" w:hAnsi="Palatino Linotype"/>
              <w:lang w:val="es-MX"/>
            </w:rPr>
            <w:t xml:space="preserve">   </w:t>
          </w:r>
          <w:r w:rsidR="00390F20" w:rsidRPr="00390F20">
            <w:rPr>
              <w:rFonts w:ascii="Palatino Linotype" w:hAnsi="Palatino Linotype"/>
              <w:lang w:val="es-MX"/>
            </w:rPr>
            <w:t>acumulados.</w:t>
          </w:r>
        </w:p>
        <w:p w14:paraId="2336ABAD" w14:textId="42103438"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390F20" w:rsidRPr="00390F20">
            <w:rPr>
              <w:rFonts w:ascii="Palatino Linotype" w:hAnsi="Palatino Linotype"/>
              <w:bCs/>
              <w:lang w:val="es-MX"/>
            </w:rPr>
            <w:t>Ayuntamiento de Tlalnepantla de Baz</w:t>
          </w:r>
        </w:p>
        <w:p w14:paraId="39702EE3" w14:textId="57B8CC98" w:rsidR="00285C7B" w:rsidRPr="00285C7B" w:rsidRDefault="001F75E5" w:rsidP="0005623D">
          <w:pPr>
            <w:pStyle w:val="Encabezado"/>
            <w:ind w:left="-108" w:right="-250"/>
            <w:jc w:val="both"/>
            <w:rPr>
              <w:rFonts w:ascii="Palatino Linotype" w:hAnsi="Palatino Linotype"/>
              <w:bCs/>
              <w:lang w:val="es-ES_tradnl"/>
            </w:rPr>
          </w:pPr>
          <w:r w:rsidRPr="00B9745A">
            <w:rPr>
              <w:rFonts w:ascii="Palatino Linotype" w:hAnsi="Palatino Linotype" w:cs="Tahoma"/>
              <w:b/>
            </w:rPr>
            <w:t>Comisionado Ponente:</w:t>
          </w:r>
          <w:r w:rsidR="00741121">
            <w:rPr>
              <w:rFonts w:ascii="Palatino Linotype" w:hAnsi="Palatino Linotype" w:cs="Tahoma"/>
              <w:b/>
            </w:rPr>
            <w:t xml:space="preserve"> </w:t>
          </w:r>
          <w:r w:rsidR="00390F20" w:rsidRPr="00390F20">
            <w:rPr>
              <w:rFonts w:ascii="Palatino Linotype" w:hAnsi="Palatino Linotype" w:cs="Tahoma"/>
              <w:b/>
            </w:rPr>
            <w:t>Sharon Cristina Morales Martínez</w:t>
          </w:r>
        </w:p>
      </w:tc>
    </w:tr>
  </w:tbl>
  <w:p w14:paraId="2AD8A022" w14:textId="08E498F4" w:rsidR="00000000" w:rsidRPr="001106EA" w:rsidRDefault="00000000">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028873209">
    <w:abstractNumId w:val="2"/>
  </w:num>
  <w:num w:numId="2" w16cid:durableId="752509943">
    <w:abstractNumId w:val="4"/>
  </w:num>
  <w:num w:numId="3" w16cid:durableId="1345789694">
    <w:abstractNumId w:val="0"/>
  </w:num>
  <w:num w:numId="4" w16cid:durableId="1064446976">
    <w:abstractNumId w:val="1"/>
  </w:num>
  <w:num w:numId="5" w16cid:durableId="1925869150">
    <w:abstractNumId w:val="7"/>
  </w:num>
  <w:num w:numId="6" w16cid:durableId="1696032344">
    <w:abstractNumId w:val="5"/>
  </w:num>
  <w:num w:numId="7" w16cid:durableId="908536464">
    <w:abstractNumId w:val="3"/>
  </w:num>
  <w:num w:numId="8" w16cid:durableId="10171926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54038"/>
    <w:rsid w:val="0005623D"/>
    <w:rsid w:val="00082310"/>
    <w:rsid w:val="000A5DD9"/>
    <w:rsid w:val="000B2304"/>
    <w:rsid w:val="000C53FC"/>
    <w:rsid w:val="000D2D8D"/>
    <w:rsid w:val="00100065"/>
    <w:rsid w:val="00102604"/>
    <w:rsid w:val="001971A0"/>
    <w:rsid w:val="001D320D"/>
    <w:rsid w:val="001D76A9"/>
    <w:rsid w:val="001F75E5"/>
    <w:rsid w:val="00265C6F"/>
    <w:rsid w:val="00283E3E"/>
    <w:rsid w:val="00285C7B"/>
    <w:rsid w:val="00294D8B"/>
    <w:rsid w:val="002A6749"/>
    <w:rsid w:val="002D6AB3"/>
    <w:rsid w:val="00304A0F"/>
    <w:rsid w:val="00314859"/>
    <w:rsid w:val="00333077"/>
    <w:rsid w:val="0033747D"/>
    <w:rsid w:val="0034226E"/>
    <w:rsid w:val="00375D26"/>
    <w:rsid w:val="00390F20"/>
    <w:rsid w:val="00392841"/>
    <w:rsid w:val="003E56C5"/>
    <w:rsid w:val="003F4334"/>
    <w:rsid w:val="00412069"/>
    <w:rsid w:val="0043082D"/>
    <w:rsid w:val="004412C6"/>
    <w:rsid w:val="004504B2"/>
    <w:rsid w:val="00456620"/>
    <w:rsid w:val="004738C3"/>
    <w:rsid w:val="00486BD3"/>
    <w:rsid w:val="00494387"/>
    <w:rsid w:val="004A39A5"/>
    <w:rsid w:val="004A7A76"/>
    <w:rsid w:val="004B57D3"/>
    <w:rsid w:val="004C0D87"/>
    <w:rsid w:val="004C7D91"/>
    <w:rsid w:val="004D26F6"/>
    <w:rsid w:val="00506560"/>
    <w:rsid w:val="00506AB5"/>
    <w:rsid w:val="00506F7F"/>
    <w:rsid w:val="005303B4"/>
    <w:rsid w:val="00530B56"/>
    <w:rsid w:val="00533E57"/>
    <w:rsid w:val="00541BAC"/>
    <w:rsid w:val="00541E89"/>
    <w:rsid w:val="00543C9A"/>
    <w:rsid w:val="00562BF3"/>
    <w:rsid w:val="005701A9"/>
    <w:rsid w:val="00597276"/>
    <w:rsid w:val="005974CA"/>
    <w:rsid w:val="005D1F14"/>
    <w:rsid w:val="005F4A99"/>
    <w:rsid w:val="005F4D1D"/>
    <w:rsid w:val="00601591"/>
    <w:rsid w:val="006108EA"/>
    <w:rsid w:val="00624038"/>
    <w:rsid w:val="006408E2"/>
    <w:rsid w:val="00644AB7"/>
    <w:rsid w:val="0064790E"/>
    <w:rsid w:val="00654DC8"/>
    <w:rsid w:val="00657B98"/>
    <w:rsid w:val="0067637D"/>
    <w:rsid w:val="00684986"/>
    <w:rsid w:val="00690441"/>
    <w:rsid w:val="006A1343"/>
    <w:rsid w:val="006C2B09"/>
    <w:rsid w:val="006C667E"/>
    <w:rsid w:val="006C6E07"/>
    <w:rsid w:val="00716333"/>
    <w:rsid w:val="00736F3A"/>
    <w:rsid w:val="00741121"/>
    <w:rsid w:val="00744957"/>
    <w:rsid w:val="00756729"/>
    <w:rsid w:val="007772D6"/>
    <w:rsid w:val="00796F78"/>
    <w:rsid w:val="007A518E"/>
    <w:rsid w:val="007B18BB"/>
    <w:rsid w:val="007C1B79"/>
    <w:rsid w:val="007C3124"/>
    <w:rsid w:val="007F32AC"/>
    <w:rsid w:val="00823E1B"/>
    <w:rsid w:val="0083177F"/>
    <w:rsid w:val="00833C20"/>
    <w:rsid w:val="00842979"/>
    <w:rsid w:val="00845ECF"/>
    <w:rsid w:val="008504E7"/>
    <w:rsid w:val="008755DA"/>
    <w:rsid w:val="008B7F1F"/>
    <w:rsid w:val="008D717F"/>
    <w:rsid w:val="008D73ED"/>
    <w:rsid w:val="008E2746"/>
    <w:rsid w:val="008F78B8"/>
    <w:rsid w:val="009050BE"/>
    <w:rsid w:val="00911794"/>
    <w:rsid w:val="00913F1E"/>
    <w:rsid w:val="00922026"/>
    <w:rsid w:val="00922B2C"/>
    <w:rsid w:val="00940C65"/>
    <w:rsid w:val="00940F06"/>
    <w:rsid w:val="00960C5A"/>
    <w:rsid w:val="00961702"/>
    <w:rsid w:val="00965F78"/>
    <w:rsid w:val="00993DCD"/>
    <w:rsid w:val="009B3CA8"/>
    <w:rsid w:val="009C6B45"/>
    <w:rsid w:val="009D0346"/>
    <w:rsid w:val="009F23B2"/>
    <w:rsid w:val="00A17F80"/>
    <w:rsid w:val="00A20723"/>
    <w:rsid w:val="00A21473"/>
    <w:rsid w:val="00A223B4"/>
    <w:rsid w:val="00A445FE"/>
    <w:rsid w:val="00A44F76"/>
    <w:rsid w:val="00A45CE5"/>
    <w:rsid w:val="00A54CCC"/>
    <w:rsid w:val="00A63781"/>
    <w:rsid w:val="00A80C30"/>
    <w:rsid w:val="00A9782A"/>
    <w:rsid w:val="00AF77D3"/>
    <w:rsid w:val="00B43526"/>
    <w:rsid w:val="00B55282"/>
    <w:rsid w:val="00B66738"/>
    <w:rsid w:val="00B72708"/>
    <w:rsid w:val="00B80272"/>
    <w:rsid w:val="00B97D65"/>
    <w:rsid w:val="00BA54EE"/>
    <w:rsid w:val="00BB6D49"/>
    <w:rsid w:val="00BF1992"/>
    <w:rsid w:val="00C00E77"/>
    <w:rsid w:val="00C078C5"/>
    <w:rsid w:val="00C169ED"/>
    <w:rsid w:val="00C25D84"/>
    <w:rsid w:val="00C60C1A"/>
    <w:rsid w:val="00C75F6B"/>
    <w:rsid w:val="00C909C3"/>
    <w:rsid w:val="00C90F81"/>
    <w:rsid w:val="00CA7C0E"/>
    <w:rsid w:val="00CB36F3"/>
    <w:rsid w:val="00CC3620"/>
    <w:rsid w:val="00CD7496"/>
    <w:rsid w:val="00CD7937"/>
    <w:rsid w:val="00CE2AE0"/>
    <w:rsid w:val="00D257CB"/>
    <w:rsid w:val="00D405FF"/>
    <w:rsid w:val="00D51BFD"/>
    <w:rsid w:val="00D52CD2"/>
    <w:rsid w:val="00D6254E"/>
    <w:rsid w:val="00D84731"/>
    <w:rsid w:val="00DB121C"/>
    <w:rsid w:val="00DC0395"/>
    <w:rsid w:val="00DC371B"/>
    <w:rsid w:val="00DD00FF"/>
    <w:rsid w:val="00DD5D61"/>
    <w:rsid w:val="00DE09ED"/>
    <w:rsid w:val="00DF6CF9"/>
    <w:rsid w:val="00E272B4"/>
    <w:rsid w:val="00E43FEA"/>
    <w:rsid w:val="00E46405"/>
    <w:rsid w:val="00E6401F"/>
    <w:rsid w:val="00E67710"/>
    <w:rsid w:val="00E678EF"/>
    <w:rsid w:val="00E7322A"/>
    <w:rsid w:val="00E878DE"/>
    <w:rsid w:val="00E95351"/>
    <w:rsid w:val="00EA3C29"/>
    <w:rsid w:val="00EB135A"/>
    <w:rsid w:val="00ED1A0E"/>
    <w:rsid w:val="00F03166"/>
    <w:rsid w:val="00F1426D"/>
    <w:rsid w:val="00F34C61"/>
    <w:rsid w:val="00F35BFB"/>
    <w:rsid w:val="00F66D37"/>
    <w:rsid w:val="00F679CC"/>
    <w:rsid w:val="00F82C0C"/>
    <w:rsid w:val="00F84B95"/>
    <w:rsid w:val="00FB560A"/>
    <w:rsid w:val="00FB6623"/>
    <w:rsid w:val="00FC3DE6"/>
    <w:rsid w:val="00FE5C49"/>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025786419">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B061A-3C88-4440-A4BE-7D51A98A3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4925</Words>
  <Characters>27088</Characters>
  <Application>Microsoft Office Word</Application>
  <DocSecurity>0</DocSecurity>
  <Lines>225</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Sandra Ivette Razo De La Paz</cp:lastModifiedBy>
  <cp:revision>5</cp:revision>
  <cp:lastPrinted>2023-01-16T17:11:00Z</cp:lastPrinted>
  <dcterms:created xsi:type="dcterms:W3CDTF">2023-09-15T22:44:00Z</dcterms:created>
  <dcterms:modified xsi:type="dcterms:W3CDTF">2023-09-17T05:03:00Z</dcterms:modified>
</cp:coreProperties>
</file>