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70E5AEA0"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PROTECCIÓN DE DATOS PERSONALES DEL ESTADO </w:t>
      </w:r>
      <w:r w:rsidR="008C2DB1">
        <w:rPr>
          <w:rFonts w:ascii="Palatino Linotype" w:hAnsi="Palatino Linotype" w:cs="Tahoma"/>
          <w:b/>
        </w:rPr>
        <w:t xml:space="preserve">DE MÉXICO Y MUNICIPIOS AL RECURSO DE REVISIÓN </w:t>
      </w:r>
      <w:r w:rsidR="008C2DB1">
        <w:rPr>
          <w:rFonts w:ascii="Palatino Linotype" w:eastAsia="Palatino Linotype" w:hAnsi="Palatino Linotype" w:cs="Palatino Linotype"/>
          <w:b/>
          <w:color w:val="000000"/>
          <w:lang w:val="es-419"/>
        </w:rPr>
        <w:t>13845</w:t>
      </w:r>
      <w:r w:rsidR="008C2DB1">
        <w:rPr>
          <w:rFonts w:ascii="Palatino Linotype" w:eastAsia="Palatino Linotype" w:hAnsi="Palatino Linotype" w:cs="Palatino Linotype"/>
          <w:b/>
          <w:color w:val="000000"/>
        </w:rPr>
        <w:t>/INFOEM/IP/RR/2022</w:t>
      </w:r>
      <w:r w:rsidR="008C2DB1">
        <w:rPr>
          <w:rFonts w:ascii="Palatino Linotype" w:hAnsi="Palatino Linotype" w:cs="Tahoma"/>
          <w:b/>
        </w:rPr>
        <w:t xml:space="preserve">, PROMOVIDO EN CONTRA DEL </w:t>
      </w:r>
      <w:r w:rsidR="008C2DB1">
        <w:rPr>
          <w:rFonts w:ascii="Palatino Linotype" w:eastAsia="Palatino Linotype" w:hAnsi="Palatino Linotype" w:cs="Palatino Linotype"/>
          <w:b/>
          <w:color w:val="000000"/>
        </w:rPr>
        <w:t xml:space="preserve">AYUNTAMIENTO DE </w:t>
      </w:r>
      <w:r w:rsidR="008C2DB1">
        <w:rPr>
          <w:rFonts w:ascii="Palatino Linotype" w:eastAsia="Palatino Linotype" w:hAnsi="Palatino Linotype" w:cs="Palatino Linotype"/>
          <w:b/>
          <w:color w:val="000000"/>
          <w:lang w:val="es-419"/>
        </w:rPr>
        <w:t>HUEHUETOCA</w:t>
      </w:r>
      <w:r w:rsidR="00BB000F">
        <w:rPr>
          <w:rFonts w:ascii="Palatino Linotype" w:hAnsi="Palatino Linotype" w:cs="Tahoma"/>
          <w:b/>
        </w:rPr>
        <w:t>.</w:t>
      </w:r>
      <w:bookmarkStart w:id="0" w:name="_GoBack"/>
      <w:bookmarkEnd w:id="0"/>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1" w:name="_Toc70345222"/>
      <w:r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60F0E591" w14:textId="77850CC1"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C2DB1">
        <w:rPr>
          <w:rFonts w:ascii="Palatino Linotype" w:eastAsia="Palatino Linotype" w:hAnsi="Palatino Linotype" w:cs="Palatino Linotype"/>
          <w:b/>
          <w:color w:val="000000"/>
          <w:lang w:val="es-419"/>
        </w:rPr>
        <w:t>13845</w:t>
      </w:r>
      <w:r w:rsidR="008C2DB1">
        <w:rPr>
          <w:rFonts w:ascii="Palatino Linotype" w:eastAsia="Palatino Linotype" w:hAnsi="Palatino Linotype" w:cs="Palatino Linotype"/>
          <w:b/>
          <w:color w:val="000000"/>
        </w:rPr>
        <w:t>/INFOEM/IP/RR/2022</w:t>
      </w:r>
      <w:r w:rsidR="008C2DB1">
        <w:rPr>
          <w:rFonts w:ascii="Palatino Linotype" w:eastAsia="Palatino Linotype" w:hAnsi="Palatino Linotype" w:cs="Palatino Linotype"/>
          <w:color w:val="000000"/>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C2DB1">
        <w:rPr>
          <w:rFonts w:ascii="Palatino Linotype" w:eastAsia="Palatino Linotype" w:hAnsi="Palatino Linotype" w:cs="Palatino Linotype"/>
          <w:b/>
          <w:color w:val="000000"/>
        </w:rPr>
        <w:t xml:space="preserve">Ayuntamiento de </w:t>
      </w:r>
      <w:r w:rsidR="008C2DB1">
        <w:rPr>
          <w:rFonts w:ascii="Palatino Linotype" w:eastAsia="Palatino Linotype" w:hAnsi="Palatino Linotype" w:cs="Palatino Linotype"/>
          <w:b/>
          <w:color w:val="000000"/>
          <w:lang w:val="es-419"/>
        </w:rPr>
        <w:t>Huehuetoca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69B6CE4E"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registradas con los números </w:t>
      </w:r>
      <w:r w:rsidR="008C2DB1">
        <w:rPr>
          <w:rFonts w:ascii="Palatino Linotype" w:eastAsia="Palatino Linotype" w:hAnsi="Palatino Linotype" w:cs="Palatino Linotype"/>
          <w:b/>
          <w:bCs/>
          <w:color w:val="000000"/>
        </w:rPr>
        <w:t>0</w:t>
      </w:r>
      <w:r w:rsidR="008C2DB1">
        <w:rPr>
          <w:rFonts w:ascii="Palatino Linotype" w:eastAsia="Palatino Linotype" w:hAnsi="Palatino Linotype" w:cs="Palatino Linotype"/>
          <w:b/>
          <w:bCs/>
          <w:color w:val="000000"/>
          <w:lang w:val="es-419"/>
        </w:rPr>
        <w:t>0</w:t>
      </w:r>
      <w:r w:rsidR="008C2DB1">
        <w:rPr>
          <w:rFonts w:ascii="Palatino Linotype" w:eastAsia="Palatino Linotype" w:hAnsi="Palatino Linotype" w:cs="Palatino Linotype"/>
          <w:b/>
          <w:bCs/>
          <w:color w:val="000000"/>
        </w:rPr>
        <w:t>204/</w:t>
      </w:r>
      <w:r w:rsidR="008C2DB1">
        <w:rPr>
          <w:rFonts w:ascii="Palatino Linotype" w:eastAsia="Palatino Linotype" w:hAnsi="Palatino Linotype" w:cs="Palatino Linotype"/>
          <w:b/>
          <w:bCs/>
          <w:color w:val="000000"/>
          <w:lang w:val="es-419"/>
        </w:rPr>
        <w:t>HUEHUETO</w:t>
      </w:r>
      <w:r w:rsidR="008C2DB1">
        <w:rPr>
          <w:rFonts w:ascii="Palatino Linotype" w:eastAsia="Palatino Linotype" w:hAnsi="Palatino Linotype" w:cs="Palatino Linotype"/>
          <w:b/>
          <w:bCs/>
          <w:color w:val="000000"/>
        </w:rPr>
        <w:t>/IP/2022</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BF358F">
        <w:rPr>
          <w:rFonts w:ascii="Palatino Linotype" w:hAnsi="Palatino Linotype" w:cs="Arial"/>
        </w:rPr>
        <w:t>mediante las cuales solicitó la siguiente información:</w:t>
      </w:r>
    </w:p>
    <w:p w14:paraId="114AA833" w14:textId="77777777" w:rsidR="008C2DB1" w:rsidRDefault="008C2DB1" w:rsidP="008C2DB1">
      <w:pPr>
        <w:ind w:left="851" w:right="902"/>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lastRenderedPageBreak/>
        <w:t>“Conforme al Art. 6 to. Constitucional solicitó saber si hay algún expediente abierto o en proceso en la Contraloría Municipal de Huehuetoca por los delitos de corrupción, enriquecimiento ilícito, nepotismo y demás que hubiere durante la administración de Benito Jiménez Martínez alias "cabeza de olmeca"” (Sic)</w:t>
      </w:r>
    </w:p>
    <w:p w14:paraId="7C0642D6" w14:textId="77777777" w:rsidR="00805F8E" w:rsidRDefault="00805F8E" w:rsidP="008C2DB1">
      <w:pPr>
        <w:ind w:left="851" w:right="902"/>
        <w:jc w:val="both"/>
        <w:rPr>
          <w:rFonts w:ascii="Palatino Linotype" w:eastAsia="Palatino Linotype" w:hAnsi="Palatino Linotype" w:cs="Palatino Linotype"/>
          <w:i/>
          <w:color w:val="000000"/>
          <w:sz w:val="22"/>
          <w:lang w:val="es-MX"/>
        </w:rPr>
      </w:pPr>
    </w:p>
    <w:p w14:paraId="4E0DB6A6" w14:textId="4498C8B3" w:rsidR="00805F8E" w:rsidRDefault="00805F8E" w:rsidP="00805F8E">
      <w:pPr>
        <w:spacing w:line="360" w:lineRule="auto"/>
        <w:ind w:right="49"/>
        <w:jc w:val="both"/>
        <w:rPr>
          <w:rFonts w:ascii="Palatino Linotype" w:hAnsi="Palatino Linotype" w:cs="Arial"/>
          <w:lang w:val="es-MX"/>
        </w:rPr>
      </w:pP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fue omiso en entregar la respuesta a la solicitud de Información </w:t>
      </w:r>
      <w:r>
        <w:rPr>
          <w:rFonts w:ascii="Palatino Linotype" w:eastAsiaTheme="minorHAnsi" w:hAnsi="Palatino Linotype" w:cstheme="minorBidi"/>
          <w:lang w:val="es-419"/>
        </w:rPr>
        <w:t xml:space="preserve">sin embargo, </w:t>
      </w:r>
      <w:r>
        <w:rPr>
          <w:rFonts w:ascii="Palatino Linotype" w:hAnsi="Palatino Linotype" w:cs="Arial"/>
        </w:rPr>
        <w:t>en el informe justificado</w:t>
      </w:r>
      <w:r>
        <w:rPr>
          <w:rFonts w:ascii="Palatino Linotype" w:hAnsi="Palatino Linotype" w:cs="Arial"/>
          <w:lang w:val="es-419"/>
        </w:rPr>
        <w:t xml:space="preserve">, manifestó lo siguiente: </w:t>
      </w:r>
    </w:p>
    <w:p w14:paraId="2E149045" w14:textId="65F6F479" w:rsidR="00805F8E" w:rsidRDefault="00805F8E" w:rsidP="00805F8E">
      <w:pPr>
        <w:spacing w:line="360" w:lineRule="auto"/>
        <w:jc w:val="both"/>
        <w:rPr>
          <w:rFonts w:ascii="Palatino Linotype" w:hAnsi="Palatino Linotype"/>
        </w:rPr>
      </w:pPr>
      <w:r w:rsidRPr="00BB071F">
        <w:rPr>
          <w:rFonts w:ascii="Palatino Linotype" w:hAnsi="Palatino Linotype"/>
        </w:rPr>
        <w:t xml:space="preserve"> </w:t>
      </w:r>
    </w:p>
    <w:p w14:paraId="6E230C1E" w14:textId="77777777" w:rsidR="00805F8E" w:rsidRDefault="00805F8E" w:rsidP="00805F8E">
      <w:pPr>
        <w:spacing w:line="360" w:lineRule="auto"/>
        <w:ind w:left="851" w:right="1134"/>
        <w:jc w:val="both"/>
        <w:rPr>
          <w:rFonts w:ascii="Palatino Linotype" w:hAnsi="Palatino Linotype" w:cs="Arial"/>
          <w:i/>
          <w:lang w:val="es-419"/>
        </w:rPr>
      </w:pPr>
      <w:r>
        <w:rPr>
          <w:rFonts w:ascii="Palatino Linotype" w:hAnsi="Palatino Linotype" w:cs="Arial"/>
          <w:i/>
        </w:rPr>
        <w:t xml:space="preserve">“Al </w:t>
      </w:r>
      <w:r>
        <w:rPr>
          <w:rFonts w:ascii="Palatino Linotype" w:hAnsi="Palatino Linotype" w:cs="Arial"/>
          <w:i/>
          <w:lang w:val="es-419"/>
        </w:rPr>
        <w:t>respecto […] se ha realizado una búsqueda exhaustiva en los archivos de esta Contraloría Interna Municipal de Huehuetoca, y no se han identificado expedientes respecto del delito de corrupción, enriquecimiento ilícito, nepotismo ni de ninguna índole, cometido por Benito Jimenez Martinez.”</w:t>
      </w:r>
    </w:p>
    <w:p w14:paraId="2B90CB3D" w14:textId="77777777" w:rsidR="00805F8E" w:rsidRDefault="00805F8E" w:rsidP="00805F8E">
      <w:pPr>
        <w:spacing w:before="240" w:after="240" w:line="360" w:lineRule="auto"/>
        <w:jc w:val="both"/>
        <w:rPr>
          <w:rFonts w:ascii="Palatino Linotype" w:hAnsi="Palatino Linotype"/>
        </w:rPr>
      </w:pPr>
    </w:p>
    <w:p w14:paraId="72BA9C2C" w14:textId="77777777" w:rsidR="00805F8E" w:rsidRDefault="00805F8E" w:rsidP="00805F8E">
      <w:pPr>
        <w:autoSpaceDE w:val="0"/>
        <w:autoSpaceDN w:val="0"/>
        <w:adjustRightInd w:val="0"/>
        <w:spacing w:line="360" w:lineRule="auto"/>
        <w:ind w:right="18"/>
        <w:jc w:val="both"/>
        <w:rPr>
          <w:rFonts w:ascii="Palatino Linotype" w:eastAsia="Palatino Linotype" w:hAnsi="Palatino Linotype" w:cs="Palatino Linotype"/>
          <w:color w:val="000000"/>
          <w:lang w:val="es-419"/>
        </w:rPr>
      </w:pPr>
      <w:r w:rsidRPr="00805F8E">
        <w:rPr>
          <w:rFonts w:ascii="Palatino Linotype" w:hAnsi="Palatino Linotype"/>
          <w:lang w:val="es-419"/>
        </w:rPr>
        <w:t>Cabe destacar que el recurrente solicitó e</w:t>
      </w:r>
      <w:r w:rsidRPr="00805F8E">
        <w:rPr>
          <w:rFonts w:ascii="Palatino Linotype" w:eastAsia="Palatino Linotype" w:hAnsi="Palatino Linotype" w:cs="Palatino Linotype"/>
          <w:color w:val="000000"/>
          <w:lang w:val="es-419"/>
        </w:rPr>
        <w:t xml:space="preserve">xpediente </w:t>
      </w:r>
      <w:r w:rsidRPr="00805F8E">
        <w:rPr>
          <w:rFonts w:ascii="Palatino Linotype" w:eastAsia="Palatino Linotype" w:hAnsi="Palatino Linotype" w:cs="Palatino Linotype"/>
          <w:color w:val="000000"/>
        </w:rPr>
        <w:t>abierto o en proceso en la Contraloría Municipal de Huehuetoca por los delitos de corrupción, enriquecimiento ilícito, nepotismo y demás que hubiere durante la administración de Benito Jiménez Martínez</w:t>
      </w:r>
      <w:r w:rsidRPr="00805F8E">
        <w:rPr>
          <w:rFonts w:ascii="Palatino Linotype" w:eastAsia="Palatino Linotype" w:hAnsi="Palatino Linotype" w:cs="Palatino Linotype"/>
          <w:color w:val="000000"/>
          <w:lang w:val="es-419"/>
        </w:rPr>
        <w:t xml:space="preserve">, se refiere o se entiende que es a los servidores públicos de la administración pública municipal, y no sólo al C. </w:t>
      </w:r>
      <w:r w:rsidRPr="00805F8E">
        <w:rPr>
          <w:rFonts w:ascii="Palatino Linotype" w:eastAsia="Palatino Linotype" w:hAnsi="Palatino Linotype" w:cs="Palatino Linotype"/>
          <w:color w:val="000000"/>
        </w:rPr>
        <w:t>Benito Jiménez Martínez</w:t>
      </w:r>
      <w:r w:rsidRPr="00805F8E">
        <w:rPr>
          <w:rFonts w:ascii="Palatino Linotype" w:eastAsia="Palatino Linotype" w:hAnsi="Palatino Linotype" w:cs="Palatino Linotype"/>
          <w:color w:val="000000"/>
          <w:lang w:val="es-419"/>
        </w:rPr>
        <w:t>, lo anterior es así pues el Órgano Interno de Control sólo se pronunció respecto de la citada persona, y no así de algún otro funcionario público.</w:t>
      </w:r>
    </w:p>
    <w:p w14:paraId="5194C1A0" w14:textId="77777777" w:rsidR="00805F8E" w:rsidRDefault="00805F8E" w:rsidP="00805F8E">
      <w:pPr>
        <w:spacing w:before="240" w:after="240" w:line="360" w:lineRule="auto"/>
        <w:jc w:val="both"/>
        <w:rPr>
          <w:rFonts w:ascii="Palatino Linotype" w:hAnsi="Palatino Linotype"/>
        </w:rPr>
      </w:pPr>
    </w:p>
    <w:p w14:paraId="46E5F733" w14:textId="33729899" w:rsidR="00BB071F" w:rsidRDefault="00805F8E" w:rsidP="00805F8E">
      <w:pPr>
        <w:spacing w:before="240" w:after="240" w:line="360" w:lineRule="auto"/>
        <w:jc w:val="both"/>
        <w:rPr>
          <w:rFonts w:ascii="Palatino Linotype" w:eastAsia="Palatino Linotype" w:hAnsi="Palatino Linotype" w:cs="Palatino Linotype"/>
        </w:rPr>
      </w:pPr>
      <w:r>
        <w:rPr>
          <w:rFonts w:ascii="Palatino Linotype" w:hAnsi="Palatino Linotype"/>
        </w:rPr>
        <w:t>Por tanto,</w:t>
      </w:r>
      <w:r w:rsidR="00BB071F">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sidR="00BB071F">
        <w:rPr>
          <w:rFonts w:ascii="Palatino Linotype" w:hAnsi="Palatino Linotype"/>
          <w:b/>
        </w:rPr>
        <w:t>ORDENA</w:t>
      </w:r>
      <w:r w:rsidR="00F47FB5">
        <w:rPr>
          <w:rFonts w:ascii="Palatino Linotype" w:hAnsi="Palatino Linotype"/>
          <w:b/>
        </w:rPr>
        <w:t>R</w:t>
      </w:r>
      <w:r w:rsidR="00BB071F">
        <w:rPr>
          <w:rFonts w:ascii="Palatino Linotype" w:hAnsi="Palatino Linotype"/>
          <w:b/>
        </w:rPr>
        <w:t xml:space="preserve"> </w:t>
      </w:r>
      <w:r w:rsidR="00BB071F">
        <w:rPr>
          <w:rFonts w:ascii="Palatino Linotype" w:hAnsi="Palatino Linotype"/>
        </w:rPr>
        <w:t xml:space="preserve">al </w:t>
      </w:r>
      <w:r w:rsidR="00BB071F">
        <w:rPr>
          <w:rFonts w:ascii="Palatino Linotype" w:hAnsi="Palatino Linotype"/>
          <w:b/>
        </w:rPr>
        <w:t>SUJETO OBLIGADO</w:t>
      </w:r>
      <w:r w:rsidR="00BB071F">
        <w:rPr>
          <w:rFonts w:ascii="Palatino Linotype" w:hAnsi="Palatino Linotype"/>
        </w:rPr>
        <w:t xml:space="preserve"> a que haga entrega vía SAIMEX, entre otros puntos de lo siguiente:</w:t>
      </w:r>
    </w:p>
    <w:p w14:paraId="4B21B1FB" w14:textId="77777777" w:rsidR="00805F8E" w:rsidRDefault="00805F8E" w:rsidP="00805F8E">
      <w:pPr>
        <w:tabs>
          <w:tab w:val="left" w:pos="8647"/>
        </w:tabs>
        <w:spacing w:line="360" w:lineRule="auto"/>
        <w:ind w:right="51"/>
        <w:jc w:val="both"/>
        <w:rPr>
          <w:rFonts w:ascii="Palatino Linotype" w:hAnsi="Palatino Linotype" w:cs="Arial"/>
        </w:rPr>
      </w:pPr>
    </w:p>
    <w:p w14:paraId="66B5CA04" w14:textId="77777777" w:rsidR="00805F8E" w:rsidRPr="00805F8E" w:rsidRDefault="00805F8E" w:rsidP="00805F8E">
      <w:pPr>
        <w:tabs>
          <w:tab w:val="left" w:pos="8647"/>
        </w:tabs>
        <w:spacing w:line="360" w:lineRule="auto"/>
        <w:ind w:left="851" w:right="757"/>
        <w:jc w:val="both"/>
        <w:rPr>
          <w:rFonts w:ascii="Palatino Linotype" w:hAnsi="Palatino Linotype" w:cs="Arial"/>
        </w:rPr>
      </w:pPr>
      <w:r w:rsidRPr="00805F8E">
        <w:rPr>
          <w:rFonts w:ascii="Palatino Linotype" w:hAnsi="Palatino Linotype" w:cs="Arial"/>
        </w:rPr>
        <w:t xml:space="preserve">1.- </w:t>
      </w:r>
      <w:r w:rsidRPr="00805F8E">
        <w:rPr>
          <w:rFonts w:ascii="Palatino Linotype" w:hAnsi="Palatino Linotype"/>
          <w:lang w:val="es-419"/>
        </w:rPr>
        <w:t>Los e</w:t>
      </w:r>
      <w:r w:rsidRPr="00805F8E">
        <w:rPr>
          <w:rFonts w:ascii="Palatino Linotype" w:eastAsia="Palatino Linotype" w:hAnsi="Palatino Linotype" w:cs="Palatino Linotype"/>
          <w:color w:val="000000"/>
          <w:lang w:val="es-419"/>
        </w:rPr>
        <w:t xml:space="preserve">xpedientes concluidos y que hayan causado estado; así como, de aquellos que se encuentran en trámite y que se relacionen con actos de corrupción, delitos de lesa humanidad o posibles violaciones graves a derechos humanos, formados con motivo de procedimientos de responsabilidad administrativa instaurados en la Contraloría Municipal, </w:t>
      </w:r>
      <w:r w:rsidRPr="00805F8E">
        <w:rPr>
          <w:rFonts w:ascii="Palatino Linotype" w:eastAsia="Palatino Linotype" w:hAnsi="Palatino Linotype" w:cs="Palatino Linotype"/>
          <w:color w:val="000000"/>
        </w:rPr>
        <w:t>durante la administración del C. Benito Jiménez Martínez.</w:t>
      </w:r>
    </w:p>
    <w:p w14:paraId="6713E181" w14:textId="77777777" w:rsidR="00805F8E" w:rsidRPr="00805F8E" w:rsidRDefault="00805F8E" w:rsidP="00805F8E">
      <w:pPr>
        <w:tabs>
          <w:tab w:val="left" w:pos="8647"/>
        </w:tabs>
        <w:spacing w:line="360" w:lineRule="auto"/>
        <w:ind w:left="851" w:right="757"/>
        <w:jc w:val="both"/>
        <w:rPr>
          <w:rFonts w:ascii="Palatino Linotype" w:hAnsi="Palatino Linotype" w:cs="Arial"/>
        </w:rPr>
      </w:pPr>
    </w:p>
    <w:p w14:paraId="00BEFAD8" w14:textId="77777777" w:rsidR="00805F8E" w:rsidRPr="00805F8E" w:rsidRDefault="00805F8E" w:rsidP="00805F8E">
      <w:pPr>
        <w:spacing w:line="360" w:lineRule="auto"/>
        <w:ind w:left="851" w:right="757"/>
        <w:jc w:val="both"/>
        <w:rPr>
          <w:rFonts w:ascii="Palatino Linotype" w:hAnsi="Palatino Linotype" w:cs="Tahoma"/>
          <w:i/>
        </w:rPr>
      </w:pPr>
      <w:r w:rsidRPr="00805F8E">
        <w:rPr>
          <w:rFonts w:ascii="Palatino Linotype" w:hAnsi="Palatino Linotype" w:cs="Tahoma"/>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9A9CFF0" w14:textId="77777777" w:rsidR="00805F8E" w:rsidRPr="00805F8E" w:rsidRDefault="00805F8E" w:rsidP="00805F8E">
      <w:pPr>
        <w:spacing w:line="360" w:lineRule="auto"/>
        <w:ind w:left="851" w:right="757"/>
        <w:jc w:val="both"/>
        <w:rPr>
          <w:rFonts w:ascii="Palatino Linotype" w:hAnsi="Palatino Linotype" w:cs="Tahoma"/>
          <w:i/>
        </w:rPr>
      </w:pPr>
    </w:p>
    <w:p w14:paraId="429B0F1E" w14:textId="77777777" w:rsidR="00805F8E" w:rsidRDefault="00805F8E" w:rsidP="00805F8E">
      <w:pPr>
        <w:spacing w:line="360" w:lineRule="auto"/>
        <w:ind w:left="851" w:right="757"/>
        <w:jc w:val="both"/>
        <w:rPr>
          <w:rFonts w:ascii="Palatino Linotype" w:eastAsia="Palatino Linotype" w:hAnsi="Palatino Linotype" w:cs="Palatino Linotype"/>
          <w:i/>
          <w:color w:val="000000"/>
        </w:rPr>
      </w:pPr>
      <w:r w:rsidRPr="00805F8E">
        <w:rPr>
          <w:rFonts w:ascii="Palatino Linotype" w:hAnsi="Palatino Linotype" w:cs="Arial"/>
          <w:i/>
          <w:lang w:val="es-ES_tradnl"/>
        </w:rPr>
        <w:t>Para el caso de que los documentos referidos en el numeral 1 del presente Resolutivo formen parte de expedientes que correspondan a procedimientos administrativos por faltas no graves y que no haya causado estado, deberá emitirse el Acuerdo de Clasificación respectivo en el que se funden y motiven las razones de su RESERVA, mismo que se hará del conocimiento del Recurrente</w:t>
      </w:r>
      <w:r w:rsidRPr="00805F8E">
        <w:rPr>
          <w:rFonts w:ascii="Palatino Linotype" w:eastAsia="Palatino Linotype" w:hAnsi="Palatino Linotype" w:cs="Palatino Linotype"/>
          <w:i/>
          <w:color w:val="000000"/>
        </w:rPr>
        <w:t>.</w:t>
      </w:r>
    </w:p>
    <w:p w14:paraId="27429A5E" w14:textId="4715C957" w:rsidR="00805F8E" w:rsidRDefault="00F47FB5" w:rsidP="00F47FB5">
      <w:pPr>
        <w:spacing w:before="240" w:after="240" w:line="360" w:lineRule="auto"/>
        <w:jc w:val="both"/>
        <w:rPr>
          <w:rFonts w:ascii="Palatino Linotype" w:eastAsia="Palatino Linotype" w:hAnsi="Palatino Linotype" w:cs="Palatino Linotype"/>
          <w:lang w:val="es-MX"/>
        </w:rPr>
      </w:pPr>
      <w:r w:rsidRPr="00F47FB5">
        <w:rPr>
          <w:rFonts w:ascii="Palatino Linotype" w:eastAsia="Palatino Linotype" w:hAnsi="Palatino Linotype" w:cs="Palatino Linotype"/>
          <w:b/>
          <w:color w:val="000000"/>
        </w:rPr>
        <w:t xml:space="preserve"> </w:t>
      </w:r>
      <w:r w:rsidR="00805F8E">
        <w:rPr>
          <w:rFonts w:ascii="Palatino Linotype" w:eastAsia="Palatino Linotype" w:hAnsi="Palatino Linotype" w:cs="Palatino Linotype"/>
          <w:b/>
          <w:color w:val="000000"/>
        </w:rPr>
        <w:t>Se i</w:t>
      </w:r>
      <w:r w:rsidR="00BB071F">
        <w:rPr>
          <w:rFonts w:ascii="Palatino Linotype" w:eastAsia="Palatino Linotype" w:hAnsi="Palatino Linotype" w:cs="Palatino Linotype"/>
        </w:rPr>
        <w:t xml:space="preserve">ndica que  </w:t>
      </w:r>
      <w:r>
        <w:rPr>
          <w:rFonts w:ascii="Palatino Linotype" w:eastAsia="Palatino Linotype" w:hAnsi="Palatino Linotype" w:cs="Palatino Linotype"/>
        </w:rPr>
        <w:t xml:space="preserve">si los procedimientos administrativos requeridos por el particular, están contenidos en </w:t>
      </w:r>
      <w:r w:rsidRPr="00805F8E">
        <w:rPr>
          <w:rFonts w:ascii="Palatino Linotype" w:eastAsia="Palatino Linotype" w:hAnsi="Palatino Linotype" w:cs="Palatino Linotype"/>
        </w:rPr>
        <w:t xml:space="preserve">expedientes </w:t>
      </w:r>
      <w:r w:rsidR="00E37AE3" w:rsidRPr="00805F8E">
        <w:rPr>
          <w:rFonts w:ascii="Palatino Linotype" w:eastAsia="Palatino Linotype" w:hAnsi="Palatino Linotype" w:cs="Palatino Linotype"/>
        </w:rPr>
        <w:t>relativos</w:t>
      </w:r>
      <w:r w:rsidRPr="00805F8E">
        <w:rPr>
          <w:rFonts w:ascii="Palatino Linotype" w:eastAsia="Palatino Linotype" w:hAnsi="Palatino Linotype" w:cs="Palatino Linotype"/>
        </w:rPr>
        <w:t xml:space="preserve"> a Procedimientos </w:t>
      </w:r>
      <w:r w:rsidR="00E37AE3" w:rsidRPr="00805F8E">
        <w:rPr>
          <w:rFonts w:ascii="Palatino Linotype" w:eastAsia="Palatino Linotype" w:hAnsi="Palatino Linotype" w:cs="Palatino Linotype"/>
        </w:rPr>
        <w:t xml:space="preserve">iniciados por faltas administrativas graves concluidos con  resolución </w:t>
      </w:r>
      <w:r w:rsidRPr="00805F8E">
        <w:rPr>
          <w:rFonts w:ascii="Palatino Linotype" w:eastAsia="Palatino Linotype" w:hAnsi="Palatino Linotype" w:cs="Palatino Linotype"/>
        </w:rPr>
        <w:t xml:space="preserve">absolutoria, se procederá a su acceso en versión pública, </w:t>
      </w:r>
      <w:r w:rsidR="00805F8E" w:rsidRPr="00805F8E">
        <w:rPr>
          <w:rFonts w:ascii="Palatino Linotype" w:eastAsia="Palatino Linotype" w:hAnsi="Palatino Linotype" w:cs="Palatino Linotype"/>
        </w:rPr>
        <w:t>protegiendo el nombre, cargo</w:t>
      </w:r>
      <w:r w:rsidR="00805F8E" w:rsidRPr="00805F8E">
        <w:rPr>
          <w:rFonts w:ascii="Palatino Linotype" w:eastAsia="Palatino Linotype" w:hAnsi="Palatino Linotype" w:cs="Palatino Linotype"/>
          <w:lang w:val="es-419"/>
        </w:rPr>
        <w:t>, presunta falta cometida, presunta fecha de comisión</w:t>
      </w:r>
      <w:r w:rsidR="00805F8E" w:rsidRPr="00805F8E">
        <w:rPr>
          <w:rFonts w:ascii="Palatino Linotype" w:eastAsia="Palatino Linotype" w:hAnsi="Palatino Linotype" w:cs="Palatino Linotype"/>
        </w:rPr>
        <w:t xml:space="preserve">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6C4FC206" w14:textId="4051EF80" w:rsidR="00EF3513" w:rsidRPr="00105578" w:rsidRDefault="00F47FB5"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 </w:t>
      </w:r>
      <w:r w:rsidR="00A7532A">
        <w:rPr>
          <w:rFonts w:ascii="Palatino Linotype" w:eastAsia="Palatino Linotype" w:hAnsi="Palatino Linotype" w:cs="Palatino Linotype"/>
          <w:color w:val="000000"/>
        </w:rPr>
        <w:t>Esta Ponencia no</w:t>
      </w:r>
      <w:r w:rsidR="00A7532A">
        <w:rPr>
          <w:rFonts w:ascii="Palatino Linotype" w:eastAsia="Palatino Linotype" w:hAnsi="Palatino Linotype" w:cs="Palatino Linotype"/>
        </w:rPr>
        <w:t xml:space="preserve"> 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 xml:space="preserve">como confidencial </w:t>
      </w:r>
      <w:r w:rsidR="00805F8E">
        <w:rPr>
          <w:rFonts w:ascii="Palatino Linotype" w:eastAsia="Palatino Linotype" w:hAnsi="Palatino Linotype" w:cs="Palatino Linotype"/>
        </w:rPr>
        <w:t>del nombre, cargo</w:t>
      </w:r>
      <w:r w:rsidR="00805F8E">
        <w:rPr>
          <w:rFonts w:ascii="Palatino Linotype" w:eastAsia="Palatino Linotype" w:hAnsi="Palatino Linotype" w:cs="Palatino Linotype"/>
          <w:lang w:val="es-419"/>
        </w:rPr>
        <w:t>, presunta falta cometida, presunta fecha de comisión</w:t>
      </w:r>
      <w:r w:rsidR="00805F8E">
        <w:rPr>
          <w:rFonts w:ascii="Palatino Linotype" w:eastAsia="Palatino Linotype" w:hAnsi="Palatino Linotype" w:cs="Palatino Linotype"/>
        </w:rPr>
        <w:t xml:space="preserve"> y área de adscripción del Servidor Público absuelto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2"/>
    </w:p>
    <w:p w14:paraId="0B338AC4" w14:textId="38E15009" w:rsidR="00CF3F65" w:rsidRDefault="00A7532A" w:rsidP="00A561C5">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615B7E">
        <w:rPr>
          <w:rFonts w:ascii="Palatino Linotype" w:eastAsia="Palatino Linotype" w:hAnsi="Palatino Linotype" w:cs="Palatino Linotype"/>
        </w:rPr>
        <w:t xml:space="preserve">como confidencial del </w:t>
      </w:r>
      <w:r w:rsidR="00805F8E">
        <w:rPr>
          <w:rFonts w:ascii="Palatino Linotype" w:eastAsia="Palatino Linotype" w:hAnsi="Palatino Linotype" w:cs="Palatino Linotype"/>
        </w:rPr>
        <w:t>nombre, cargo</w:t>
      </w:r>
      <w:r w:rsidR="00805F8E">
        <w:rPr>
          <w:rFonts w:ascii="Palatino Linotype" w:eastAsia="Palatino Linotype" w:hAnsi="Palatino Linotype" w:cs="Palatino Linotype"/>
          <w:lang w:val="es-419"/>
        </w:rPr>
        <w:t>, presunta falta cometida, presunta fecha de comisión</w:t>
      </w:r>
      <w:r w:rsidR="00805F8E">
        <w:rPr>
          <w:rFonts w:ascii="Palatino Linotype" w:eastAsia="Palatino Linotype" w:hAnsi="Palatino Linotype" w:cs="Palatino Linotype"/>
        </w:rPr>
        <w:t xml:space="preserve"> y área de adscripción del Servidor Público absuelto, </w:t>
      </w:r>
      <w:r w:rsidR="00615B7E">
        <w:rPr>
          <w:rFonts w:ascii="Palatino Linotype" w:eastAsia="Palatino Linotype" w:hAnsi="Palatino Linotype" w:cs="Palatino Linotype"/>
          <w:u w:val="single"/>
        </w:rPr>
        <w:t xml:space="preserve"> en el caso de procedimientos administrativos iniciados por faltas graves</w:t>
      </w:r>
      <w:r w:rsidR="00615B7E" w:rsidRPr="00615B7E">
        <w:rPr>
          <w:rFonts w:ascii="Palatino Linotype" w:eastAsia="Palatino Linotype" w:hAnsi="Palatino Linotype" w:cs="Palatino Linotype"/>
        </w:rPr>
        <w:t>, a</w:t>
      </w:r>
      <w:r w:rsidR="00A561C5" w:rsidRPr="00615B7E">
        <w:rPr>
          <w:rFonts w:ascii="Palatino Linotype" w:hAnsi="Palatino Linotype"/>
        </w:rPr>
        <w:t>l</w:t>
      </w:r>
      <w:r w:rsidR="00A561C5"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BC5E" w14:textId="77777777" w:rsidR="009D015C" w:rsidRDefault="009D015C" w:rsidP="00C80F8C">
      <w:r>
        <w:separator/>
      </w:r>
    </w:p>
  </w:endnote>
  <w:endnote w:type="continuationSeparator" w:id="0">
    <w:p w14:paraId="72C9A704" w14:textId="77777777" w:rsidR="009D015C" w:rsidRDefault="009D01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ED314" w14:textId="77777777" w:rsidR="009D015C" w:rsidRDefault="009D015C" w:rsidP="00C80F8C">
      <w:r>
        <w:separator/>
      </w:r>
    </w:p>
  </w:footnote>
  <w:footnote w:type="continuationSeparator" w:id="0">
    <w:p w14:paraId="74D85549" w14:textId="77777777" w:rsidR="009D015C" w:rsidRDefault="009D015C"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https://www.oecd.org/corruption/ethics/estudio-integridad-mexico-aspectos-claves.p</w:t>
      </w:r>
      <w:r w:rsidR="00B05E5A">
        <w:t xml:space="preserve">df, p.3. </w:t>
      </w:r>
    </w:p>
  </w:footnote>
  <w:footnote w:id="5">
    <w:p w14:paraId="0B030E72" w14:textId="3129FDD7" w:rsidR="00B703D7" w:rsidRDefault="00B703D7" w:rsidP="00B703D7">
      <w:pPr>
        <w:pStyle w:val="Textonotapie"/>
        <w:jc w:val="both"/>
      </w:pPr>
      <w:r>
        <w:rPr>
          <w:rStyle w:val="Refdenotaalpie"/>
        </w:rPr>
        <w:footnoteRef/>
      </w:r>
      <w: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9D015C">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9D015C"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07832705" w14:textId="77777777" w:rsidR="008C2DB1" w:rsidRDefault="00F47FB5" w:rsidP="00F47FB5">
    <w:pPr>
      <w:pStyle w:val="Encabezado"/>
      <w:ind w:left="2835" w:right="-250"/>
      <w:rPr>
        <w:rFonts w:ascii="Palatino Linotype" w:eastAsia="Palatino Linotype" w:hAnsi="Palatino Linotype" w:cs="Palatino Linotype"/>
        <w:color w:val="000000"/>
      </w:rPr>
    </w:pPr>
    <w:r>
      <w:rPr>
        <w:rFonts w:ascii="Palatino Linotype" w:hAnsi="Palatino Linotype" w:cs="Tahoma"/>
        <w:b/>
      </w:rPr>
      <w:t xml:space="preserve">Recurso de Revisión: </w:t>
    </w:r>
    <w:r w:rsidR="008C2DB1">
      <w:rPr>
        <w:rFonts w:ascii="Palatino Linotype" w:eastAsia="Palatino Linotype" w:hAnsi="Palatino Linotype" w:cs="Palatino Linotype"/>
        <w:b/>
        <w:color w:val="000000"/>
        <w:lang w:val="es-419"/>
      </w:rPr>
      <w:t>13845</w:t>
    </w:r>
    <w:r w:rsidR="008C2DB1">
      <w:rPr>
        <w:rFonts w:ascii="Palatino Linotype" w:eastAsia="Palatino Linotype" w:hAnsi="Palatino Linotype" w:cs="Palatino Linotype"/>
        <w:b/>
        <w:color w:val="000000"/>
      </w:rPr>
      <w:t>/INFOEM/IP/RR/2022</w:t>
    </w:r>
  </w:p>
  <w:p w14:paraId="529674EB" w14:textId="317772FB" w:rsidR="00634485" w:rsidRPr="00F47FB5" w:rsidRDefault="008C2DB1" w:rsidP="00F47FB5">
    <w:pPr>
      <w:pStyle w:val="Encabezado"/>
      <w:ind w:left="2835" w:right="-250"/>
      <w:rPr>
        <w:rFonts w:ascii="Palatino Linotype" w:eastAsia="Palatino Linotype" w:hAnsi="Palatino Linotype" w:cs="Palatino Linotype"/>
      </w:rPr>
    </w:pPr>
    <w:r>
      <w:rPr>
        <w:rFonts w:ascii="Palatino Linotype" w:eastAsia="Palatino Linotype" w:hAnsi="Palatino Linotype" w:cs="Palatino Linotype"/>
        <w:color w:val="000000"/>
      </w:rPr>
      <w:t xml:space="preserve"> </w:t>
    </w:r>
    <w:r w:rsidR="00F47FB5">
      <w:rPr>
        <w:rFonts w:ascii="Palatino Linotype" w:hAnsi="Palatino Linotype" w:cs="Tahoma"/>
        <w:b/>
      </w:rPr>
      <w:t>Sujeto Obligado:</w:t>
    </w:r>
    <w:r w:rsidR="00F47FB5">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color w:val="000000"/>
        <w:lang w:val="es-419"/>
      </w:rPr>
      <w:t>Huehuetoca</w:t>
    </w:r>
    <w:r>
      <w:rPr>
        <w:rFonts w:ascii="Palatino Linotype" w:hAnsi="Palatino Linotype" w:cs="Tahoma"/>
        <w:b/>
      </w:rPr>
      <w:t xml:space="preserve"> </w:t>
    </w:r>
    <w:r w:rsidR="00F47FB5">
      <w:rPr>
        <w:rFonts w:ascii="Palatino Linotype" w:hAnsi="Palatino Linotype" w:cs="Tahoma"/>
        <w:b/>
      </w:rPr>
      <w:t xml:space="preserve">Comisionado Ponente: </w:t>
    </w:r>
    <w:r>
      <w:rPr>
        <w:rFonts w:ascii="Palatino Linotype" w:eastAsia="Palatino Linotype" w:hAnsi="Palatino Linotype" w:cs="Palatino Linotype"/>
      </w:rPr>
      <w:t>José Martínez Vilchis</w:t>
    </w:r>
  </w:p>
  <w:p w14:paraId="71104997" w14:textId="77777777" w:rsidR="00634485" w:rsidRDefault="00634485" w:rsidP="00F47FB5">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9D015C">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2">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7"/>
  </w:num>
  <w:num w:numId="3">
    <w:abstractNumId w:val="7"/>
  </w:num>
  <w:num w:numId="4">
    <w:abstractNumId w:val="10"/>
  </w:num>
  <w:num w:numId="5">
    <w:abstractNumId w:val="20"/>
  </w:num>
  <w:num w:numId="6">
    <w:abstractNumId w:val="18"/>
  </w:num>
  <w:num w:numId="7">
    <w:abstractNumId w:val="15"/>
  </w:num>
  <w:num w:numId="8">
    <w:abstractNumId w:val="2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84217"/>
    <w:rsid w:val="00294490"/>
    <w:rsid w:val="002D5B21"/>
    <w:rsid w:val="002E7D97"/>
    <w:rsid w:val="003026CE"/>
    <w:rsid w:val="00312863"/>
    <w:rsid w:val="00326EEA"/>
    <w:rsid w:val="003D1F47"/>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F3A48"/>
    <w:rsid w:val="00615B7E"/>
    <w:rsid w:val="00621357"/>
    <w:rsid w:val="00634485"/>
    <w:rsid w:val="00665800"/>
    <w:rsid w:val="0067340C"/>
    <w:rsid w:val="0068101D"/>
    <w:rsid w:val="00685B0E"/>
    <w:rsid w:val="006A7AB7"/>
    <w:rsid w:val="006B2674"/>
    <w:rsid w:val="006E6389"/>
    <w:rsid w:val="006F0A6E"/>
    <w:rsid w:val="006F30F8"/>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70F8"/>
    <w:rsid w:val="00805F8E"/>
    <w:rsid w:val="00812F10"/>
    <w:rsid w:val="00820022"/>
    <w:rsid w:val="00820034"/>
    <w:rsid w:val="0086105A"/>
    <w:rsid w:val="00861117"/>
    <w:rsid w:val="00861A61"/>
    <w:rsid w:val="00892AFC"/>
    <w:rsid w:val="008B0A68"/>
    <w:rsid w:val="008C19BE"/>
    <w:rsid w:val="008C2DB1"/>
    <w:rsid w:val="008C3C4B"/>
    <w:rsid w:val="008D1526"/>
    <w:rsid w:val="008F67BC"/>
    <w:rsid w:val="00956B18"/>
    <w:rsid w:val="00961995"/>
    <w:rsid w:val="00975EB9"/>
    <w:rsid w:val="00997CD5"/>
    <w:rsid w:val="009D015C"/>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B000F"/>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E0FA6"/>
    <w:rsid w:val="00CF3F65"/>
    <w:rsid w:val="00D03369"/>
    <w:rsid w:val="00D20156"/>
    <w:rsid w:val="00D36ABC"/>
    <w:rsid w:val="00D96441"/>
    <w:rsid w:val="00DA3069"/>
    <w:rsid w:val="00DC2CB7"/>
    <w:rsid w:val="00DC3082"/>
    <w:rsid w:val="00DD45AC"/>
    <w:rsid w:val="00DD5CD5"/>
    <w:rsid w:val="00DE1629"/>
    <w:rsid w:val="00DE5C27"/>
    <w:rsid w:val="00E37AE3"/>
    <w:rsid w:val="00E429BA"/>
    <w:rsid w:val="00EF3513"/>
    <w:rsid w:val="00F05A30"/>
    <w:rsid w:val="00F47FB5"/>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9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7683796">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5715953">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9371337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40489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8644859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7228413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283805">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310190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FF691-FD0B-4BE4-A12D-A2769272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1801</Words>
  <Characters>9907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2023-01-30T22:49:00Z</cp:lastPrinted>
  <dcterms:created xsi:type="dcterms:W3CDTF">2023-02-03T18:37:00Z</dcterms:created>
  <dcterms:modified xsi:type="dcterms:W3CDTF">2023-12-20T18:50:00Z</dcterms:modified>
</cp:coreProperties>
</file>