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5A387904" w:rsidR="004E5EAD" w:rsidRPr="002A76AA" w:rsidRDefault="00F84B95" w:rsidP="009059A6">
      <w:pPr>
        <w:pStyle w:val="Encabezado"/>
        <w:spacing w:line="360" w:lineRule="auto"/>
        <w:jc w:val="both"/>
        <w:rPr>
          <w:rFonts w:ascii="Palatino Linotype" w:hAnsi="Palatino Linotype" w:cs="Tahoma"/>
          <w:b/>
        </w:rPr>
      </w:pPr>
      <w:r w:rsidRPr="002A76AA">
        <w:rPr>
          <w:rFonts w:ascii="Palatino Linotype" w:hAnsi="Palatino Linotype" w:cs="Tahoma"/>
          <w:b/>
        </w:rPr>
        <w:t xml:space="preserve">VOTO PARTICULAR QUE FORMULA EL COMISIONADO LUIS GUSTAVO PARRA NORIEGA, A LA RESOLUCIÓN DEL RECURSO DE REVISIÓN </w:t>
      </w:r>
      <w:r w:rsidR="001528DA" w:rsidRPr="002A76AA">
        <w:rPr>
          <w:rFonts w:ascii="Palatino Linotype" w:hAnsi="Palatino Linotype"/>
          <w:b/>
          <w:lang w:val="es-ES_tradnl"/>
        </w:rPr>
        <w:t>13750/INFOEM/IP/RR/2022 Y ACUMULADOS</w:t>
      </w:r>
      <w:r w:rsidR="00170B26" w:rsidRPr="002A76AA">
        <w:rPr>
          <w:rFonts w:ascii="Palatino Linotype" w:hAnsi="Palatino Linotype" w:cs="Tahoma"/>
          <w:b/>
        </w:rPr>
        <w:t xml:space="preserve">, PROMOVIDO EN CONTRA </w:t>
      </w:r>
      <w:r w:rsidR="001528DA" w:rsidRPr="002A76AA">
        <w:rPr>
          <w:rFonts w:ascii="Palatino Linotype" w:hAnsi="Palatino Linotype" w:cs="Tahoma"/>
          <w:b/>
        </w:rPr>
        <w:t>DE LA SECRETARÍA DE DESARROLLO SOCIAL.</w:t>
      </w:r>
    </w:p>
    <w:p w14:paraId="59C5F759" w14:textId="77777777" w:rsidR="00D224A0" w:rsidRPr="002A76AA" w:rsidRDefault="00D224A0" w:rsidP="00D224A0">
      <w:pPr>
        <w:tabs>
          <w:tab w:val="left" w:pos="1843"/>
        </w:tabs>
        <w:spacing w:after="0" w:line="360" w:lineRule="auto"/>
        <w:ind w:right="49"/>
        <w:jc w:val="both"/>
        <w:rPr>
          <w:rFonts w:ascii="Palatino Linotype" w:hAnsi="Palatino Linotype" w:cs="Tahoma"/>
        </w:rPr>
      </w:pPr>
    </w:p>
    <w:p w14:paraId="68FA62C4" w14:textId="21F3F852" w:rsidR="00170B26" w:rsidRPr="002A76AA" w:rsidRDefault="00D224A0" w:rsidP="00FF4A39">
      <w:pPr>
        <w:spacing w:after="0" w:line="360" w:lineRule="auto"/>
        <w:jc w:val="both"/>
        <w:rPr>
          <w:rFonts w:ascii="Palatino Linotype" w:hAnsi="Palatino Linotype" w:cs="Tahoma"/>
        </w:rPr>
      </w:pPr>
      <w:r w:rsidRPr="002A76AA">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2A76AA">
        <w:rPr>
          <w:rFonts w:ascii="Palatino Linotype" w:hAnsi="Palatino Linotype" w:cs="Tahoma"/>
          <w:b/>
        </w:rPr>
        <w:t>Voto Particular</w:t>
      </w:r>
      <w:r w:rsidRPr="002A76AA">
        <w:rPr>
          <w:rFonts w:ascii="Palatino Linotype" w:hAnsi="Palatino Linotype" w:cs="Tahoma"/>
        </w:rPr>
        <w:t>,</w:t>
      </w:r>
      <w:r w:rsidR="00FF4A39" w:rsidRPr="002A76AA">
        <w:rPr>
          <w:rFonts w:ascii="Palatino Linotype" w:hAnsi="Palatino Linotype" w:cs="Tahoma"/>
        </w:rPr>
        <w:t xml:space="preserve"> por no compartir en su totalidad las consideraciones que sustentan la Resolución del Recurso de Revisión </w:t>
      </w:r>
      <w:r w:rsidR="001528DA" w:rsidRPr="002A76AA">
        <w:rPr>
          <w:rFonts w:ascii="Palatino Linotype" w:hAnsi="Palatino Linotype"/>
          <w:bCs/>
          <w:lang w:val="es-MX"/>
        </w:rPr>
        <w:t>13750/INFOEM/IP/RR/2022 y acumulados,</w:t>
      </w:r>
      <w:r w:rsidR="001528DA" w:rsidRPr="002A76AA">
        <w:rPr>
          <w:rFonts w:ascii="Palatino Linotype" w:hAnsi="Palatino Linotype"/>
          <w:b/>
          <w:bCs/>
          <w:lang w:val="es-MX"/>
        </w:rPr>
        <w:t xml:space="preserve"> </w:t>
      </w:r>
      <w:r w:rsidR="00FF4A39" w:rsidRPr="002A76AA">
        <w:rPr>
          <w:rFonts w:ascii="Palatino Linotype" w:hAnsi="Palatino Linotype" w:cs="Tahoma"/>
        </w:rPr>
        <w:t>conforme a lo siguiente:</w:t>
      </w:r>
    </w:p>
    <w:p w14:paraId="53846C4B" w14:textId="77777777" w:rsidR="00F34C61" w:rsidRPr="002A76AA" w:rsidRDefault="00F34C61" w:rsidP="00B463E2">
      <w:pPr>
        <w:spacing w:after="0" w:line="360" w:lineRule="auto"/>
        <w:jc w:val="both"/>
        <w:rPr>
          <w:rFonts w:ascii="Palatino Linotype" w:hAnsi="Palatino Linotype" w:cs="Tahoma"/>
        </w:rPr>
      </w:pPr>
    </w:p>
    <w:p w14:paraId="278A31BD" w14:textId="62A2705E" w:rsidR="001528DA" w:rsidRDefault="00FF4A39" w:rsidP="00FF4A39">
      <w:pPr>
        <w:spacing w:after="0" w:line="360" w:lineRule="auto"/>
        <w:jc w:val="both"/>
        <w:rPr>
          <w:rFonts w:ascii="Palatino Linotype" w:hAnsi="Palatino Linotype" w:cs="Tahoma"/>
          <w:lang w:val="es-ES_tradnl"/>
        </w:rPr>
      </w:pPr>
      <w:r w:rsidRPr="002A76AA">
        <w:rPr>
          <w:rFonts w:ascii="Palatino Linotype" w:hAnsi="Palatino Linotype" w:cs="Tahoma"/>
        </w:rPr>
        <w:t xml:space="preserve">Como se desprende de la Resolución en comento, el Particular solicitó </w:t>
      </w:r>
      <w:r w:rsidR="00D32F08" w:rsidRPr="002A76AA">
        <w:rPr>
          <w:rFonts w:ascii="Palatino Linotype" w:hAnsi="Palatino Linotype" w:cs="Tahoma"/>
          <w:lang w:val="es-ES_tradnl"/>
        </w:rPr>
        <w:t>diversa información</w:t>
      </w:r>
      <w:r w:rsidR="001528DA" w:rsidRPr="002A76AA">
        <w:rPr>
          <w:rFonts w:ascii="Palatino Linotype" w:hAnsi="Palatino Linotype" w:cs="Tahoma"/>
          <w:lang w:val="es-ES_tradnl"/>
        </w:rPr>
        <w:t xml:space="preserve">, entre la que se encuentra </w:t>
      </w:r>
      <w:r w:rsidR="00D32F08" w:rsidRPr="002A76AA">
        <w:rPr>
          <w:rFonts w:ascii="Palatino Linotype" w:hAnsi="Palatino Linotype" w:cs="Tahoma"/>
          <w:lang w:val="es-ES_tradnl"/>
        </w:rPr>
        <w:t xml:space="preserve">  </w:t>
      </w:r>
      <w:r w:rsidR="001528DA" w:rsidRPr="002A76AA">
        <w:rPr>
          <w:rFonts w:ascii="Palatino Linotype" w:hAnsi="Palatino Linotype" w:cs="Tahoma"/>
          <w:lang w:val="es-ES_tradnl"/>
        </w:rPr>
        <w:t>toda la documentación que el sujeto obligado tiene en su posesión, relacionada con la empresa</w:t>
      </w:r>
      <w:r w:rsidR="001528DA" w:rsidRPr="002A76AA">
        <w:t xml:space="preserve"> </w:t>
      </w:r>
      <w:r w:rsidR="001528DA" w:rsidRPr="002A76AA">
        <w:rPr>
          <w:rFonts w:ascii="Palatino Linotype" w:hAnsi="Palatino Linotype" w:cs="Tahoma"/>
          <w:lang w:val="es-ES_tradnl"/>
        </w:rPr>
        <w:t>Zamby Servicios Profesionales S.A. DE C.V., incluidos los recursos entregados a dicha empresa, el proceso de adquisición por el cual fue contratada, la documentación generada en el proceso de selección</w:t>
      </w:r>
      <w:r w:rsidR="002E30FB" w:rsidRPr="002A76AA">
        <w:rPr>
          <w:rFonts w:ascii="Palatino Linotype" w:hAnsi="Palatino Linotype" w:cs="Tahoma"/>
          <w:lang w:val="es-ES_tradnl"/>
        </w:rPr>
        <w:t xml:space="preserve"> y</w:t>
      </w:r>
      <w:r w:rsidR="001528DA" w:rsidRPr="002A76AA">
        <w:rPr>
          <w:rFonts w:ascii="Palatino Linotype" w:hAnsi="Palatino Linotype" w:cs="Tahoma"/>
          <w:lang w:val="es-ES_tradnl"/>
        </w:rPr>
        <w:t xml:space="preserve"> los contratos.</w:t>
      </w:r>
      <w:r w:rsidR="002E30FB" w:rsidRPr="002A76AA">
        <w:rPr>
          <w:rFonts w:ascii="Palatino Linotype" w:hAnsi="Palatino Linotype" w:cs="Tahoma"/>
          <w:lang w:val="es-ES_tradnl"/>
        </w:rPr>
        <w:t xml:space="preserve"> Por respuesta, el Sujeto Obligado refirió que no se localizó contrato alguno que esa dependencia haya celebrado con la empresa  Zamby Servicios Profesionales, S.A. de C.V. durante el ejercicio fiscal 2022.</w:t>
      </w:r>
      <w:r w:rsidR="00543E66">
        <w:rPr>
          <w:rFonts w:ascii="Palatino Linotype" w:hAnsi="Palatino Linotype" w:cs="Tahoma"/>
          <w:lang w:val="es-ES_tradnl"/>
        </w:rPr>
        <w:t xml:space="preserve"> No se omite mencionar que de las constancias que integran el expediente se advirtió que el nombre correcto de la empresa es Zu</w:t>
      </w:r>
      <w:r w:rsidR="00543E66" w:rsidRPr="002A76AA">
        <w:rPr>
          <w:rFonts w:ascii="Palatino Linotype" w:hAnsi="Palatino Linotype" w:cs="Tahoma"/>
          <w:lang w:val="es-ES_tradnl"/>
        </w:rPr>
        <w:t>mby</w:t>
      </w:r>
      <w:bookmarkStart w:id="0" w:name="_GoBack"/>
      <w:bookmarkEnd w:id="0"/>
      <w:r w:rsidR="00543E66" w:rsidRPr="002A76AA">
        <w:rPr>
          <w:rFonts w:ascii="Palatino Linotype" w:hAnsi="Palatino Linotype" w:cs="Tahoma"/>
          <w:lang w:val="es-ES_tradnl"/>
        </w:rPr>
        <w:t xml:space="preserve"> Servicios Profesionales, S.A. de C.V.</w:t>
      </w:r>
    </w:p>
    <w:p w14:paraId="2D9293D6" w14:textId="77777777" w:rsidR="006A7801" w:rsidRPr="002A76AA" w:rsidRDefault="006A7801" w:rsidP="00FF4A39">
      <w:pPr>
        <w:spacing w:after="0" w:line="360" w:lineRule="auto"/>
        <w:jc w:val="both"/>
        <w:rPr>
          <w:rFonts w:ascii="Palatino Linotype" w:hAnsi="Palatino Linotype" w:cs="Tahoma"/>
          <w:lang w:val="es-ES_tradnl"/>
        </w:rPr>
      </w:pPr>
    </w:p>
    <w:p w14:paraId="27CDCC05" w14:textId="66BB09B1" w:rsidR="002E30FB" w:rsidRPr="002A76AA" w:rsidRDefault="00FE1F0D" w:rsidP="00C334E0">
      <w:pPr>
        <w:spacing w:after="0" w:line="360" w:lineRule="auto"/>
        <w:jc w:val="both"/>
        <w:rPr>
          <w:rFonts w:ascii="Palatino Linotype" w:hAnsi="Palatino Linotype" w:cs="Arial"/>
        </w:rPr>
      </w:pPr>
      <w:r w:rsidRPr="002A76AA">
        <w:rPr>
          <w:rFonts w:ascii="Palatino Linotype" w:hAnsi="Palatino Linotype" w:cs="Tahoma"/>
          <w:lang w:val="es-ES_tradnl"/>
        </w:rPr>
        <w:lastRenderedPageBreak/>
        <w:t xml:space="preserve">Por lo cual, </w:t>
      </w:r>
      <w:r w:rsidR="006A7801">
        <w:rPr>
          <w:rFonts w:ascii="Palatino Linotype" w:hAnsi="Palatino Linotype" w:cs="Tahoma"/>
          <w:lang w:val="es-ES_tradnl"/>
        </w:rPr>
        <w:t>este Organismo Garante</w:t>
      </w:r>
      <w:r w:rsidRPr="002A76AA">
        <w:rPr>
          <w:rFonts w:ascii="Palatino Linotype" w:hAnsi="Palatino Linotype" w:cs="Tahoma"/>
          <w:lang w:val="es-ES_tradnl"/>
        </w:rPr>
        <w:t>, determinó procedente ordenar, entre otros, el Acuerdo de Incompetencia relativo a la información solicitada referente a la documentació</w:t>
      </w:r>
      <w:r w:rsidR="00543E66">
        <w:rPr>
          <w:rFonts w:ascii="Palatino Linotype" w:hAnsi="Palatino Linotype" w:cs="Tahoma"/>
          <w:lang w:val="es-ES_tradnl"/>
        </w:rPr>
        <w:t>n relacionada con la empresa, Zu</w:t>
      </w:r>
      <w:r w:rsidRPr="002A76AA">
        <w:rPr>
          <w:rFonts w:ascii="Palatino Linotype" w:hAnsi="Palatino Linotype" w:cs="Tahoma"/>
          <w:lang w:val="es-ES_tradnl"/>
        </w:rPr>
        <w:t>mby Servicios Profesionales, S.A. DE C.V.</w:t>
      </w:r>
      <w:r w:rsidR="006A7801">
        <w:rPr>
          <w:rFonts w:ascii="Palatino Linotype" w:hAnsi="Palatino Linotype" w:cs="Tahoma"/>
          <w:lang w:val="es-ES_tradnl"/>
        </w:rPr>
        <w:t xml:space="preserve"> (</w:t>
      </w:r>
      <w:r w:rsidR="006A7801" w:rsidRPr="006A7801">
        <w:rPr>
          <w:rFonts w:ascii="Palatino Linotype" w:hAnsi="Palatino Linotype" w:cs="Tahoma"/>
          <w:i/>
          <w:lang w:val="es-ES_tradnl"/>
        </w:rPr>
        <w:t>Sic</w:t>
      </w:r>
      <w:r w:rsidR="006A7801">
        <w:rPr>
          <w:rFonts w:ascii="Palatino Linotype" w:hAnsi="Palatino Linotype" w:cs="Tahoma"/>
          <w:lang w:val="es-ES_tradnl"/>
        </w:rPr>
        <w:t xml:space="preserve">). </w:t>
      </w:r>
      <w:r w:rsidR="00C334E0" w:rsidRPr="002A76AA">
        <w:rPr>
          <w:rFonts w:ascii="Palatino Linotype" w:hAnsi="Palatino Linotype" w:cs="Arial"/>
        </w:rPr>
        <w:t xml:space="preserve">En este sentido, </w:t>
      </w:r>
      <w:r w:rsidR="002E30FB" w:rsidRPr="002A76AA">
        <w:rPr>
          <w:rFonts w:ascii="Palatino Linotype" w:hAnsi="Palatino Linotype" w:cs="Arial"/>
        </w:rPr>
        <w:t xml:space="preserve">comparto el sentido de la resolución, </w:t>
      </w:r>
      <w:r w:rsidR="00C334E0" w:rsidRPr="002A76AA">
        <w:rPr>
          <w:rFonts w:ascii="Palatino Linotype" w:hAnsi="Palatino Linotype" w:cs="Arial"/>
        </w:rPr>
        <w:t>por lo que hace a la determinación de ordenar la entrega de la información</w:t>
      </w:r>
      <w:r w:rsidR="002E30FB" w:rsidRPr="002A76AA">
        <w:rPr>
          <w:rFonts w:ascii="Palatino Linotype" w:hAnsi="Palatino Linotype" w:cs="Arial"/>
        </w:rPr>
        <w:t xml:space="preserve"> que no fue proporcionada por el Sujeto Obligado</w:t>
      </w:r>
      <w:r w:rsidR="00C334E0" w:rsidRPr="002A76AA">
        <w:rPr>
          <w:rFonts w:ascii="Palatino Linotype" w:hAnsi="Palatino Linotype" w:cs="Arial"/>
        </w:rPr>
        <w:t xml:space="preserve">; sin embargo, no comparto </w:t>
      </w:r>
      <w:r w:rsidR="002E30FB" w:rsidRPr="002A76AA">
        <w:rPr>
          <w:rFonts w:ascii="Palatino Linotype" w:hAnsi="Palatino Linotype" w:cs="Arial"/>
        </w:rPr>
        <w:t xml:space="preserve">la determinación de ordenar </w:t>
      </w:r>
      <w:r w:rsidR="00C334E0" w:rsidRPr="002A76AA">
        <w:rPr>
          <w:rFonts w:ascii="Palatino Linotype" w:hAnsi="Palatino Linotype" w:cs="Arial"/>
        </w:rPr>
        <w:t xml:space="preserve"> </w:t>
      </w:r>
      <w:r w:rsidR="002E30FB" w:rsidRPr="002A76AA">
        <w:rPr>
          <w:rFonts w:ascii="Palatino Linotype" w:hAnsi="Palatino Linotype" w:cs="Arial"/>
        </w:rPr>
        <w:t xml:space="preserve">el Acuerdo de incompetencia </w:t>
      </w:r>
      <w:r w:rsidRPr="002A76AA">
        <w:rPr>
          <w:rFonts w:ascii="Palatino Linotype" w:hAnsi="Palatino Linotype" w:cs="Arial"/>
        </w:rPr>
        <w:t xml:space="preserve">referido, </w:t>
      </w:r>
      <w:r w:rsidR="002E30FB" w:rsidRPr="002A76AA">
        <w:rPr>
          <w:rFonts w:ascii="Palatino Linotype" w:hAnsi="Palatino Linotype" w:cs="Arial"/>
        </w:rPr>
        <w:t>por las siguientes consideraciones:</w:t>
      </w:r>
    </w:p>
    <w:p w14:paraId="1D18AE77" w14:textId="77777777" w:rsidR="002E30FB" w:rsidRPr="002A76AA" w:rsidRDefault="002E30FB" w:rsidP="00C334E0">
      <w:pPr>
        <w:spacing w:after="0" w:line="360" w:lineRule="auto"/>
        <w:contextualSpacing/>
        <w:jc w:val="both"/>
        <w:rPr>
          <w:rFonts w:ascii="Palatino Linotype" w:hAnsi="Palatino Linotype" w:cs="Arial"/>
        </w:rPr>
      </w:pPr>
    </w:p>
    <w:p w14:paraId="62488046" w14:textId="65305C5C" w:rsidR="002E30FB" w:rsidRPr="002A76AA" w:rsidRDefault="002E30FB" w:rsidP="002E30FB">
      <w:pPr>
        <w:spacing w:after="0" w:line="360" w:lineRule="auto"/>
        <w:contextualSpacing/>
        <w:jc w:val="both"/>
        <w:rPr>
          <w:rFonts w:ascii="Palatino Linotype" w:hAnsi="Palatino Linotype" w:cs="Arial"/>
        </w:rPr>
      </w:pPr>
      <w:r w:rsidRPr="002A76AA">
        <w:rPr>
          <w:rFonts w:ascii="Palatino Linotype" w:hAnsi="Palatino Linotype" w:cs="Arial"/>
        </w:rPr>
        <w:t xml:space="preserve">De conformidad con lo establecido en la Ley de Transparencia y Acceso a la Información Pública del Estado de México y Municipios, en </w:t>
      </w:r>
      <w:r w:rsidR="00FE1F0D" w:rsidRPr="002A76AA">
        <w:rPr>
          <w:rFonts w:ascii="Palatino Linotype" w:hAnsi="Palatino Linotype" w:cs="Arial"/>
        </w:rPr>
        <w:t>su numeral</w:t>
      </w:r>
      <w:r w:rsidRPr="002A76AA">
        <w:rPr>
          <w:rFonts w:ascii="Palatino Linotype" w:hAnsi="Palatino Linotype" w:cs="Arial"/>
        </w:rPr>
        <w:t xml:space="preserve"> 49</w:t>
      </w:r>
      <w:r w:rsidR="00FE1F0D" w:rsidRPr="002A76AA">
        <w:rPr>
          <w:rFonts w:ascii="Palatino Linotype" w:hAnsi="Palatino Linotype" w:cs="Arial"/>
        </w:rPr>
        <w:t xml:space="preserve"> fracción II </w:t>
      </w:r>
      <w:r w:rsidRPr="002A76AA">
        <w:rPr>
          <w:rFonts w:ascii="Palatino Linotype" w:hAnsi="Palatino Linotype" w:cs="Arial"/>
        </w:rPr>
        <w:t>los Comités de Transparencia tendrán dentro de sus atribuciones</w:t>
      </w:r>
      <w:r w:rsidR="00FE1F0D" w:rsidRPr="002A76AA">
        <w:rPr>
          <w:rFonts w:ascii="Palatino Linotype" w:hAnsi="Palatino Linotype" w:cs="Arial"/>
        </w:rPr>
        <w:t xml:space="preserve">, confirmar </w:t>
      </w:r>
      <w:r w:rsidRPr="002A76AA">
        <w:rPr>
          <w:rFonts w:ascii="Palatino Linotype" w:hAnsi="Palatino Linotype" w:cs="Arial"/>
        </w:rPr>
        <w:t xml:space="preserve">las determinaciones que en materia </w:t>
      </w:r>
      <w:r w:rsidR="00FE1F0D" w:rsidRPr="002A76AA">
        <w:rPr>
          <w:rFonts w:ascii="Palatino Linotype" w:hAnsi="Palatino Linotype" w:cs="Arial"/>
        </w:rPr>
        <w:t xml:space="preserve"> de</w:t>
      </w:r>
      <w:r w:rsidRPr="002A76AA">
        <w:rPr>
          <w:rFonts w:ascii="Palatino Linotype" w:hAnsi="Palatino Linotype" w:cs="Arial"/>
        </w:rPr>
        <w:t xml:space="preserve"> declaración de inexistencia o de incompetencia realicen los </w:t>
      </w:r>
      <w:r w:rsidR="00FE1F0D" w:rsidRPr="002A76AA">
        <w:rPr>
          <w:rFonts w:ascii="Palatino Linotype" w:hAnsi="Palatino Linotype" w:cs="Arial"/>
        </w:rPr>
        <w:t xml:space="preserve"> </w:t>
      </w:r>
      <w:r w:rsidRPr="002A76AA">
        <w:rPr>
          <w:rFonts w:ascii="Palatino Linotype" w:hAnsi="Palatino Linotype" w:cs="Arial"/>
        </w:rPr>
        <w:t>titulares de las áreas de los sujetos obligados;</w:t>
      </w:r>
    </w:p>
    <w:p w14:paraId="6C631149" w14:textId="77777777" w:rsidR="00FE1F0D" w:rsidRPr="002A76AA" w:rsidRDefault="00FE1F0D" w:rsidP="002E30FB">
      <w:pPr>
        <w:spacing w:after="0" w:line="360" w:lineRule="auto"/>
        <w:contextualSpacing/>
        <w:jc w:val="both"/>
        <w:rPr>
          <w:rFonts w:ascii="Palatino Linotype" w:hAnsi="Palatino Linotype" w:cs="Arial"/>
        </w:rPr>
      </w:pPr>
    </w:p>
    <w:p w14:paraId="0B542E49" w14:textId="4D84747F" w:rsidR="00FE1F0D" w:rsidRPr="002A76AA" w:rsidRDefault="00FE1F0D" w:rsidP="00FE1F0D">
      <w:pPr>
        <w:spacing w:after="0" w:line="360" w:lineRule="auto"/>
        <w:contextualSpacing/>
        <w:jc w:val="both"/>
        <w:rPr>
          <w:rFonts w:ascii="Palatino Linotype" w:hAnsi="Palatino Linotype" w:cs="Arial"/>
        </w:rPr>
      </w:pPr>
      <w:r w:rsidRPr="002A76AA">
        <w:rPr>
          <w:rFonts w:ascii="Palatino Linotype" w:hAnsi="Palatino Linotype" w:cs="Arial"/>
        </w:rPr>
        <w:t>Así mismo en su numeral 167 contempla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D760D3E" w14:textId="77777777" w:rsidR="00FE1F0D" w:rsidRPr="002A76AA" w:rsidRDefault="00FE1F0D" w:rsidP="00FE1F0D">
      <w:pPr>
        <w:spacing w:after="0" w:line="360" w:lineRule="auto"/>
        <w:contextualSpacing/>
        <w:jc w:val="both"/>
        <w:rPr>
          <w:rFonts w:ascii="Palatino Linotype" w:hAnsi="Palatino Linotype" w:cs="Arial"/>
        </w:rPr>
      </w:pPr>
    </w:p>
    <w:p w14:paraId="021B8C9D" w14:textId="487282FF" w:rsidR="000362F8" w:rsidRPr="000362F8" w:rsidRDefault="000362F8" w:rsidP="000362F8">
      <w:pPr>
        <w:spacing w:after="0" w:line="360" w:lineRule="auto"/>
        <w:contextualSpacing/>
        <w:jc w:val="both"/>
        <w:rPr>
          <w:rFonts w:ascii="Palatino Linotype" w:eastAsia="Calibri" w:hAnsi="Palatino Linotype" w:cs="Tahoma"/>
          <w:lang w:val="es-MX"/>
        </w:rPr>
      </w:pPr>
      <w:r w:rsidRPr="002A76AA">
        <w:rPr>
          <w:rFonts w:ascii="Palatino Linotype" w:hAnsi="Palatino Linotype" w:cs="Arial"/>
        </w:rPr>
        <w:t>Ahora bien, en su respuesta, el Sujeto Obligado comunic</w:t>
      </w:r>
      <w:r w:rsidR="002A76AA" w:rsidRPr="002A76AA">
        <w:rPr>
          <w:rFonts w:ascii="Palatino Linotype" w:hAnsi="Palatino Linotype" w:cs="Arial"/>
        </w:rPr>
        <w:t xml:space="preserve">ó </w:t>
      </w:r>
      <w:r w:rsidRPr="002A76AA">
        <w:rPr>
          <w:rFonts w:ascii="Palatino Linotype" w:hAnsi="Palatino Linotype" w:cs="Arial"/>
        </w:rPr>
        <w:t xml:space="preserve"> que no se localizó contrato alguno que esa dependencia haya celebrado con la empresa  Zamby Servicios Profesionales, S.A. de C.V. du</w:t>
      </w:r>
      <w:r w:rsidR="006A7801">
        <w:rPr>
          <w:rFonts w:ascii="Palatino Linotype" w:hAnsi="Palatino Linotype" w:cs="Arial"/>
        </w:rPr>
        <w:t xml:space="preserve">rante el ejercicio fiscal 2022. </w:t>
      </w:r>
      <w:r w:rsidRPr="000362F8">
        <w:rPr>
          <w:rFonts w:ascii="Palatino Linotype" w:eastAsia="Calibri" w:hAnsi="Palatino Linotype" w:cs="Tahoma"/>
          <w:lang w:val="es-ES_tradnl"/>
        </w:rPr>
        <w:t xml:space="preserve">Sobre </w:t>
      </w:r>
      <w:r w:rsidR="006A7801">
        <w:rPr>
          <w:rFonts w:ascii="Palatino Linotype" w:eastAsia="Calibri" w:hAnsi="Palatino Linotype" w:cs="Tahoma"/>
          <w:lang w:val="es-ES_tradnl"/>
        </w:rPr>
        <w:t>ello</w:t>
      </w:r>
      <w:r w:rsidRPr="000362F8">
        <w:rPr>
          <w:rFonts w:ascii="Palatino Linotype" w:eastAsia="Calibri" w:hAnsi="Palatino Linotype" w:cs="Tahoma"/>
          <w:lang w:val="es-ES_tradnl"/>
        </w:rPr>
        <w:t xml:space="preserve">, en </w:t>
      </w:r>
      <w:r w:rsidRPr="000362F8">
        <w:rPr>
          <w:rFonts w:ascii="Palatino Linotype" w:eastAsia="Times New Roman" w:hAnsi="Palatino Linotype" w:cs="Tahoma"/>
          <w:bCs/>
          <w:iCs/>
          <w:lang w:val="es-MX" w:eastAsia="es-ES"/>
        </w:rPr>
        <w:t xml:space="preserve">el </w:t>
      </w:r>
      <w:r w:rsidRPr="000362F8">
        <w:rPr>
          <w:rFonts w:ascii="Palatino Linotype" w:eastAsia="Calibri" w:hAnsi="Palatino Linotype" w:cs="Tahoma"/>
          <w:bCs/>
        </w:rPr>
        <w:t xml:space="preserve">Criterio de Interpretación, de la Segunda Época, con número de registro </w:t>
      </w:r>
      <w:r w:rsidRPr="000362F8">
        <w:rPr>
          <w:rFonts w:ascii="Palatino Linotype" w:eastAsia="Calibri" w:hAnsi="Palatino Linotype" w:cs="Tahoma"/>
          <w:bCs/>
          <w:lang w:val="es-MX"/>
        </w:rPr>
        <w:t>SO/014/2017</w:t>
      </w:r>
      <w:r w:rsidRPr="000362F8">
        <w:rPr>
          <w:rFonts w:ascii="Palatino Linotype" w:eastAsia="Calibri" w:hAnsi="Palatino Linotype" w:cs="Tahoma"/>
          <w:lang w:val="es-MX"/>
        </w:rPr>
        <w:t>, emitido por el Instituto Nacional de Transparencia, Acceso a la Información Pública y Protección de Datos Personales en el Estado de México y Municipios, se señala lo siguiente:</w:t>
      </w:r>
    </w:p>
    <w:p w14:paraId="75EE21BF" w14:textId="77777777" w:rsidR="000362F8" w:rsidRPr="000362F8" w:rsidRDefault="000362F8" w:rsidP="000362F8">
      <w:pPr>
        <w:spacing w:after="0" w:line="360" w:lineRule="auto"/>
        <w:jc w:val="both"/>
        <w:rPr>
          <w:rFonts w:ascii="Palatino Linotype" w:eastAsia="Calibri" w:hAnsi="Palatino Linotype" w:cs="Tahoma"/>
          <w:lang w:val="es-MX"/>
        </w:rPr>
      </w:pPr>
    </w:p>
    <w:p w14:paraId="4B919DDD" w14:textId="77777777" w:rsidR="000362F8" w:rsidRPr="000362F8" w:rsidRDefault="000362F8" w:rsidP="000362F8">
      <w:pPr>
        <w:spacing w:after="0" w:line="360" w:lineRule="auto"/>
        <w:ind w:left="567" w:right="567"/>
        <w:jc w:val="both"/>
        <w:rPr>
          <w:rFonts w:ascii="Palatino Linotype" w:eastAsia="Calibri" w:hAnsi="Palatino Linotype" w:cs="Tahoma"/>
          <w:bCs/>
          <w:i/>
        </w:rPr>
      </w:pPr>
      <w:r w:rsidRPr="000362F8">
        <w:rPr>
          <w:rFonts w:ascii="Palatino Linotype" w:eastAsia="Calibri" w:hAnsi="Palatino Linotype" w:cs="Tahoma"/>
          <w:bCs/>
          <w:i/>
        </w:rPr>
        <w:lastRenderedPageBreak/>
        <w:t>“</w:t>
      </w:r>
      <w:r w:rsidRPr="000362F8">
        <w:rPr>
          <w:rFonts w:ascii="Palatino Linotype" w:eastAsia="Calibri" w:hAnsi="Palatino Linotype" w:cs="Tahoma"/>
          <w:b/>
          <w:bCs/>
          <w:i/>
        </w:rPr>
        <w:t xml:space="preserve">Inexistencia. </w:t>
      </w:r>
      <w:r w:rsidRPr="000362F8">
        <w:rPr>
          <w:rFonts w:ascii="Palatino Linotype" w:eastAsia="Calibri" w:hAnsi="Palatino Linotype" w:cs="Tahoma"/>
          <w:bCs/>
          <w:i/>
        </w:rPr>
        <w:t>La inexistencia es una cuestión de hecho que se atribuye a la información solicitada e implica que ésta no se encuentra en los archivos del sujeto obligado, no obstante que cuenta con facultades para poseerla.”</w:t>
      </w:r>
    </w:p>
    <w:p w14:paraId="2C621368" w14:textId="77777777" w:rsidR="000362F8" w:rsidRPr="000362F8" w:rsidRDefault="000362F8" w:rsidP="000362F8">
      <w:pPr>
        <w:spacing w:after="0" w:line="360" w:lineRule="auto"/>
        <w:jc w:val="both"/>
        <w:rPr>
          <w:rFonts w:ascii="Palatino Linotype" w:eastAsia="Calibri" w:hAnsi="Palatino Linotype" w:cs="Tahoma"/>
          <w:lang w:val="es-MX"/>
        </w:rPr>
      </w:pPr>
    </w:p>
    <w:p w14:paraId="498F5ABE" w14:textId="55EB8AA6" w:rsidR="000362F8" w:rsidRPr="006A7801" w:rsidRDefault="000362F8" w:rsidP="000362F8">
      <w:pPr>
        <w:spacing w:after="0" w:line="360" w:lineRule="auto"/>
        <w:jc w:val="both"/>
        <w:rPr>
          <w:rFonts w:ascii="Palatino Linotype" w:eastAsia="Calibri" w:hAnsi="Palatino Linotype" w:cs="Tahoma"/>
          <w:b/>
          <w:lang w:val="es-MX"/>
        </w:rPr>
      </w:pPr>
      <w:r w:rsidRPr="000362F8">
        <w:rPr>
          <w:rFonts w:ascii="Palatino Linotype" w:eastAsia="Calibri" w:hAnsi="Palatino Linotype" w:cs="Tahoma"/>
          <w:lang w:val="es-MX"/>
        </w:rPr>
        <w:t>Del citado criterio, se desprende que la inexistencia de la información, es una cuestión de hecho que se le atribuye a la misma, cuando ésta no se encuentra en los archivos del sujeto obligado.</w:t>
      </w:r>
      <w:r w:rsidR="006A7801">
        <w:rPr>
          <w:rFonts w:ascii="Palatino Linotype" w:eastAsia="Calibri" w:hAnsi="Palatino Linotype" w:cs="Tahoma"/>
          <w:lang w:val="es-MX"/>
        </w:rPr>
        <w:t xml:space="preserve"> Ahora bien, </w:t>
      </w:r>
      <w:r w:rsidR="006A7801">
        <w:rPr>
          <w:rFonts w:ascii="Palatino Linotype" w:eastAsia="Calibri" w:hAnsi="Palatino Linotype" w:cs="Tahoma"/>
          <w:b/>
          <w:lang w:val="es-MX"/>
        </w:rPr>
        <w:t>para este caso destaca que no existe ninguna disposición normativa que obligue a la Dependencia y contratar con esta empresa o con alguna en particular, ya que los procesos de contratación se rigen de acuerdo con la ley de la materia.</w:t>
      </w:r>
    </w:p>
    <w:p w14:paraId="1B98FC53" w14:textId="77777777" w:rsidR="000362F8" w:rsidRPr="000362F8" w:rsidRDefault="000362F8" w:rsidP="000362F8">
      <w:pPr>
        <w:spacing w:after="0" w:line="360" w:lineRule="auto"/>
        <w:jc w:val="both"/>
        <w:rPr>
          <w:rFonts w:ascii="Palatino Linotype" w:eastAsia="Calibri" w:hAnsi="Palatino Linotype" w:cs="Tahoma"/>
        </w:rPr>
      </w:pPr>
    </w:p>
    <w:p w14:paraId="522244CD" w14:textId="1D4C2C79" w:rsidR="000362F8" w:rsidRPr="000362F8" w:rsidRDefault="000362F8" w:rsidP="000362F8">
      <w:pPr>
        <w:spacing w:after="0" w:line="360" w:lineRule="auto"/>
        <w:jc w:val="both"/>
        <w:rPr>
          <w:rFonts w:ascii="Palatino Linotype" w:eastAsia="Calibri" w:hAnsi="Palatino Linotype" w:cs="Tahoma"/>
          <w:lang w:val="es-ES_tradnl"/>
        </w:rPr>
      </w:pPr>
      <w:r w:rsidRPr="000362F8">
        <w:rPr>
          <w:rFonts w:ascii="Palatino Linotype" w:eastAsia="Times New Roman" w:hAnsi="Palatino Linotype" w:cs="Tahoma"/>
          <w:lang w:eastAsia="es-ES"/>
        </w:rPr>
        <w:t xml:space="preserve">En ese orden de ideas, según Trujillo, Humberto (2019), en el “Diccionario de Transparencia y Acceso a la Información Pública” (p. 171), </w:t>
      </w:r>
      <w:r w:rsidRPr="000362F8">
        <w:rPr>
          <w:rFonts w:ascii="Palatino Linotype" w:eastAsia="Times New Roman" w:hAnsi="Palatino Linotype" w:cs="Tahoma"/>
          <w:b/>
          <w:bCs/>
          <w:lang w:eastAsia="es-ES"/>
        </w:rPr>
        <w:t>la inexistencia de la información</w:t>
      </w:r>
      <w:r w:rsidRPr="000362F8">
        <w:rPr>
          <w:rFonts w:ascii="Palatino Linotype" w:eastAsia="Times New Roman" w:hAnsi="Palatino Linotype" w:cs="Tahoma"/>
          <w:lang w:eastAsia="es-ES"/>
        </w:rPr>
        <w:t>, es cuando la información requerida no se encuentra en los archivos públicos, reservados o clasificados, de los sujetos obligados.</w:t>
      </w:r>
      <w:r w:rsidR="006A7801">
        <w:rPr>
          <w:rFonts w:ascii="Palatino Linotype" w:eastAsia="Times New Roman" w:hAnsi="Palatino Linotype" w:cs="Tahoma"/>
          <w:lang w:eastAsia="es-ES"/>
        </w:rPr>
        <w:t xml:space="preserve"> </w:t>
      </w:r>
      <w:r w:rsidR="006A7801">
        <w:rPr>
          <w:rFonts w:ascii="Palatino Linotype" w:eastAsia="Calibri" w:hAnsi="Palatino Linotype" w:cs="Tahoma"/>
        </w:rPr>
        <w:t>Conforme con</w:t>
      </w:r>
      <w:r w:rsidRPr="000362F8">
        <w:rPr>
          <w:rFonts w:ascii="Palatino Linotype" w:eastAsia="Calibri" w:hAnsi="Palatino Linotype" w:cs="Tahoma"/>
        </w:rPr>
        <w:t xml:space="preserve"> lo anterior</w:t>
      </w:r>
      <w:r w:rsidRPr="000362F8">
        <w:rPr>
          <w:rFonts w:ascii="Palatino Linotype" w:eastAsia="Calibri" w:hAnsi="Palatino Linotype" w:cs="Tahoma"/>
          <w:lang w:val="es-ES_tradnl"/>
        </w:rPr>
        <w:t xml:space="preserve">, es posible concluir que la </w:t>
      </w:r>
      <w:r w:rsidRPr="000362F8">
        <w:rPr>
          <w:rFonts w:ascii="Palatino Linotype" w:eastAsia="Calibri" w:hAnsi="Palatino Linotype" w:cs="Tahoma"/>
          <w:b/>
          <w:lang w:val="es-ES_tradnl"/>
        </w:rPr>
        <w:t>inexistencia</w:t>
      </w:r>
      <w:r w:rsidRPr="000362F8">
        <w:rPr>
          <w:rFonts w:ascii="Palatino Linotype" w:eastAsia="Calibri" w:hAnsi="Palatino Linotype" w:cs="Tahoma"/>
          <w:lang w:val="es-ES_tradnl"/>
        </w:rPr>
        <w:t xml:space="preserve"> presupone la competencia del sujeto obligado para conocer de la información, pero por alguna circunstancia, la documentación solicitada no obra en sus archivos.</w:t>
      </w:r>
    </w:p>
    <w:p w14:paraId="07B64A10" w14:textId="77777777" w:rsidR="000362F8" w:rsidRPr="000362F8" w:rsidRDefault="000362F8" w:rsidP="000362F8">
      <w:pPr>
        <w:spacing w:after="0" w:line="360" w:lineRule="auto"/>
        <w:ind w:right="-93"/>
        <w:jc w:val="both"/>
        <w:rPr>
          <w:rFonts w:ascii="Palatino Linotype" w:eastAsia="Calibri" w:hAnsi="Palatino Linotype" w:cs="Tahoma"/>
          <w:bCs/>
          <w:lang w:val="es-MX"/>
        </w:rPr>
      </w:pPr>
    </w:p>
    <w:p w14:paraId="7743F644" w14:textId="77777777" w:rsidR="000362F8" w:rsidRPr="000362F8" w:rsidRDefault="000362F8" w:rsidP="000362F8">
      <w:pPr>
        <w:spacing w:after="0" w:line="360" w:lineRule="auto"/>
        <w:jc w:val="both"/>
        <w:rPr>
          <w:rFonts w:ascii="Palatino Linotype" w:eastAsia="Calibri" w:hAnsi="Palatino Linotype" w:cs="Arial"/>
          <w:bCs/>
          <w:lang w:val="es-MX"/>
        </w:rPr>
      </w:pPr>
      <w:r w:rsidRPr="000362F8">
        <w:rPr>
          <w:rFonts w:ascii="Palatino Linotype" w:eastAsia="Calibri" w:hAnsi="Palatino Linotype" w:cs="Arial"/>
          <w:lang w:val="es-MX"/>
        </w:rPr>
        <w:t xml:space="preserve">Por otra parte, </w:t>
      </w:r>
      <w:r w:rsidRPr="000362F8">
        <w:rPr>
          <w:rFonts w:ascii="Palatino Linotype" w:eastAsia="Calibri" w:hAnsi="Palatino Linotype" w:cs="Arial"/>
          <w:bCs/>
          <w:lang w:val="es-MX"/>
        </w:rPr>
        <w:t>según Cabanellas, Guillermo (1993), en el “Diccionario Jurídico Elemental” (p. 32 y 161), precisó los siguientes conceptos:</w:t>
      </w:r>
    </w:p>
    <w:p w14:paraId="054B8039" w14:textId="77777777" w:rsidR="000362F8" w:rsidRPr="000362F8" w:rsidRDefault="000362F8" w:rsidP="000362F8">
      <w:pPr>
        <w:spacing w:after="0" w:line="360" w:lineRule="auto"/>
        <w:jc w:val="both"/>
        <w:rPr>
          <w:rFonts w:ascii="Palatino Linotype" w:eastAsia="Calibri" w:hAnsi="Palatino Linotype" w:cs="Arial"/>
          <w:bCs/>
          <w:lang w:val="es-MX"/>
        </w:rPr>
      </w:pPr>
    </w:p>
    <w:p w14:paraId="3C82C560" w14:textId="77777777" w:rsidR="000362F8" w:rsidRPr="000362F8" w:rsidRDefault="000362F8" w:rsidP="000362F8">
      <w:pPr>
        <w:numPr>
          <w:ilvl w:val="0"/>
          <w:numId w:val="6"/>
        </w:numPr>
        <w:spacing w:after="0" w:line="360" w:lineRule="auto"/>
        <w:contextualSpacing/>
        <w:jc w:val="both"/>
        <w:rPr>
          <w:rFonts w:ascii="Palatino Linotype" w:eastAsia="Calibri" w:hAnsi="Palatino Linotype" w:cs="Arial"/>
          <w:bCs/>
          <w:lang w:eastAsia="es-ES"/>
        </w:rPr>
      </w:pPr>
      <w:r w:rsidRPr="000362F8">
        <w:rPr>
          <w:rFonts w:ascii="Palatino Linotype" w:eastAsia="Calibri" w:hAnsi="Palatino Linotype" w:cs="Arial"/>
          <w:b/>
          <w:bCs/>
          <w:lang w:eastAsia="es-ES"/>
        </w:rPr>
        <w:t xml:space="preserve">Competencia: </w:t>
      </w:r>
      <w:r w:rsidRPr="000362F8">
        <w:rPr>
          <w:rFonts w:ascii="Palatino Linotype" w:eastAsia="Calibri" w:hAnsi="Palatino Linotype" w:cs="Arial"/>
          <w:bCs/>
          <w:lang w:eastAsia="es-ES"/>
        </w:rPr>
        <w:t>La capacidad de una autoridad para conocer sobre una materia o asunto.</w:t>
      </w:r>
    </w:p>
    <w:p w14:paraId="7FDAD654" w14:textId="77777777" w:rsidR="000362F8" w:rsidRPr="000362F8" w:rsidRDefault="000362F8" w:rsidP="000362F8">
      <w:pPr>
        <w:spacing w:after="0" w:line="360" w:lineRule="auto"/>
        <w:ind w:left="780"/>
        <w:contextualSpacing/>
        <w:jc w:val="both"/>
        <w:rPr>
          <w:rFonts w:ascii="Palatino Linotype" w:eastAsia="Calibri" w:hAnsi="Palatino Linotype" w:cs="Arial"/>
          <w:bCs/>
          <w:lang w:eastAsia="es-ES"/>
        </w:rPr>
      </w:pPr>
    </w:p>
    <w:p w14:paraId="095D4849" w14:textId="77777777" w:rsidR="000362F8" w:rsidRPr="000362F8" w:rsidRDefault="000362F8" w:rsidP="000362F8">
      <w:pPr>
        <w:numPr>
          <w:ilvl w:val="0"/>
          <w:numId w:val="6"/>
        </w:numPr>
        <w:spacing w:after="0" w:line="360" w:lineRule="auto"/>
        <w:contextualSpacing/>
        <w:jc w:val="both"/>
        <w:rPr>
          <w:rFonts w:ascii="Palatino Linotype" w:eastAsia="Calibri" w:hAnsi="Palatino Linotype" w:cs="Arial"/>
          <w:bCs/>
          <w:lang w:eastAsia="es-ES"/>
        </w:rPr>
      </w:pPr>
      <w:r w:rsidRPr="000362F8">
        <w:rPr>
          <w:rFonts w:ascii="Palatino Linotype" w:eastAsia="Calibri" w:hAnsi="Palatino Linotype" w:cs="Arial"/>
          <w:b/>
          <w:bCs/>
          <w:lang w:eastAsia="es-ES"/>
        </w:rPr>
        <w:t>Incompetencia:</w:t>
      </w:r>
      <w:r w:rsidRPr="000362F8">
        <w:rPr>
          <w:rFonts w:ascii="Palatino Linotype" w:eastAsia="Calibri" w:hAnsi="Palatino Linotype" w:cs="Arial"/>
          <w:bCs/>
          <w:lang w:eastAsia="es-ES"/>
        </w:rPr>
        <w:t xml:space="preserve"> Falta de Competencia.</w:t>
      </w:r>
    </w:p>
    <w:p w14:paraId="5AAABE0F" w14:textId="77777777" w:rsidR="000362F8" w:rsidRPr="000362F8" w:rsidRDefault="000362F8" w:rsidP="000362F8">
      <w:pPr>
        <w:spacing w:after="0" w:line="360" w:lineRule="auto"/>
        <w:jc w:val="both"/>
        <w:rPr>
          <w:rFonts w:ascii="Palatino Linotype" w:eastAsia="Calibri" w:hAnsi="Palatino Linotype" w:cs="Arial"/>
          <w:lang w:val="es-MX"/>
        </w:rPr>
      </w:pPr>
    </w:p>
    <w:p w14:paraId="634A1F5D" w14:textId="77777777" w:rsidR="000362F8" w:rsidRPr="000362F8" w:rsidRDefault="000362F8" w:rsidP="000362F8">
      <w:pPr>
        <w:spacing w:after="0" w:line="360" w:lineRule="auto"/>
        <w:jc w:val="both"/>
        <w:rPr>
          <w:rFonts w:ascii="Palatino Linotype" w:eastAsia="Calibri" w:hAnsi="Palatino Linotype" w:cs="Tahoma"/>
          <w:lang w:val="es-MX"/>
        </w:rPr>
      </w:pPr>
      <w:r w:rsidRPr="000362F8">
        <w:rPr>
          <w:rFonts w:ascii="Palatino Linotype" w:eastAsia="Calibri" w:hAnsi="Palatino Linotype" w:cs="Tahoma"/>
          <w:lang w:val="es-ES_tradnl"/>
        </w:rPr>
        <w:t>Por lo que, la incompetencia, radica en la incapacidad de una autoridad para conocer de un tema o asunto; en el mismo sentido, conviene traer a cuenta tesis</w:t>
      </w:r>
      <w:r w:rsidRPr="000362F8">
        <w:rPr>
          <w:rFonts w:ascii="Palatino Linotype" w:eastAsia="Calibri" w:hAnsi="Palatino Linotype" w:cs="Tahoma"/>
          <w:lang w:val="es-MX"/>
        </w:rPr>
        <w:t xml:space="preserve"> aislada número III.2o.P.11 </w:t>
      </w:r>
      <w:r w:rsidRPr="000362F8">
        <w:rPr>
          <w:rFonts w:ascii="Palatino Linotype" w:eastAsia="Calibri" w:hAnsi="Palatino Linotype" w:cs="Tahoma"/>
          <w:lang w:val="es-MX"/>
        </w:rPr>
        <w:lastRenderedPageBreak/>
        <w:t xml:space="preserve">K, publicada en el Semanario Judicial de la Federación y su Gaceta, Novena Época, Tomo XV, Mayo de 2002, Pág. 1243, ya que precisa lo siguiente: </w:t>
      </w:r>
    </w:p>
    <w:p w14:paraId="2DA20B6D" w14:textId="77777777" w:rsidR="000362F8" w:rsidRPr="000362F8" w:rsidRDefault="000362F8" w:rsidP="000362F8">
      <w:pPr>
        <w:spacing w:after="0" w:line="360" w:lineRule="auto"/>
        <w:jc w:val="both"/>
        <w:rPr>
          <w:rFonts w:ascii="Palatino Linotype" w:eastAsia="Calibri" w:hAnsi="Palatino Linotype" w:cs="Tahoma"/>
          <w:lang w:val="es-ES_tradnl"/>
        </w:rPr>
      </w:pPr>
    </w:p>
    <w:p w14:paraId="3C9D29DE" w14:textId="77777777" w:rsidR="000362F8" w:rsidRPr="000362F8" w:rsidRDefault="000362F8" w:rsidP="000362F8">
      <w:pPr>
        <w:spacing w:after="0" w:line="360" w:lineRule="auto"/>
        <w:ind w:left="567" w:right="567"/>
        <w:jc w:val="both"/>
        <w:rPr>
          <w:rFonts w:ascii="Palatino Linotype" w:eastAsia="Calibri" w:hAnsi="Palatino Linotype" w:cs="Tahoma"/>
          <w:i/>
          <w:lang w:val="es-ES_tradnl"/>
        </w:rPr>
      </w:pPr>
      <w:r w:rsidRPr="000362F8">
        <w:rPr>
          <w:rFonts w:ascii="Palatino Linotype" w:eastAsia="Calibri"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0362F8">
        <w:rPr>
          <w:rFonts w:ascii="Palatino Linotype" w:eastAsia="Calibri" w:hAnsi="Palatino Linotype" w:cs="Tahoma"/>
          <w:i/>
          <w:lang w:val="es-ES_tradnl"/>
        </w:rPr>
        <w:t>El artículo </w:t>
      </w:r>
      <w:hyperlink r:id="rId7" w:history="1">
        <w:r w:rsidRPr="000362F8">
          <w:rPr>
            <w:rFonts w:ascii="Palatino Linotype" w:eastAsia="Calibri" w:hAnsi="Palatino Linotype" w:cs="Tahoma"/>
            <w:i/>
            <w:color w:val="0563C1"/>
            <w:u w:val="single"/>
            <w:lang w:val="es-ES_tradnl"/>
          </w:rPr>
          <w:t>16 constitucional</w:t>
        </w:r>
      </w:hyperlink>
      <w:r w:rsidRPr="000362F8">
        <w:rPr>
          <w:rFonts w:ascii="Palatino Linotype" w:eastAsia="Calibri"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45BF83F" w14:textId="77777777" w:rsidR="000362F8" w:rsidRPr="000362F8" w:rsidRDefault="000362F8" w:rsidP="000362F8">
      <w:pPr>
        <w:spacing w:after="0" w:line="360" w:lineRule="auto"/>
        <w:jc w:val="both"/>
        <w:rPr>
          <w:rFonts w:ascii="Palatino Linotype" w:eastAsia="Calibri" w:hAnsi="Palatino Linotype" w:cs="Tahoma"/>
          <w:lang w:val="es-ES_tradnl"/>
        </w:rPr>
      </w:pPr>
    </w:p>
    <w:p w14:paraId="074F777C" w14:textId="77777777" w:rsidR="000362F8" w:rsidRPr="000362F8" w:rsidRDefault="000362F8" w:rsidP="000362F8">
      <w:pPr>
        <w:spacing w:after="0" w:line="360" w:lineRule="auto"/>
        <w:jc w:val="both"/>
        <w:rPr>
          <w:rFonts w:ascii="Palatino Linotype" w:eastAsia="Calibri" w:hAnsi="Palatino Linotype" w:cs="Tahoma"/>
          <w:lang w:val="es-MX"/>
        </w:rPr>
      </w:pPr>
      <w:r w:rsidRPr="000362F8">
        <w:rPr>
          <w:rFonts w:ascii="Palatino Linotype" w:eastAsia="Calibri" w:hAnsi="Palatino Linotype" w:cs="Tahoma"/>
          <w:lang w:val="es-ES_tradnl"/>
        </w:rPr>
        <w:t xml:space="preserve">Por otro lado, en </w:t>
      </w:r>
      <w:r w:rsidRPr="000362F8">
        <w:rPr>
          <w:rFonts w:ascii="Palatino Linotype" w:eastAsia="Times New Roman" w:hAnsi="Palatino Linotype" w:cs="Tahoma"/>
          <w:bCs/>
          <w:iCs/>
          <w:lang w:val="es-MX" w:eastAsia="es-ES"/>
        </w:rPr>
        <w:t xml:space="preserve">el </w:t>
      </w:r>
      <w:r w:rsidRPr="000362F8">
        <w:rPr>
          <w:rFonts w:ascii="Palatino Linotype" w:eastAsia="Calibri" w:hAnsi="Palatino Linotype" w:cs="Tahoma"/>
          <w:bCs/>
        </w:rPr>
        <w:t xml:space="preserve">Criterio de Interpretación, de la Segunda Época, con número de registro </w:t>
      </w:r>
      <w:r w:rsidRPr="000362F8">
        <w:rPr>
          <w:rFonts w:ascii="Palatino Linotype" w:eastAsia="Calibri" w:hAnsi="Palatino Linotype" w:cs="Tahoma"/>
          <w:bCs/>
          <w:lang w:val="es-MX"/>
        </w:rPr>
        <w:t>SO/013/2017</w:t>
      </w:r>
      <w:r w:rsidRPr="000362F8">
        <w:rPr>
          <w:rFonts w:ascii="Palatino Linotype" w:eastAsia="Calibri" w:hAnsi="Palatino Linotype" w:cs="Tahoma"/>
        </w:rPr>
        <w:t xml:space="preserve">, </w:t>
      </w:r>
      <w:r w:rsidRPr="000362F8">
        <w:rPr>
          <w:rFonts w:ascii="Palatino Linotype" w:eastAsia="Calibri" w:hAnsi="Palatino Linotype" w:cs="Tahoma"/>
          <w:lang w:val="es-MX"/>
        </w:rPr>
        <w:t xml:space="preserve">emitido por el Instituto Nacional de Transparencia, Acceso a la Información y Protección de Datos Personales, que dispone lo siguiente: </w:t>
      </w:r>
    </w:p>
    <w:p w14:paraId="0EA7876C" w14:textId="77777777" w:rsidR="000362F8" w:rsidRPr="000362F8" w:rsidRDefault="000362F8" w:rsidP="000362F8">
      <w:pPr>
        <w:spacing w:after="0" w:line="360" w:lineRule="auto"/>
        <w:jc w:val="both"/>
        <w:rPr>
          <w:rFonts w:ascii="Palatino Linotype" w:eastAsia="Calibri" w:hAnsi="Palatino Linotype" w:cs="Tahoma"/>
          <w:lang w:val="es-MX"/>
        </w:rPr>
      </w:pPr>
    </w:p>
    <w:p w14:paraId="4C02F6A0" w14:textId="77777777" w:rsidR="000362F8" w:rsidRPr="000362F8" w:rsidRDefault="000362F8" w:rsidP="000362F8">
      <w:pPr>
        <w:spacing w:after="0" w:line="360" w:lineRule="auto"/>
        <w:ind w:left="567" w:right="567"/>
        <w:jc w:val="both"/>
        <w:rPr>
          <w:rFonts w:ascii="Palatino Linotype" w:eastAsia="Calibri" w:hAnsi="Palatino Linotype" w:cs="Tahoma"/>
          <w:i/>
          <w:lang w:val="es-MX"/>
        </w:rPr>
      </w:pPr>
      <w:r w:rsidRPr="000362F8">
        <w:rPr>
          <w:rFonts w:ascii="Palatino Linotype" w:eastAsia="Calibri" w:hAnsi="Palatino Linotype" w:cs="Tahoma"/>
          <w:i/>
          <w:lang w:val="es-MX"/>
        </w:rPr>
        <w:t>“</w:t>
      </w:r>
      <w:r w:rsidRPr="000362F8">
        <w:rPr>
          <w:rFonts w:ascii="Palatino Linotype" w:eastAsia="Calibri" w:hAnsi="Palatino Linotype" w:cs="Tahoma"/>
          <w:b/>
          <w:bCs/>
          <w:i/>
          <w:lang w:val="es-MX"/>
        </w:rPr>
        <w:t xml:space="preserve">Incompetencia. </w:t>
      </w:r>
      <w:r w:rsidRPr="000362F8">
        <w:rPr>
          <w:rFonts w:ascii="Palatino Linotype" w:eastAsia="Calibri" w:hAnsi="Palatino Linotype" w:cs="Tahoma"/>
          <w:i/>
          <w:lang w:val="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8BC4167" w14:textId="77777777" w:rsidR="000362F8" w:rsidRDefault="000362F8" w:rsidP="000362F8">
      <w:pPr>
        <w:spacing w:after="0" w:line="360" w:lineRule="auto"/>
        <w:jc w:val="both"/>
        <w:rPr>
          <w:rFonts w:ascii="Palatino Linotype" w:eastAsia="Calibri" w:hAnsi="Palatino Linotype" w:cs="Tahoma"/>
          <w:lang w:val="es-ES_tradnl"/>
        </w:rPr>
      </w:pPr>
    </w:p>
    <w:p w14:paraId="0B64D25A" w14:textId="77777777" w:rsidR="008E0C8A" w:rsidRDefault="008E0C8A" w:rsidP="008E0C8A">
      <w:pPr>
        <w:spacing w:after="0" w:line="360" w:lineRule="auto"/>
        <w:contextualSpacing/>
        <w:jc w:val="both"/>
        <w:rPr>
          <w:rFonts w:ascii="Palatino Linotype" w:hAnsi="Palatino Linotype" w:cs="Arial"/>
        </w:rPr>
      </w:pPr>
    </w:p>
    <w:p w14:paraId="35E67560" w14:textId="77777777" w:rsidR="008E0C8A" w:rsidRPr="002A76AA" w:rsidRDefault="008E0C8A" w:rsidP="008E0C8A">
      <w:pPr>
        <w:autoSpaceDE w:val="0"/>
        <w:autoSpaceDN w:val="0"/>
        <w:adjustRightInd w:val="0"/>
        <w:spacing w:after="0" w:line="360" w:lineRule="auto"/>
        <w:jc w:val="both"/>
        <w:rPr>
          <w:rFonts w:ascii="Palatino Linotype" w:eastAsia="Calibri" w:hAnsi="Palatino Linotype" w:cs="Arial"/>
        </w:rPr>
      </w:pPr>
      <w:r w:rsidRPr="002A76AA">
        <w:rPr>
          <w:rFonts w:ascii="Palatino Linotype" w:eastAsia="Calibri" w:hAnsi="Palatino Linotype" w:cs="Arial"/>
        </w:rPr>
        <w:t xml:space="preserve">En esa virtud, viene a colación el Criterio </w:t>
      </w:r>
      <w:r w:rsidRPr="00714D25">
        <w:rPr>
          <w:rFonts w:ascii="Palatino Linotype" w:eastAsia="Calibri" w:hAnsi="Palatino Linotype" w:cs="Arial"/>
        </w:rPr>
        <w:t>Clave de control: SO/002/2020</w:t>
      </w:r>
      <w:r w:rsidRPr="002A76AA">
        <w:rPr>
          <w:rFonts w:ascii="Palatino Linotype" w:eastAsia="Calibri" w:hAnsi="Palatino Linotype" w:cs="Arial"/>
        </w:rPr>
        <w:t>, emitido por el Instituto Nacional de Transparencia, Acceso a la Información y Protección de Datos Personales, cuyo texto se transcribe a continuación:</w:t>
      </w:r>
    </w:p>
    <w:p w14:paraId="6531C3EE" w14:textId="77777777" w:rsidR="008E0C8A" w:rsidRPr="002A76AA" w:rsidRDefault="008E0C8A" w:rsidP="008E0C8A">
      <w:pPr>
        <w:autoSpaceDE w:val="0"/>
        <w:autoSpaceDN w:val="0"/>
        <w:adjustRightInd w:val="0"/>
        <w:spacing w:after="0" w:line="360" w:lineRule="auto"/>
        <w:jc w:val="both"/>
        <w:rPr>
          <w:rFonts w:ascii="Palatino Linotype" w:eastAsia="Calibri" w:hAnsi="Palatino Linotype" w:cs="Arial"/>
        </w:rPr>
      </w:pPr>
    </w:p>
    <w:p w14:paraId="41367C6B" w14:textId="77777777" w:rsidR="008E0C8A" w:rsidRPr="006F2410" w:rsidRDefault="008E0C8A" w:rsidP="008E0C8A">
      <w:pPr>
        <w:spacing w:after="0" w:line="360" w:lineRule="auto"/>
        <w:ind w:left="567" w:right="333"/>
        <w:contextualSpacing/>
        <w:jc w:val="both"/>
        <w:rPr>
          <w:rFonts w:ascii="Palatino Linotype" w:hAnsi="Palatino Linotype"/>
          <w:b/>
          <w:i/>
          <w:color w:val="222222"/>
        </w:rPr>
      </w:pPr>
      <w:r w:rsidRPr="006F2410">
        <w:rPr>
          <w:rFonts w:ascii="Palatino Linotype" w:hAnsi="Palatino Linotype"/>
          <w:b/>
          <w:i/>
          <w:color w:val="222222"/>
        </w:rPr>
        <w:t>Declaración de incompetencia por parte del Comité, cuando no sea notoria o manifiesta.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E06868D" w14:textId="77777777" w:rsidR="008E0C8A" w:rsidRPr="000362F8" w:rsidRDefault="008E0C8A" w:rsidP="000362F8">
      <w:pPr>
        <w:spacing w:after="0" w:line="360" w:lineRule="auto"/>
        <w:jc w:val="both"/>
        <w:rPr>
          <w:rFonts w:ascii="Palatino Linotype" w:eastAsia="Calibri" w:hAnsi="Palatino Linotype" w:cs="Tahoma"/>
          <w:lang w:val="es-ES_tradnl"/>
        </w:rPr>
      </w:pPr>
    </w:p>
    <w:p w14:paraId="5925C7C3" w14:textId="0125470A" w:rsidR="000362F8" w:rsidRPr="000362F8" w:rsidRDefault="008E0C8A" w:rsidP="000362F8">
      <w:pPr>
        <w:spacing w:after="0" w:line="360" w:lineRule="auto"/>
        <w:jc w:val="both"/>
        <w:rPr>
          <w:rFonts w:ascii="Palatino Linotype" w:eastAsia="Calibri" w:hAnsi="Palatino Linotype" w:cs="Tahoma"/>
          <w:lang w:val="es-ES_tradnl"/>
        </w:rPr>
      </w:pPr>
      <w:r>
        <w:rPr>
          <w:rFonts w:ascii="Palatino Linotype" w:eastAsia="Calibri" w:hAnsi="Palatino Linotype" w:cs="Tahoma"/>
          <w:lang w:val="es-ES_tradnl"/>
        </w:rPr>
        <w:t>Así</w:t>
      </w:r>
      <w:r w:rsidR="000362F8" w:rsidRPr="000362F8">
        <w:rPr>
          <w:rFonts w:ascii="Palatino Linotype" w:eastAsia="Calibri" w:hAnsi="Palatino Linotype" w:cs="Tahoma"/>
          <w:lang w:val="es-ES_tradnl"/>
        </w:rPr>
        <w:t xml:space="preserve">, la </w:t>
      </w:r>
      <w:r w:rsidR="000362F8" w:rsidRPr="000362F8">
        <w:rPr>
          <w:rFonts w:ascii="Palatino Linotype" w:eastAsia="Calibri" w:hAnsi="Palatino Linotype" w:cs="Tahoma"/>
          <w:b/>
          <w:lang w:val="es-ES_tradnl"/>
        </w:rPr>
        <w:t xml:space="preserve">incompetencia </w:t>
      </w:r>
      <w:r w:rsidR="000362F8" w:rsidRPr="000362F8">
        <w:rPr>
          <w:rFonts w:ascii="Palatino Linotype" w:eastAsia="Calibri" w:hAnsi="Palatino Linotype" w:cs="Tahoma"/>
          <w:lang w:val="es-ES_tradnl"/>
        </w:rPr>
        <w:t xml:space="preserve">implica que, de conformidad con las atribuciones conferidas al Sujeto Obligado, no habría razón por la cual éste deba contar con la información solicitada, en cuyo caso, tendría que orientar al particular para que </w:t>
      </w:r>
      <w:r w:rsidR="006A7801">
        <w:rPr>
          <w:rFonts w:ascii="Palatino Linotype" w:eastAsia="Calibri" w:hAnsi="Palatino Linotype" w:cs="Tahoma"/>
          <w:lang w:val="es-ES_tradnl"/>
        </w:rPr>
        <w:t>acuda a la instancia competente. Para el caso que nos ocupa, el Sujeto Obligado tiene competencia  para contratar a esa y/o a cualquier empresa que se sujete a los procedimientos legales, por lo que, la simple referencia de que acredita la búsqueda exhaustiva y razonable de la información, esta no obra en sus archivos por no haber celebrado contratos con la empresa, es suficiente para tener por atendido el requerimiento de información, sin que para ello sea necesario un acuerdo de incompetencia.</w:t>
      </w:r>
    </w:p>
    <w:p w14:paraId="196D5849" w14:textId="77777777" w:rsidR="000362F8" w:rsidRPr="000362F8" w:rsidRDefault="000362F8" w:rsidP="000362F8">
      <w:pPr>
        <w:spacing w:after="0" w:line="360" w:lineRule="auto"/>
        <w:jc w:val="both"/>
        <w:rPr>
          <w:rFonts w:ascii="Palatino Linotype" w:eastAsia="Calibri" w:hAnsi="Palatino Linotype" w:cs="Tahoma"/>
          <w:lang w:val="es-ES_tradnl"/>
        </w:rPr>
      </w:pPr>
    </w:p>
    <w:p w14:paraId="12E0B733" w14:textId="6F6CEA7D" w:rsidR="000362F8" w:rsidRPr="000362F8" w:rsidRDefault="000362F8" w:rsidP="000362F8">
      <w:pPr>
        <w:spacing w:after="0" w:line="360" w:lineRule="auto"/>
        <w:jc w:val="both"/>
        <w:rPr>
          <w:rFonts w:ascii="Palatino Linotype" w:eastAsia="Calibri" w:hAnsi="Palatino Linotype" w:cs="Tahoma"/>
          <w:lang w:val="es-ES_tradnl"/>
        </w:rPr>
      </w:pPr>
      <w:r w:rsidRPr="000362F8">
        <w:rPr>
          <w:rFonts w:ascii="Palatino Linotype" w:eastAsia="Calibri" w:hAnsi="Palatino Linotype" w:cs="Tahoma"/>
          <w:lang w:val="es-ES_tradnl"/>
        </w:rPr>
        <w:t xml:space="preserve">En otro orden de ideas, </w:t>
      </w:r>
      <w:r w:rsidR="006A7801">
        <w:rPr>
          <w:rFonts w:ascii="Palatino Linotype" w:eastAsia="Calibri" w:hAnsi="Palatino Linotype" w:cs="Tahoma"/>
          <w:lang w:val="es-ES_tradnl"/>
        </w:rPr>
        <w:t>la incompetencia</w:t>
      </w:r>
      <w:r w:rsidRPr="000362F8">
        <w:rPr>
          <w:rFonts w:ascii="Palatino Linotype" w:eastAsia="Calibri" w:hAnsi="Palatino Linotype" w:cs="Tahoma"/>
          <w:lang w:val="es-ES_tradnl"/>
        </w:rPr>
        <w:t xml:space="preserve"> concepto refiere a la ausencia de atribuciones por parte de los Entes sujetos a las Leyes de Transparencia, para contar con la información que se requiere, es decir, se trata de una situación que se dilucida a partir </w:t>
      </w:r>
      <w:r w:rsidR="008E0C8A">
        <w:rPr>
          <w:rFonts w:ascii="Palatino Linotype" w:eastAsia="Calibri" w:hAnsi="Palatino Linotype" w:cs="Tahoma"/>
          <w:lang w:val="es-ES_tradnl"/>
        </w:rPr>
        <w:t>de las facultades atribuidas a e</w:t>
      </w:r>
      <w:r w:rsidRPr="000362F8">
        <w:rPr>
          <w:rFonts w:ascii="Palatino Linotype" w:eastAsia="Calibri" w:hAnsi="Palatino Linotype" w:cs="Tahoma"/>
          <w:lang w:val="es-ES_tradnl"/>
        </w:rPr>
        <w:t>ste.</w:t>
      </w:r>
    </w:p>
    <w:p w14:paraId="0E1B2BDB" w14:textId="77777777" w:rsidR="006F2410" w:rsidRPr="006F2410" w:rsidRDefault="006F2410" w:rsidP="006F2410">
      <w:pPr>
        <w:spacing w:after="0" w:line="360" w:lineRule="auto"/>
        <w:contextualSpacing/>
        <w:jc w:val="both"/>
        <w:rPr>
          <w:rFonts w:ascii="Palatino Linotype" w:hAnsi="Palatino Linotype"/>
          <w:b/>
          <w:i/>
          <w:color w:val="222222"/>
        </w:rPr>
      </w:pPr>
    </w:p>
    <w:p w14:paraId="6C2B20F2" w14:textId="6225E70A" w:rsidR="00616F9C" w:rsidRDefault="00714D25" w:rsidP="002E30FB">
      <w:pPr>
        <w:spacing w:after="0" w:line="360" w:lineRule="auto"/>
        <w:contextualSpacing/>
        <w:jc w:val="both"/>
        <w:rPr>
          <w:rFonts w:ascii="Palatino Linotype" w:hAnsi="Palatino Linotype" w:cs="Arial"/>
        </w:rPr>
      </w:pPr>
      <w:r>
        <w:rPr>
          <w:rFonts w:ascii="Palatino Linotype" w:hAnsi="Palatino Linotype" w:cs="Arial"/>
        </w:rPr>
        <w:lastRenderedPageBreak/>
        <w:t xml:space="preserve">Ahora bien, </w:t>
      </w:r>
      <w:r w:rsidR="008E0C8A">
        <w:rPr>
          <w:rFonts w:ascii="Palatino Linotype" w:hAnsi="Palatino Linotype" w:cs="Arial"/>
        </w:rPr>
        <w:t xml:space="preserve">independientemente de que </w:t>
      </w:r>
      <w:r>
        <w:rPr>
          <w:rFonts w:ascii="Palatino Linotype" w:hAnsi="Palatino Linotype" w:cs="Arial"/>
        </w:rPr>
        <w:t>la Secretaría de Finanzas,</w:t>
      </w:r>
      <w:r w:rsidR="008E0C8A">
        <w:rPr>
          <w:rFonts w:ascii="Palatino Linotype" w:hAnsi="Palatino Linotype" w:cs="Arial"/>
        </w:rPr>
        <w:t xml:space="preserve"> lleve a cabo el proceso de contratación</w:t>
      </w:r>
      <w:r>
        <w:rPr>
          <w:rFonts w:ascii="Palatino Linotype" w:hAnsi="Palatino Linotype" w:cs="Arial"/>
        </w:rPr>
        <w:t xml:space="preserve"> </w:t>
      </w:r>
      <w:r w:rsidR="008E0C8A">
        <w:rPr>
          <w:rFonts w:ascii="Palatino Linotype" w:hAnsi="Palatino Linotype" w:cs="Arial"/>
        </w:rPr>
        <w:t>en caso de que el servicio se brinde a la Secretaría de Desarrollo Social, esta es competente para tener en sus archivos la información.</w:t>
      </w:r>
    </w:p>
    <w:p w14:paraId="3A5CCF8E" w14:textId="77777777" w:rsidR="00714D25" w:rsidRPr="002A76AA" w:rsidRDefault="00714D25" w:rsidP="002E30FB">
      <w:pPr>
        <w:spacing w:after="0" w:line="360" w:lineRule="auto"/>
        <w:contextualSpacing/>
        <w:jc w:val="both"/>
        <w:rPr>
          <w:rFonts w:ascii="Palatino Linotype" w:hAnsi="Palatino Linotype" w:cs="Arial"/>
        </w:rPr>
      </w:pPr>
    </w:p>
    <w:p w14:paraId="4D9BDDAC" w14:textId="0A7DDD4E" w:rsidR="00616F9C" w:rsidRPr="002A76AA" w:rsidRDefault="00616F9C" w:rsidP="002E30FB">
      <w:pPr>
        <w:spacing w:after="0" w:line="360" w:lineRule="auto"/>
        <w:contextualSpacing/>
        <w:jc w:val="both"/>
        <w:rPr>
          <w:rFonts w:ascii="Palatino Linotype" w:hAnsi="Palatino Linotype" w:cs="Arial"/>
        </w:rPr>
      </w:pPr>
      <w:r w:rsidRPr="002A76AA">
        <w:rPr>
          <w:rFonts w:ascii="Palatino Linotype" w:hAnsi="Palatino Linotype" w:cs="Arial"/>
        </w:rPr>
        <w:t>Por las razones expuestas, es claro que en el presente caso, el Sujeto Obligado no tiene la obligación de realizar la declaratoria</w:t>
      </w:r>
      <w:r w:rsidR="002A76AA">
        <w:rPr>
          <w:rFonts w:ascii="Palatino Linotype" w:hAnsi="Palatino Linotype" w:cs="Arial"/>
        </w:rPr>
        <w:t xml:space="preserve"> de incompetencia</w:t>
      </w:r>
      <w:r w:rsidRPr="002A76AA">
        <w:rPr>
          <w:rFonts w:ascii="Palatino Linotype" w:hAnsi="Palatino Linotype" w:cs="Arial"/>
        </w:rPr>
        <w:t xml:space="preserve"> por medio de </w:t>
      </w:r>
      <w:r w:rsidR="002A76AA" w:rsidRPr="002A76AA">
        <w:rPr>
          <w:rFonts w:ascii="Palatino Linotype" w:hAnsi="Palatino Linotype" w:cs="Arial"/>
        </w:rPr>
        <w:t>su Comité</w:t>
      </w:r>
      <w:r w:rsidRPr="002A76AA">
        <w:rPr>
          <w:rFonts w:ascii="Palatino Linotype" w:hAnsi="Palatino Linotype" w:cs="Arial"/>
        </w:rPr>
        <w:t>, por lo que con</w:t>
      </w:r>
      <w:r w:rsidR="000425F2">
        <w:rPr>
          <w:rFonts w:ascii="Palatino Linotype" w:hAnsi="Palatino Linotype" w:cs="Arial"/>
        </w:rPr>
        <w:t xml:space="preserve"> la </w:t>
      </w:r>
      <w:r w:rsidRPr="002A76AA">
        <w:rPr>
          <w:rFonts w:ascii="Palatino Linotype" w:hAnsi="Palatino Linotype" w:cs="Arial"/>
        </w:rPr>
        <w:t xml:space="preserve">manifestación ya realizada, </w:t>
      </w:r>
      <w:r w:rsidR="002A76AA" w:rsidRPr="002A76AA">
        <w:rPr>
          <w:rFonts w:ascii="Palatino Linotype" w:hAnsi="Palatino Linotype" w:cs="Arial"/>
        </w:rPr>
        <w:t>se debió</w:t>
      </w:r>
      <w:r w:rsidR="008E0C8A">
        <w:rPr>
          <w:rFonts w:ascii="Palatino Linotype" w:hAnsi="Palatino Linotype" w:cs="Arial"/>
        </w:rPr>
        <w:t xml:space="preserve"> haber dado por atendido el requerimiento </w:t>
      </w:r>
      <w:r w:rsidRPr="002A76AA">
        <w:rPr>
          <w:rFonts w:ascii="Palatino Linotype" w:hAnsi="Palatino Linotype" w:cs="Arial"/>
        </w:rPr>
        <w:t xml:space="preserve">realizado por el </w:t>
      </w:r>
      <w:r w:rsidR="002A76AA">
        <w:rPr>
          <w:rFonts w:ascii="Palatino Linotype" w:hAnsi="Palatino Linotype" w:cs="Arial"/>
        </w:rPr>
        <w:t>Particular.</w:t>
      </w:r>
    </w:p>
    <w:p w14:paraId="616593A8" w14:textId="77777777" w:rsidR="00616F9C" w:rsidRPr="002A76AA" w:rsidRDefault="00616F9C" w:rsidP="002E30FB">
      <w:pPr>
        <w:spacing w:after="0" w:line="360" w:lineRule="auto"/>
        <w:contextualSpacing/>
        <w:jc w:val="both"/>
        <w:rPr>
          <w:rFonts w:ascii="Palatino Linotype" w:hAnsi="Palatino Linotype" w:cs="Arial"/>
        </w:rPr>
      </w:pPr>
    </w:p>
    <w:p w14:paraId="5F9D797D" w14:textId="180213C9" w:rsidR="00FF4A39" w:rsidRPr="002A76AA" w:rsidRDefault="00C334E0" w:rsidP="00C334E0">
      <w:pPr>
        <w:spacing w:after="0" w:line="360" w:lineRule="auto"/>
        <w:jc w:val="both"/>
        <w:rPr>
          <w:rFonts w:ascii="Palatino Linotype" w:hAnsi="Palatino Linotype" w:cs="Tahoma"/>
        </w:rPr>
      </w:pPr>
      <w:r w:rsidRPr="002A76AA">
        <w:rPr>
          <w:rFonts w:ascii="Palatino Linotype" w:hAnsi="Palatino Linotype" w:cs="Tahoma"/>
          <w:bCs/>
          <w:iCs/>
        </w:rPr>
        <w:t>P</w:t>
      </w:r>
      <w:r w:rsidRPr="002A76AA">
        <w:rPr>
          <w:rFonts w:ascii="Palatino Linotype" w:hAnsi="Palatino Linotype" w:cs="Tahoma"/>
        </w:rPr>
        <w:t xml:space="preserve">or lo que, con base en los razonamientos expuestos, </w:t>
      </w:r>
      <w:r w:rsidRPr="002A76AA">
        <w:rPr>
          <w:rFonts w:ascii="Palatino Linotype" w:hAnsi="Palatino Linotype" w:cs="Tahoma"/>
          <w:b/>
        </w:rPr>
        <w:t>se emite el presente Voto Particular</w:t>
      </w:r>
      <w:r w:rsidRPr="002A76AA">
        <w:rPr>
          <w:rFonts w:ascii="Palatino Linotype" w:hAnsi="Palatino Linotype" w:cs="Tahoma"/>
        </w:rPr>
        <w:t>. ------------------------------------------------------------------------------------------------------------------------------------------------------------------------------------------------------------------------------------------------------------------------------------------------------------------------------------------------------</w:t>
      </w:r>
      <w:r w:rsidR="00543E66">
        <w:rPr>
          <w:rFonts w:ascii="Palatino Linotype" w:hAnsi="Palatino Linotype" w:cs="Tahoma"/>
        </w:rPr>
        <w:t>---</w:t>
      </w:r>
      <w:r w:rsidRPr="002A76AA">
        <w:rPr>
          <w:rFonts w:ascii="Palatino Linotype" w:hAnsi="Palatino Linotype" w:cs="Tahoma"/>
        </w:rPr>
        <w:t>---------------</w:t>
      </w:r>
    </w:p>
    <w:p w14:paraId="0A664387" w14:textId="77777777" w:rsidR="00C334E0" w:rsidRPr="002A76AA" w:rsidRDefault="00C334E0" w:rsidP="00C334E0">
      <w:pPr>
        <w:spacing w:after="0" w:line="360" w:lineRule="auto"/>
        <w:jc w:val="both"/>
        <w:rPr>
          <w:rFonts w:ascii="Palatino Linotype" w:hAnsi="Palatino Linotype" w:cs="Tahoma"/>
        </w:rPr>
      </w:pPr>
    </w:p>
    <w:p w14:paraId="103942E6" w14:textId="77777777" w:rsidR="00C334E0" w:rsidRPr="002A76AA" w:rsidRDefault="00C334E0" w:rsidP="00C334E0">
      <w:pPr>
        <w:spacing w:after="0" w:line="360" w:lineRule="auto"/>
        <w:jc w:val="both"/>
        <w:rPr>
          <w:rFonts w:ascii="Palatino Linotype" w:hAnsi="Palatino Linotype" w:cs="Tahoma"/>
        </w:rPr>
      </w:pPr>
    </w:p>
    <w:p w14:paraId="7FC83583" w14:textId="77777777" w:rsidR="00C334E0" w:rsidRPr="002A76AA" w:rsidRDefault="00C334E0" w:rsidP="00C334E0">
      <w:pPr>
        <w:spacing w:after="0" w:line="360" w:lineRule="auto"/>
        <w:jc w:val="both"/>
        <w:rPr>
          <w:rFonts w:ascii="Palatino Linotype" w:hAnsi="Palatino Linotype" w:cs="Tahoma"/>
        </w:rPr>
      </w:pPr>
    </w:p>
    <w:p w14:paraId="3EB9D920" w14:textId="77777777" w:rsidR="00C334E0" w:rsidRPr="002A76AA" w:rsidRDefault="00C334E0" w:rsidP="00C334E0">
      <w:pPr>
        <w:spacing w:after="0" w:line="360" w:lineRule="auto"/>
        <w:jc w:val="both"/>
        <w:rPr>
          <w:rFonts w:ascii="Palatino Linotype" w:hAnsi="Palatino Linotype" w:cs="Tahoma"/>
        </w:rPr>
      </w:pPr>
    </w:p>
    <w:p w14:paraId="7ACB883F" w14:textId="77777777" w:rsidR="00C334E0" w:rsidRPr="002A76AA" w:rsidRDefault="00C334E0" w:rsidP="00C334E0">
      <w:pPr>
        <w:spacing w:after="0" w:line="360" w:lineRule="auto"/>
        <w:jc w:val="both"/>
        <w:rPr>
          <w:rFonts w:ascii="Palatino Linotype" w:hAnsi="Palatino Linotype" w:cs="Tahoma"/>
        </w:rPr>
      </w:pPr>
    </w:p>
    <w:p w14:paraId="6D36E11B" w14:textId="77777777" w:rsidR="00C334E0" w:rsidRPr="002A76AA" w:rsidRDefault="00C334E0" w:rsidP="00C334E0">
      <w:pPr>
        <w:spacing w:after="0" w:line="360" w:lineRule="auto"/>
        <w:jc w:val="both"/>
        <w:rPr>
          <w:rFonts w:ascii="Palatino Linotype" w:hAnsi="Palatino Linotype" w:cs="Tahoma"/>
        </w:rPr>
      </w:pPr>
    </w:p>
    <w:p w14:paraId="6D66AB56" w14:textId="77777777" w:rsidR="00C334E0" w:rsidRPr="002A76AA" w:rsidRDefault="00C334E0" w:rsidP="00C334E0">
      <w:pPr>
        <w:spacing w:after="0" w:line="360" w:lineRule="auto"/>
        <w:jc w:val="both"/>
        <w:rPr>
          <w:rFonts w:ascii="Palatino Linotype" w:hAnsi="Palatino Linotype" w:cs="Tahoma"/>
        </w:rPr>
      </w:pPr>
    </w:p>
    <w:p w14:paraId="16C7FD0D" w14:textId="77777777" w:rsidR="00C334E0" w:rsidRPr="002A76AA" w:rsidRDefault="00C334E0" w:rsidP="00C334E0">
      <w:pPr>
        <w:spacing w:after="0" w:line="360" w:lineRule="auto"/>
        <w:jc w:val="both"/>
        <w:rPr>
          <w:rFonts w:ascii="Palatino Linotype" w:hAnsi="Palatino Linotype" w:cs="Tahoma"/>
        </w:rPr>
      </w:pPr>
    </w:p>
    <w:p w14:paraId="1143AA7A" w14:textId="77777777" w:rsidR="00C334E0" w:rsidRPr="002A76AA" w:rsidRDefault="00C334E0" w:rsidP="00C334E0">
      <w:pPr>
        <w:spacing w:after="0" w:line="360" w:lineRule="auto"/>
        <w:jc w:val="both"/>
        <w:rPr>
          <w:rFonts w:ascii="Palatino Linotype" w:hAnsi="Palatino Linotype" w:cs="Tahoma"/>
        </w:rPr>
      </w:pPr>
    </w:p>
    <w:p w14:paraId="6BEFBA1F" w14:textId="77777777" w:rsidR="00C334E0" w:rsidRPr="002A76AA" w:rsidRDefault="00C334E0" w:rsidP="00C334E0">
      <w:pPr>
        <w:spacing w:after="0" w:line="360" w:lineRule="auto"/>
        <w:jc w:val="both"/>
        <w:rPr>
          <w:rFonts w:ascii="Palatino Linotype" w:hAnsi="Palatino Linotype" w:cs="Tahoma"/>
        </w:rPr>
      </w:pPr>
    </w:p>
    <w:p w14:paraId="66C4331E" w14:textId="77777777" w:rsidR="00C334E0" w:rsidRPr="002A76AA" w:rsidRDefault="00C334E0" w:rsidP="00C334E0">
      <w:pPr>
        <w:spacing w:after="0" w:line="360" w:lineRule="auto"/>
        <w:jc w:val="both"/>
        <w:rPr>
          <w:rFonts w:ascii="Palatino Linotype" w:hAnsi="Palatino Linotype" w:cs="Tahoma"/>
        </w:rPr>
      </w:pPr>
    </w:p>
    <w:p w14:paraId="0FE9E97B" w14:textId="77777777" w:rsidR="00C334E0" w:rsidRPr="002A76AA" w:rsidRDefault="00C334E0" w:rsidP="00C334E0">
      <w:pPr>
        <w:spacing w:after="0" w:line="360" w:lineRule="auto"/>
        <w:jc w:val="both"/>
        <w:rPr>
          <w:rFonts w:ascii="Palatino Linotype" w:hAnsi="Palatino Linotype" w:cs="Tahoma"/>
        </w:rPr>
      </w:pPr>
    </w:p>
    <w:p w14:paraId="1BAED686" w14:textId="77777777" w:rsidR="00C334E0" w:rsidRPr="002A76AA" w:rsidRDefault="00C334E0" w:rsidP="00C334E0">
      <w:pPr>
        <w:spacing w:after="0" w:line="360" w:lineRule="auto"/>
        <w:jc w:val="both"/>
        <w:rPr>
          <w:rFonts w:ascii="Palatino Linotype" w:hAnsi="Palatino Linotype" w:cs="Tahoma"/>
        </w:rPr>
      </w:pPr>
    </w:p>
    <w:p w14:paraId="1D68870F" w14:textId="77777777" w:rsidR="00C334E0" w:rsidRPr="002A76AA" w:rsidRDefault="00C334E0" w:rsidP="00C334E0">
      <w:pPr>
        <w:spacing w:after="0" w:line="360" w:lineRule="auto"/>
        <w:jc w:val="both"/>
        <w:rPr>
          <w:rFonts w:ascii="Palatino Linotype" w:hAnsi="Palatino Linotype" w:cs="Tahoma"/>
        </w:rPr>
      </w:pPr>
    </w:p>
    <w:p w14:paraId="4E11FCA7" w14:textId="77777777" w:rsidR="00C334E0" w:rsidRPr="002A76AA" w:rsidRDefault="00C334E0" w:rsidP="00C334E0">
      <w:pPr>
        <w:spacing w:after="0" w:line="360" w:lineRule="auto"/>
        <w:jc w:val="both"/>
        <w:rPr>
          <w:rFonts w:ascii="Palatino Linotype" w:hAnsi="Palatino Linotype" w:cs="Tahoma"/>
        </w:rPr>
      </w:pPr>
    </w:p>
    <w:p w14:paraId="231660F8" w14:textId="77777777" w:rsidR="00C334E0" w:rsidRPr="002A76AA" w:rsidRDefault="00C334E0" w:rsidP="00C334E0">
      <w:pPr>
        <w:spacing w:after="0" w:line="360" w:lineRule="auto"/>
        <w:jc w:val="both"/>
        <w:rPr>
          <w:rFonts w:ascii="Palatino Linotype" w:hAnsi="Palatino Linotype" w:cs="Tahoma"/>
        </w:rPr>
      </w:pPr>
    </w:p>
    <w:p w14:paraId="2C92DCD1" w14:textId="77777777" w:rsidR="00C334E0" w:rsidRPr="002A76AA" w:rsidRDefault="00C334E0" w:rsidP="00C334E0">
      <w:pPr>
        <w:spacing w:after="0" w:line="360" w:lineRule="auto"/>
        <w:jc w:val="both"/>
        <w:rPr>
          <w:rFonts w:ascii="Palatino Linotype" w:hAnsi="Palatino Linotype" w:cs="Tahoma"/>
        </w:rPr>
      </w:pPr>
    </w:p>
    <w:p w14:paraId="192E05C9" w14:textId="77777777" w:rsidR="00C334E0" w:rsidRPr="002A76AA" w:rsidRDefault="00C334E0" w:rsidP="00C334E0">
      <w:pPr>
        <w:spacing w:after="0" w:line="360" w:lineRule="auto"/>
        <w:jc w:val="both"/>
        <w:rPr>
          <w:rFonts w:ascii="Palatino Linotype" w:hAnsi="Palatino Linotype" w:cs="Tahoma"/>
        </w:rPr>
      </w:pPr>
    </w:p>
    <w:p w14:paraId="15A0AAEB" w14:textId="77777777" w:rsidR="00C334E0" w:rsidRPr="002A76AA" w:rsidRDefault="00C334E0" w:rsidP="00C334E0">
      <w:pPr>
        <w:spacing w:after="0" w:line="360" w:lineRule="auto"/>
        <w:jc w:val="both"/>
        <w:rPr>
          <w:rFonts w:ascii="Palatino Linotype" w:hAnsi="Palatino Linotype" w:cs="Tahoma"/>
        </w:rPr>
      </w:pPr>
    </w:p>
    <w:p w14:paraId="4FC9A401" w14:textId="77777777" w:rsidR="00C334E0" w:rsidRPr="002A76AA" w:rsidRDefault="00C334E0" w:rsidP="00C334E0">
      <w:pPr>
        <w:spacing w:after="0" w:line="360" w:lineRule="auto"/>
        <w:jc w:val="both"/>
        <w:rPr>
          <w:rFonts w:ascii="Palatino Linotype" w:hAnsi="Palatino Linotype" w:cs="Tahoma"/>
        </w:rPr>
      </w:pPr>
    </w:p>
    <w:p w14:paraId="05A5A1C5" w14:textId="77777777" w:rsidR="00C334E0" w:rsidRPr="002A76AA" w:rsidRDefault="00C334E0" w:rsidP="00C334E0">
      <w:pPr>
        <w:spacing w:after="0" w:line="360" w:lineRule="auto"/>
        <w:jc w:val="both"/>
        <w:rPr>
          <w:rFonts w:ascii="Palatino Linotype" w:hAnsi="Palatino Linotype" w:cs="Tahoma"/>
        </w:rPr>
      </w:pPr>
    </w:p>
    <w:p w14:paraId="3E3BA928" w14:textId="77777777" w:rsidR="00C334E0" w:rsidRPr="002A76AA" w:rsidRDefault="00C334E0" w:rsidP="00C334E0">
      <w:pPr>
        <w:spacing w:after="0" w:line="360" w:lineRule="auto"/>
        <w:jc w:val="both"/>
        <w:rPr>
          <w:rFonts w:ascii="Palatino Linotype" w:hAnsi="Palatino Linotype" w:cs="Tahoma"/>
        </w:rPr>
      </w:pPr>
    </w:p>
    <w:p w14:paraId="11D52BEA" w14:textId="77777777" w:rsidR="00C334E0" w:rsidRPr="002A76AA" w:rsidRDefault="00C334E0" w:rsidP="00C334E0">
      <w:pPr>
        <w:spacing w:after="0" w:line="360" w:lineRule="auto"/>
        <w:jc w:val="both"/>
        <w:rPr>
          <w:rFonts w:ascii="Palatino Linotype" w:eastAsia="Palatino Linotype" w:hAnsi="Palatino Linotype" w:cs="Palatino Linotype"/>
        </w:rPr>
      </w:pPr>
    </w:p>
    <w:sectPr w:rsidR="00C334E0" w:rsidRPr="002A76AA" w:rsidSect="008E1028">
      <w:headerReference w:type="even" r:id="rId8"/>
      <w:headerReference w:type="default" r:id="rId9"/>
      <w:footerReference w:type="default" r:id="rId10"/>
      <w:headerReference w:type="first" r:id="rId11"/>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B60F6" w14:textId="77777777" w:rsidR="00E823A2" w:rsidRDefault="00E823A2" w:rsidP="00A80C30">
      <w:pPr>
        <w:spacing w:after="0" w:line="240" w:lineRule="auto"/>
      </w:pPr>
      <w:r>
        <w:separator/>
      </w:r>
    </w:p>
  </w:endnote>
  <w:endnote w:type="continuationSeparator" w:id="0">
    <w:p w14:paraId="2D424D1D" w14:textId="77777777" w:rsidR="00E823A2" w:rsidRDefault="00E823A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041A02"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43E66">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43E66">
              <w:rPr>
                <w:b/>
                <w:bCs/>
                <w:noProof/>
              </w:rPr>
              <w:t>7</w:t>
            </w:r>
            <w:r>
              <w:rPr>
                <w:b/>
                <w:bCs/>
                <w:sz w:val="24"/>
                <w:szCs w:val="24"/>
              </w:rPr>
              <w:fldChar w:fldCharType="end"/>
            </w:r>
          </w:p>
        </w:sdtContent>
      </w:sdt>
    </w:sdtContent>
  </w:sdt>
  <w:p w14:paraId="3B9A91BE" w14:textId="77777777" w:rsidR="00041A02" w:rsidRDefault="00041A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3C47" w14:textId="77777777" w:rsidR="00E823A2" w:rsidRDefault="00E823A2" w:rsidP="00A80C30">
      <w:pPr>
        <w:spacing w:after="0" w:line="240" w:lineRule="auto"/>
      </w:pPr>
      <w:r>
        <w:separator/>
      </w:r>
    </w:p>
  </w:footnote>
  <w:footnote w:type="continuationSeparator" w:id="0">
    <w:p w14:paraId="2B2F0308" w14:textId="77777777" w:rsidR="00E823A2" w:rsidRDefault="00E823A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E823A2">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45"/>
    </w:tblGrid>
    <w:tr w:rsidR="00041A02" w:rsidRPr="001106EA" w14:paraId="586042BD" w14:textId="77777777" w:rsidTr="00170B26">
      <w:trPr>
        <w:trHeight w:val="1843"/>
      </w:trPr>
      <w:tc>
        <w:tcPr>
          <w:tcW w:w="3686" w:type="dxa"/>
          <w:vAlign w:val="bottom"/>
        </w:tcPr>
        <w:p w14:paraId="608D88A2" w14:textId="77777777" w:rsidR="00041A02" w:rsidRDefault="001F75E5" w:rsidP="009059A6">
          <w:pPr>
            <w:pStyle w:val="Encabezado"/>
            <w:tabs>
              <w:tab w:val="clear" w:pos="4252"/>
              <w:tab w:val="clear" w:pos="8504"/>
              <w:tab w:val="center" w:pos="2614"/>
              <w:tab w:val="right" w:pos="3615"/>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245" w:type="dxa"/>
          <w:vAlign w:val="center"/>
        </w:tcPr>
        <w:p w14:paraId="3EB2428F" w14:textId="77777777" w:rsidR="00041A02"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28B1391" w14:textId="77777777" w:rsidR="001528DA"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1528DA">
            <w:rPr>
              <w:rFonts w:ascii="Palatino Linotype" w:hAnsi="Palatino Linotype"/>
              <w:lang w:val="es-MX"/>
            </w:rPr>
            <w:t>13750</w:t>
          </w:r>
          <w:r w:rsidR="00D24C5F">
            <w:rPr>
              <w:rFonts w:ascii="Palatino Linotype" w:hAnsi="Palatino Linotype"/>
              <w:lang w:val="es-MX"/>
            </w:rPr>
            <w:t>/INFOEM/IP/RR/202</w:t>
          </w:r>
          <w:r w:rsidR="001528DA">
            <w:rPr>
              <w:rFonts w:ascii="Palatino Linotype" w:hAnsi="Palatino Linotype"/>
              <w:lang w:val="es-MX"/>
            </w:rPr>
            <w:t>2 y acumulados</w:t>
          </w:r>
        </w:p>
        <w:p w14:paraId="20A1EB01" w14:textId="2EBFE39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528DA" w:rsidRPr="001528DA">
            <w:rPr>
              <w:rFonts w:ascii="Palatino Linotype" w:hAnsi="Palatino Linotype"/>
              <w:bCs/>
              <w:lang w:val="es-MX"/>
            </w:rPr>
            <w:t>Secretaría de Desarrollo Social</w:t>
          </w:r>
        </w:p>
        <w:p w14:paraId="7EC14AD1" w14:textId="3A29EE2D"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1528DA" w:rsidRPr="001528DA">
            <w:rPr>
              <w:rFonts w:ascii="Palatino Linotype" w:hAnsi="Palatino Linotype" w:cs="Arial"/>
              <w:szCs w:val="20"/>
            </w:rPr>
            <w:t>José Martínez Vilchis</w:t>
          </w:r>
        </w:p>
      </w:tc>
    </w:tr>
  </w:tbl>
  <w:p w14:paraId="7FED2E96" w14:textId="7C7A50E1" w:rsidR="00041A02" w:rsidRPr="001106EA" w:rsidRDefault="00E823A2">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E823A2">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78BB712F"/>
    <w:multiLevelType w:val="hybridMultilevel"/>
    <w:tmpl w:val="9446EC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16A23"/>
    <w:rsid w:val="000253E8"/>
    <w:rsid w:val="000362F8"/>
    <w:rsid w:val="00041A02"/>
    <w:rsid w:val="000425F2"/>
    <w:rsid w:val="0004695A"/>
    <w:rsid w:val="00047ED8"/>
    <w:rsid w:val="00072226"/>
    <w:rsid w:val="00080A4E"/>
    <w:rsid w:val="00082310"/>
    <w:rsid w:val="000E09CA"/>
    <w:rsid w:val="00100065"/>
    <w:rsid w:val="001528DA"/>
    <w:rsid w:val="00170B26"/>
    <w:rsid w:val="001830C9"/>
    <w:rsid w:val="001971A0"/>
    <w:rsid w:val="001E1EEB"/>
    <w:rsid w:val="001E67D6"/>
    <w:rsid w:val="001F75E5"/>
    <w:rsid w:val="00201C91"/>
    <w:rsid w:val="0023103D"/>
    <w:rsid w:val="00271E8A"/>
    <w:rsid w:val="00285C7B"/>
    <w:rsid w:val="002A76AA"/>
    <w:rsid w:val="002B6723"/>
    <w:rsid w:val="002D1226"/>
    <w:rsid w:val="002D6AB3"/>
    <w:rsid w:val="002E30FB"/>
    <w:rsid w:val="002F4CEB"/>
    <w:rsid w:val="00304A0F"/>
    <w:rsid w:val="00307AEF"/>
    <w:rsid w:val="00314859"/>
    <w:rsid w:val="0035560C"/>
    <w:rsid w:val="003B390E"/>
    <w:rsid w:val="003C5C88"/>
    <w:rsid w:val="003E56C5"/>
    <w:rsid w:val="003F01AA"/>
    <w:rsid w:val="0041154F"/>
    <w:rsid w:val="004134DC"/>
    <w:rsid w:val="00423574"/>
    <w:rsid w:val="00427F85"/>
    <w:rsid w:val="004412C6"/>
    <w:rsid w:val="004474C6"/>
    <w:rsid w:val="004738C3"/>
    <w:rsid w:val="004742DA"/>
    <w:rsid w:val="00486BD3"/>
    <w:rsid w:val="00494387"/>
    <w:rsid w:val="004A7A76"/>
    <w:rsid w:val="004B0AD1"/>
    <w:rsid w:val="004C0D87"/>
    <w:rsid w:val="004C1C08"/>
    <w:rsid w:val="004C7D91"/>
    <w:rsid w:val="004D26F6"/>
    <w:rsid w:val="004E5EAD"/>
    <w:rsid w:val="004E6CE4"/>
    <w:rsid w:val="00506560"/>
    <w:rsid w:val="00506AB5"/>
    <w:rsid w:val="00533E57"/>
    <w:rsid w:val="00541BAC"/>
    <w:rsid w:val="00543C9A"/>
    <w:rsid w:val="00543E66"/>
    <w:rsid w:val="00553BFA"/>
    <w:rsid w:val="005974CA"/>
    <w:rsid w:val="005B508B"/>
    <w:rsid w:val="005F3E6E"/>
    <w:rsid w:val="00601591"/>
    <w:rsid w:val="00616F9C"/>
    <w:rsid w:val="00636765"/>
    <w:rsid w:val="006408E2"/>
    <w:rsid w:val="00653BB4"/>
    <w:rsid w:val="006827ED"/>
    <w:rsid w:val="00684986"/>
    <w:rsid w:val="00686864"/>
    <w:rsid w:val="00690441"/>
    <w:rsid w:val="00690802"/>
    <w:rsid w:val="00691A36"/>
    <w:rsid w:val="006A7801"/>
    <w:rsid w:val="006C2B09"/>
    <w:rsid w:val="006D733D"/>
    <w:rsid w:val="006F2410"/>
    <w:rsid w:val="00714D25"/>
    <w:rsid w:val="00716333"/>
    <w:rsid w:val="00756729"/>
    <w:rsid w:val="007979CA"/>
    <w:rsid w:val="007C326D"/>
    <w:rsid w:val="007C483E"/>
    <w:rsid w:val="007F32AC"/>
    <w:rsid w:val="00823E1B"/>
    <w:rsid w:val="0083177F"/>
    <w:rsid w:val="00833C20"/>
    <w:rsid w:val="00834C09"/>
    <w:rsid w:val="0084013C"/>
    <w:rsid w:val="00842979"/>
    <w:rsid w:val="0086164B"/>
    <w:rsid w:val="00864A25"/>
    <w:rsid w:val="00873EAB"/>
    <w:rsid w:val="0089545F"/>
    <w:rsid w:val="008C507B"/>
    <w:rsid w:val="008C5093"/>
    <w:rsid w:val="008E0C8A"/>
    <w:rsid w:val="008E1028"/>
    <w:rsid w:val="008E2746"/>
    <w:rsid w:val="008F78B8"/>
    <w:rsid w:val="009059A6"/>
    <w:rsid w:val="00913F1E"/>
    <w:rsid w:val="00922026"/>
    <w:rsid w:val="00926BCA"/>
    <w:rsid w:val="00940F06"/>
    <w:rsid w:val="00944252"/>
    <w:rsid w:val="00957CF3"/>
    <w:rsid w:val="00960C5A"/>
    <w:rsid w:val="00961702"/>
    <w:rsid w:val="009926AF"/>
    <w:rsid w:val="009B2079"/>
    <w:rsid w:val="009C33A4"/>
    <w:rsid w:val="009C6B45"/>
    <w:rsid w:val="009D10D6"/>
    <w:rsid w:val="009F23B2"/>
    <w:rsid w:val="00A17634"/>
    <w:rsid w:val="00A17F80"/>
    <w:rsid w:val="00A21473"/>
    <w:rsid w:val="00A42EA6"/>
    <w:rsid w:val="00A54CCC"/>
    <w:rsid w:val="00A72226"/>
    <w:rsid w:val="00A80C30"/>
    <w:rsid w:val="00A9782A"/>
    <w:rsid w:val="00AA3F1A"/>
    <w:rsid w:val="00AD0D45"/>
    <w:rsid w:val="00AE6E11"/>
    <w:rsid w:val="00AF1A41"/>
    <w:rsid w:val="00AF5CE0"/>
    <w:rsid w:val="00AF77D3"/>
    <w:rsid w:val="00B4017F"/>
    <w:rsid w:val="00B43526"/>
    <w:rsid w:val="00B463E2"/>
    <w:rsid w:val="00B55282"/>
    <w:rsid w:val="00B80272"/>
    <w:rsid w:val="00B82D78"/>
    <w:rsid w:val="00BA54EE"/>
    <w:rsid w:val="00C00E77"/>
    <w:rsid w:val="00C334E0"/>
    <w:rsid w:val="00C60C1A"/>
    <w:rsid w:val="00C71252"/>
    <w:rsid w:val="00C75F6B"/>
    <w:rsid w:val="00C95BF3"/>
    <w:rsid w:val="00CA08AE"/>
    <w:rsid w:val="00CA3EE9"/>
    <w:rsid w:val="00CB36F3"/>
    <w:rsid w:val="00CC3620"/>
    <w:rsid w:val="00CD7937"/>
    <w:rsid w:val="00CF620A"/>
    <w:rsid w:val="00D167E0"/>
    <w:rsid w:val="00D224A0"/>
    <w:rsid w:val="00D24C5F"/>
    <w:rsid w:val="00D32F08"/>
    <w:rsid w:val="00D423A8"/>
    <w:rsid w:val="00D51BFD"/>
    <w:rsid w:val="00D53681"/>
    <w:rsid w:val="00D5495B"/>
    <w:rsid w:val="00D6254E"/>
    <w:rsid w:val="00D6745A"/>
    <w:rsid w:val="00DB121C"/>
    <w:rsid w:val="00DB263D"/>
    <w:rsid w:val="00DD5D61"/>
    <w:rsid w:val="00DD7696"/>
    <w:rsid w:val="00E31450"/>
    <w:rsid w:val="00E43FEA"/>
    <w:rsid w:val="00E67710"/>
    <w:rsid w:val="00E678EF"/>
    <w:rsid w:val="00E7322A"/>
    <w:rsid w:val="00E823A2"/>
    <w:rsid w:val="00E878DE"/>
    <w:rsid w:val="00EB135A"/>
    <w:rsid w:val="00EE7B51"/>
    <w:rsid w:val="00EF470A"/>
    <w:rsid w:val="00F04F7C"/>
    <w:rsid w:val="00F1426D"/>
    <w:rsid w:val="00F15708"/>
    <w:rsid w:val="00F17B52"/>
    <w:rsid w:val="00F17E86"/>
    <w:rsid w:val="00F34C61"/>
    <w:rsid w:val="00F35BFB"/>
    <w:rsid w:val="00F84B95"/>
    <w:rsid w:val="00F92C5D"/>
    <w:rsid w:val="00FB0274"/>
    <w:rsid w:val="00FC3DE6"/>
    <w:rsid w:val="00FD2937"/>
    <w:rsid w:val="00FE1F0D"/>
    <w:rsid w:val="00FF4A3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A91CC4A0-AA27-4B7B-A198-F162A00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47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2125">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278947426">
      <w:bodyDiv w:val="1"/>
      <w:marLeft w:val="0"/>
      <w:marRight w:val="0"/>
      <w:marTop w:val="0"/>
      <w:marBottom w:val="0"/>
      <w:divBdr>
        <w:top w:val="none" w:sz="0" w:space="0" w:color="auto"/>
        <w:left w:val="none" w:sz="0" w:space="0" w:color="auto"/>
        <w:bottom w:val="none" w:sz="0" w:space="0" w:color="auto"/>
        <w:right w:val="none" w:sz="0" w:space="0" w:color="auto"/>
      </w:divBdr>
    </w:div>
    <w:div w:id="1579512346">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695500502">
      <w:bodyDiv w:val="1"/>
      <w:marLeft w:val="0"/>
      <w:marRight w:val="0"/>
      <w:marTop w:val="0"/>
      <w:marBottom w:val="0"/>
      <w:divBdr>
        <w:top w:val="none" w:sz="0" w:space="0" w:color="auto"/>
        <w:left w:val="none" w:sz="0" w:space="0" w:color="auto"/>
        <w:bottom w:val="none" w:sz="0" w:space="0" w:color="auto"/>
        <w:right w:val="none" w:sz="0" w:space="0" w:color="auto"/>
      </w:divBdr>
    </w:div>
    <w:div w:id="18443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1504</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Cuenta Microsoft</cp:lastModifiedBy>
  <cp:revision>5</cp:revision>
  <cp:lastPrinted>2022-01-17T19:14:00Z</cp:lastPrinted>
  <dcterms:created xsi:type="dcterms:W3CDTF">2023-07-07T15:23:00Z</dcterms:created>
  <dcterms:modified xsi:type="dcterms:W3CDTF">2023-07-10T14:57:00Z</dcterms:modified>
</cp:coreProperties>
</file>