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8B5B" w14:textId="5BCA11E0" w:rsidR="00342EE6" w:rsidRPr="00800B69" w:rsidRDefault="000D4690" w:rsidP="00800B69">
      <w:pPr>
        <w:pStyle w:val="Encabezado"/>
        <w:spacing w:line="360" w:lineRule="auto"/>
        <w:ind w:right="49"/>
        <w:jc w:val="both"/>
        <w:rPr>
          <w:rFonts w:ascii="Palatino Linotype" w:hAnsi="Palatino Linotype" w:cs="Tahoma"/>
          <w:b/>
        </w:rPr>
      </w:pPr>
      <w:r w:rsidRPr="00800B69">
        <w:rPr>
          <w:rFonts w:ascii="Palatino Linotype" w:hAnsi="Palatino Linotype" w:cs="Tahoma"/>
          <w:b/>
        </w:rPr>
        <w:t>VOTO DISIDENTE</w:t>
      </w:r>
      <w:r w:rsidR="00F94FED" w:rsidRPr="00800B69">
        <w:rPr>
          <w:rFonts w:ascii="Palatino Linotype" w:hAnsi="Palatino Linotype" w:cs="Tahoma"/>
          <w:b/>
        </w:rPr>
        <w:t xml:space="preserve"> </w:t>
      </w:r>
      <w:r w:rsidRPr="00800B69">
        <w:rPr>
          <w:rFonts w:ascii="Palatino Linotype" w:hAnsi="Palatino Linotype" w:cs="Tahoma"/>
          <w:b/>
        </w:rPr>
        <w:t xml:space="preserve">QUE FORMULA </w:t>
      </w:r>
      <w:r w:rsidR="002E41A9" w:rsidRPr="00800B69">
        <w:rPr>
          <w:rFonts w:ascii="Palatino Linotype" w:hAnsi="Palatino Linotype" w:cs="Tahoma"/>
          <w:b/>
        </w:rPr>
        <w:t>EL</w:t>
      </w:r>
      <w:r w:rsidRPr="00800B69">
        <w:rPr>
          <w:rFonts w:ascii="Palatino Linotype" w:hAnsi="Palatino Linotype" w:cs="Tahoma"/>
          <w:b/>
        </w:rPr>
        <w:t xml:space="preserve"> COMISIONADO LUIS GUSTAVO PARRA NORIEGA, A LA RESOLUCIÓN DEL RECURSO DE REVISIÓN </w:t>
      </w:r>
      <w:r w:rsidR="002E41A9" w:rsidRPr="00800B69">
        <w:rPr>
          <w:rFonts w:ascii="Palatino Linotype" w:hAnsi="Palatino Linotype" w:cs="Tahoma"/>
          <w:b/>
        </w:rPr>
        <w:t>02710</w:t>
      </w:r>
      <w:r w:rsidRPr="00800B69">
        <w:rPr>
          <w:rFonts w:ascii="Palatino Linotype" w:hAnsi="Palatino Linotype" w:cs="Tahoma"/>
          <w:b/>
        </w:rPr>
        <w:t>/INFOEM/IP/RR/2022, PROMOVIDO EN CONTRA DEL PODER LEGISLATIVO.</w:t>
      </w:r>
    </w:p>
    <w:p w14:paraId="40A190B1" w14:textId="77777777" w:rsidR="000D4690" w:rsidRPr="00800B69" w:rsidRDefault="000D4690" w:rsidP="00800B69">
      <w:pPr>
        <w:pStyle w:val="Encabezado"/>
        <w:spacing w:line="360" w:lineRule="auto"/>
        <w:ind w:right="49"/>
        <w:jc w:val="both"/>
        <w:rPr>
          <w:rFonts w:ascii="Palatino Linotype" w:hAnsi="Palatino Linotype" w:cs="Tahoma"/>
        </w:rPr>
      </w:pPr>
    </w:p>
    <w:p w14:paraId="454829E5" w14:textId="721C97FD" w:rsidR="00F84B95" w:rsidRPr="00800B69" w:rsidRDefault="00342EE6" w:rsidP="00800B69">
      <w:pPr>
        <w:pStyle w:val="Encabezado"/>
        <w:spacing w:line="360" w:lineRule="auto"/>
        <w:ind w:right="49"/>
        <w:jc w:val="both"/>
        <w:rPr>
          <w:rFonts w:ascii="Palatino Linotype" w:hAnsi="Palatino Linotype" w:cs="Tahoma"/>
          <w:b/>
        </w:rPr>
      </w:pPr>
      <w:r w:rsidRPr="00800B69">
        <w:rPr>
          <w:rFonts w:ascii="Palatino Linotype" w:hAnsi="Palatino Linotype" w:cs="Tahoma"/>
        </w:rPr>
        <w:t xml:space="preserve">El Pleno del Instituto de Transparencia, Acceso a la Información Pública y Protección de Datos Personales del Estado de México resolvió por mayoría de votos, la Resolución relativa al Recurso de Revisión </w:t>
      </w:r>
      <w:r w:rsidR="002E41A9" w:rsidRPr="00800B69">
        <w:rPr>
          <w:rFonts w:ascii="Palatino Linotype" w:hAnsi="Palatino Linotype" w:cs="Tahoma"/>
          <w:b/>
          <w:bCs/>
        </w:rPr>
        <w:t>02710</w:t>
      </w:r>
      <w:r w:rsidR="00D25706" w:rsidRPr="00800B69">
        <w:rPr>
          <w:rFonts w:ascii="Palatino Linotype" w:hAnsi="Palatino Linotype" w:cs="Tahoma"/>
          <w:b/>
          <w:bCs/>
        </w:rPr>
        <w:t>/INFOEM/IP/RR/</w:t>
      </w:r>
      <w:r w:rsidR="002E41A9" w:rsidRPr="00800B69">
        <w:rPr>
          <w:rFonts w:ascii="Palatino Linotype" w:hAnsi="Palatino Linotype" w:cs="Tahoma"/>
          <w:b/>
          <w:bCs/>
        </w:rPr>
        <w:t>2023</w:t>
      </w:r>
      <w:r w:rsidRPr="00800B69">
        <w:rPr>
          <w:rFonts w:ascii="Palatino Linotype" w:hAnsi="Palatino Linotype" w:cs="Tahoma"/>
        </w:rPr>
        <w:t>,</w:t>
      </w:r>
      <w:r w:rsidR="002E41A9" w:rsidRPr="00800B69">
        <w:rPr>
          <w:rFonts w:ascii="Palatino Linotype" w:hAnsi="Palatino Linotype" w:cs="Tahoma"/>
        </w:rPr>
        <w:t xml:space="preserve"> </w:t>
      </w:r>
      <w:r w:rsidRPr="00800B69">
        <w:rPr>
          <w:rFonts w:ascii="Palatino Linotype" w:hAnsi="Palatino Linotype" w:cs="Tahoma"/>
        </w:rPr>
        <w:t>presentada po</w:t>
      </w:r>
      <w:r w:rsidR="002E41A9" w:rsidRPr="00800B69">
        <w:rPr>
          <w:rFonts w:ascii="Palatino Linotype" w:hAnsi="Palatino Linotype" w:cs="Tahoma"/>
        </w:rPr>
        <w:t>r el Comisionado Presidente José Martínez Vilchis</w:t>
      </w:r>
      <w:r w:rsidRPr="00800B69">
        <w:rPr>
          <w:rFonts w:ascii="Palatino Linotype" w:hAnsi="Palatino Linotype" w:cs="Tahoma"/>
        </w:rPr>
        <w:t>, respecto de la cual</w:t>
      </w:r>
      <w:r w:rsidR="002E41A9" w:rsidRPr="00800B69">
        <w:rPr>
          <w:rFonts w:ascii="Palatino Linotype" w:hAnsi="Palatino Linotype" w:cs="Tahoma"/>
        </w:rPr>
        <w:t>,</w:t>
      </w:r>
      <w:r w:rsidRPr="00800B69">
        <w:rPr>
          <w:rFonts w:ascii="Palatino Linotype" w:hAnsi="Palatino Linotype" w:cs="Tahoma"/>
        </w:rPr>
        <w:t xml:space="preserve"> </w:t>
      </w:r>
      <w:r w:rsidR="002E41A9" w:rsidRPr="00800B69">
        <w:rPr>
          <w:rFonts w:ascii="Palatino Linotype" w:hAnsi="Palatino Linotype" w:cs="Tahoma"/>
        </w:rPr>
        <w:t>el</w:t>
      </w:r>
      <w:r w:rsidR="000D4690" w:rsidRPr="00800B69">
        <w:rPr>
          <w:rFonts w:ascii="Palatino Linotype" w:hAnsi="Palatino Linotype" w:cs="Tahoma"/>
        </w:rPr>
        <w:t xml:space="preserve"> Comisionado</w:t>
      </w:r>
      <w:r w:rsidR="002E41A9" w:rsidRPr="00800B69">
        <w:rPr>
          <w:rFonts w:ascii="Palatino Linotype" w:hAnsi="Palatino Linotype" w:cs="Tahoma"/>
        </w:rPr>
        <w:t xml:space="preserve"> </w:t>
      </w:r>
      <w:r w:rsidRPr="00800B69">
        <w:rPr>
          <w:rFonts w:ascii="Palatino Linotype" w:hAnsi="Palatino Linotype" w:cs="Tahoma"/>
        </w:rPr>
        <w:t>Luis Gustavo Parra Noriega, emite Voto Disidente</w:t>
      </w:r>
      <w:r w:rsidR="00F94FED" w:rsidRPr="00800B69">
        <w:rPr>
          <w:rFonts w:ascii="Palatino Linotype" w:hAnsi="Palatino Linotype" w:cs="Tahoma"/>
        </w:rPr>
        <w:t xml:space="preserve"> </w:t>
      </w:r>
      <w:r w:rsidRPr="00800B69">
        <w:rPr>
          <w:rFonts w:ascii="Palatino Linotype" w:hAnsi="Palatino Linotype" w:cs="Tahoma"/>
        </w:rPr>
        <w:t>e</w:t>
      </w:r>
      <w:r w:rsidR="0046182D" w:rsidRPr="00800B69">
        <w:rPr>
          <w:rFonts w:ascii="Palatino Linotype" w:hAnsi="Palatino Linotype" w:cs="Tahoma"/>
        </w:rPr>
        <w:t xml:space="preserv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w:t>
      </w:r>
      <w:r w:rsidR="00C66575" w:rsidRPr="00800B69">
        <w:rPr>
          <w:rFonts w:ascii="Palatino Linotype" w:hAnsi="Palatino Linotype" w:cs="Tahoma"/>
        </w:rPr>
        <w:t>XIX</w:t>
      </w:r>
      <w:r w:rsidR="0046182D" w:rsidRPr="00800B69">
        <w:rPr>
          <w:rFonts w:ascii="Palatino Linotype" w:hAnsi="Palatino Linotype" w:cs="Tahoma"/>
        </w:rPr>
        <w:t xml:space="preserve">, 45, 48, fracción </w:t>
      </w:r>
      <w:r w:rsidR="00C66575" w:rsidRPr="00800B69">
        <w:rPr>
          <w:rFonts w:ascii="Palatino Linotype" w:hAnsi="Palatino Linotype" w:cs="Tahoma"/>
        </w:rPr>
        <w:t>I</w:t>
      </w:r>
      <w:r w:rsidR="0046182D" w:rsidRPr="00800B69">
        <w:rPr>
          <w:rFonts w:ascii="Palatino Linotype" w:hAnsi="Palatino Linotype" w:cs="Tahoma"/>
        </w:rPr>
        <w:t>I, de los Lineamientos para el funcionamiento del Pleno y las Comisiones del Instituto de Transparencia, Acceso a la Información Pública y Protección de Datos Personales del Estado de México y Municipios</w:t>
      </w:r>
      <w:r w:rsidRPr="00800B69">
        <w:rPr>
          <w:rFonts w:ascii="Palatino Linotype" w:hAnsi="Palatino Linotype" w:cs="Tahoma"/>
        </w:rPr>
        <w:t>.</w:t>
      </w:r>
    </w:p>
    <w:p w14:paraId="7C7C0876" w14:textId="77777777" w:rsidR="00F84B95" w:rsidRPr="00800B69" w:rsidRDefault="00F84B95" w:rsidP="00800B69">
      <w:pPr>
        <w:spacing w:after="0" w:line="360" w:lineRule="auto"/>
        <w:jc w:val="both"/>
        <w:rPr>
          <w:rFonts w:ascii="Palatino Linotype" w:hAnsi="Palatino Linotype" w:cs="Tahoma"/>
        </w:rPr>
      </w:pPr>
    </w:p>
    <w:p w14:paraId="058CB7E0" w14:textId="79E5F344" w:rsidR="00F94FED" w:rsidRPr="00800B69" w:rsidRDefault="000D4690" w:rsidP="00800B69">
      <w:pPr>
        <w:spacing w:after="0" w:line="360" w:lineRule="auto"/>
        <w:jc w:val="both"/>
        <w:rPr>
          <w:rFonts w:ascii="Palatino Linotype" w:hAnsi="Palatino Linotype" w:cs="Tahoma"/>
        </w:rPr>
      </w:pPr>
      <w:r w:rsidRPr="00800B69">
        <w:rPr>
          <w:rFonts w:ascii="Palatino Linotype" w:hAnsi="Palatino Linotype" w:cs="Tahoma"/>
        </w:rPr>
        <w:t xml:space="preserve">Como se desprende de la Resolución que nos ocupa, el Solicitante requirió </w:t>
      </w:r>
      <w:r w:rsidR="002E41A9" w:rsidRPr="00800B69">
        <w:rPr>
          <w:rFonts w:ascii="Palatino Linotype" w:hAnsi="Palatino Linotype" w:cs="Tahoma"/>
        </w:rPr>
        <w:t xml:space="preserve">el informe mensual </w:t>
      </w:r>
      <w:r w:rsidR="002E41A9" w:rsidRPr="00800B69">
        <w:rPr>
          <w:rFonts w:ascii="Palatino Linotype" w:hAnsi="Palatino Linotype" w:cs="Tahoma"/>
        </w:rPr>
        <w:t>del mes de enero del ejercicio dos mil catorce, entregado al Órgano Superior de Fiscalización del Estado de México</w:t>
      </w:r>
      <w:r w:rsidR="002E41A9" w:rsidRPr="00800B69">
        <w:rPr>
          <w:rFonts w:ascii="Palatino Linotype" w:hAnsi="Palatino Linotype" w:cs="Tahoma"/>
        </w:rPr>
        <w:t xml:space="preserve">, </w:t>
      </w:r>
      <w:r w:rsidR="002E41A9" w:rsidRPr="00800B69">
        <w:rPr>
          <w:rFonts w:ascii="Palatino Linotype" w:hAnsi="Palatino Linotype" w:cs="Tahoma"/>
        </w:rPr>
        <w:t>por el</w:t>
      </w:r>
      <w:r w:rsidR="002E41A9" w:rsidRPr="00800B69">
        <w:rPr>
          <w:rFonts w:ascii="Palatino Linotype" w:hAnsi="Palatino Linotype" w:cs="Tahoma"/>
        </w:rPr>
        <w:t xml:space="preserve"> Municipio de </w:t>
      </w:r>
      <w:r w:rsidR="002E41A9" w:rsidRPr="00800B69">
        <w:rPr>
          <w:rFonts w:ascii="Palatino Linotype" w:hAnsi="Palatino Linotype" w:cs="Tahoma"/>
        </w:rPr>
        <w:t>Atizapán</w:t>
      </w:r>
      <w:r w:rsidR="002E41A9" w:rsidRPr="00800B69">
        <w:rPr>
          <w:rFonts w:ascii="Palatino Linotype" w:hAnsi="Palatino Linotype" w:cs="Tahoma"/>
        </w:rPr>
        <w:t xml:space="preserve"> de Zaragoza</w:t>
      </w:r>
      <w:r w:rsidR="002E41A9" w:rsidRPr="00800B69">
        <w:rPr>
          <w:rFonts w:ascii="Palatino Linotype" w:hAnsi="Palatino Linotype" w:cs="Tahoma"/>
        </w:rPr>
        <w:t>; e</w:t>
      </w:r>
      <w:r w:rsidR="00035B0E" w:rsidRPr="00800B69">
        <w:rPr>
          <w:rFonts w:ascii="Palatino Linotype" w:hAnsi="Palatino Linotype" w:cs="Tahoma"/>
        </w:rPr>
        <w:t>n respuesta,</w:t>
      </w:r>
      <w:r w:rsidRPr="00800B69">
        <w:rPr>
          <w:rFonts w:ascii="Palatino Linotype" w:hAnsi="Palatino Linotype" w:cs="Tahoma"/>
        </w:rPr>
        <w:t xml:space="preserve"> el </w:t>
      </w:r>
      <w:r w:rsidR="002E41A9" w:rsidRPr="00800B69">
        <w:rPr>
          <w:rFonts w:ascii="Palatino Linotype" w:hAnsi="Palatino Linotype" w:cs="Tahoma"/>
        </w:rPr>
        <w:t>Poder Legislativo</w:t>
      </w:r>
      <w:r w:rsidRPr="00800B69">
        <w:rPr>
          <w:rFonts w:ascii="Palatino Linotype" w:hAnsi="Palatino Linotype" w:cs="Tahoma"/>
        </w:rPr>
        <w:t xml:space="preserve"> de manera toral, refirió que el Sujeto Obligado generador de la información, es quien se encuentra constreñido a entregar l</w:t>
      </w:r>
      <w:r w:rsidR="002E41A9" w:rsidRPr="00800B69">
        <w:rPr>
          <w:rFonts w:ascii="Palatino Linotype" w:hAnsi="Palatino Linotype" w:cs="Tahoma"/>
        </w:rPr>
        <w:t>os documentos correspondientes</w:t>
      </w:r>
      <w:r w:rsidRPr="00800B69">
        <w:rPr>
          <w:rFonts w:ascii="Palatino Linotype" w:hAnsi="Palatino Linotype" w:cs="Tahoma"/>
        </w:rPr>
        <w:t xml:space="preserve">, por lo que </w:t>
      </w:r>
      <w:r w:rsidR="00D21D84" w:rsidRPr="00800B69">
        <w:rPr>
          <w:rFonts w:ascii="Palatino Linotype" w:hAnsi="Palatino Linotype" w:cs="Tahoma"/>
        </w:rPr>
        <w:t>orientó</w:t>
      </w:r>
      <w:r w:rsidR="00035B0E" w:rsidRPr="00800B69">
        <w:rPr>
          <w:rFonts w:ascii="Palatino Linotype" w:hAnsi="Palatino Linotype" w:cs="Tahoma"/>
        </w:rPr>
        <w:t xml:space="preserve"> a</w:t>
      </w:r>
      <w:r w:rsidR="002E41A9" w:rsidRPr="00800B69">
        <w:rPr>
          <w:rFonts w:ascii="Palatino Linotype" w:hAnsi="Palatino Linotype" w:cs="Tahoma"/>
        </w:rPr>
        <w:t>l Particular a</w:t>
      </w:r>
      <w:r w:rsidR="00035B0E" w:rsidRPr="00800B69">
        <w:rPr>
          <w:rFonts w:ascii="Palatino Linotype" w:hAnsi="Palatino Linotype" w:cs="Tahoma"/>
        </w:rPr>
        <w:t xml:space="preserve"> que presente </w:t>
      </w:r>
      <w:r w:rsidR="002E41A9" w:rsidRPr="00800B69">
        <w:rPr>
          <w:rFonts w:ascii="Palatino Linotype" w:hAnsi="Palatino Linotype" w:cs="Tahoma"/>
        </w:rPr>
        <w:t>su</w:t>
      </w:r>
      <w:r w:rsidR="00035B0E" w:rsidRPr="00800B69">
        <w:rPr>
          <w:rFonts w:ascii="Palatino Linotype" w:hAnsi="Palatino Linotype" w:cs="Tahoma"/>
        </w:rPr>
        <w:t xml:space="preserve"> solicitud </w:t>
      </w:r>
      <w:r w:rsidR="002E41A9" w:rsidRPr="00800B69">
        <w:rPr>
          <w:rFonts w:ascii="Palatino Linotype" w:hAnsi="Palatino Linotype" w:cs="Tahoma"/>
        </w:rPr>
        <w:t xml:space="preserve">de acceso </w:t>
      </w:r>
      <w:r w:rsidR="00035B0E" w:rsidRPr="00800B69">
        <w:rPr>
          <w:rFonts w:ascii="Palatino Linotype" w:hAnsi="Palatino Linotype" w:cs="Tahoma"/>
        </w:rPr>
        <w:t>ante e</w:t>
      </w:r>
      <w:r w:rsidRPr="00800B69">
        <w:rPr>
          <w:rFonts w:ascii="Palatino Linotype" w:hAnsi="Palatino Linotype" w:cs="Tahoma"/>
        </w:rPr>
        <w:t xml:space="preserve">l Ayuntamiento de </w:t>
      </w:r>
      <w:r w:rsidR="002E41A9" w:rsidRPr="00800B69">
        <w:rPr>
          <w:rFonts w:ascii="Palatino Linotype" w:hAnsi="Palatino Linotype" w:cs="Tahoma"/>
        </w:rPr>
        <w:t>Atizapán de Zaragoza.</w:t>
      </w:r>
    </w:p>
    <w:p w14:paraId="20DD997E" w14:textId="77777777" w:rsidR="002E41A9" w:rsidRPr="00800B69" w:rsidRDefault="002E41A9" w:rsidP="00800B69">
      <w:pPr>
        <w:spacing w:after="0" w:line="360" w:lineRule="auto"/>
        <w:jc w:val="both"/>
        <w:rPr>
          <w:rFonts w:ascii="Palatino Linotype" w:hAnsi="Palatino Linotype" w:cs="Tahoma"/>
        </w:rPr>
      </w:pPr>
    </w:p>
    <w:p w14:paraId="7D04AB07" w14:textId="60CE38FF" w:rsidR="000D4690" w:rsidRPr="00800B69" w:rsidRDefault="00035B0E" w:rsidP="00800B69">
      <w:pPr>
        <w:spacing w:after="0" w:line="360" w:lineRule="auto"/>
        <w:jc w:val="both"/>
        <w:rPr>
          <w:rFonts w:ascii="Palatino Linotype" w:hAnsi="Palatino Linotype" w:cs="Tahoma"/>
        </w:rPr>
      </w:pPr>
      <w:r w:rsidRPr="00800B69">
        <w:rPr>
          <w:rFonts w:ascii="Palatino Linotype" w:hAnsi="Palatino Linotype" w:cs="Tahoma"/>
        </w:rPr>
        <w:t>E</w:t>
      </w:r>
      <w:r w:rsidR="000D4690" w:rsidRPr="00800B69">
        <w:rPr>
          <w:rFonts w:ascii="Palatino Linotype" w:hAnsi="Palatino Linotype" w:cs="Tahoma"/>
        </w:rPr>
        <w:t>s de resaltar que</w:t>
      </w:r>
      <w:r w:rsidRPr="00800B69">
        <w:rPr>
          <w:rFonts w:ascii="Palatino Linotype" w:hAnsi="Palatino Linotype" w:cs="Tahoma"/>
        </w:rPr>
        <w:t xml:space="preserve"> el Sujeto Obligado, Poder Legislativo en su respuesta</w:t>
      </w:r>
      <w:r w:rsidR="000D4690" w:rsidRPr="00800B69">
        <w:rPr>
          <w:rFonts w:ascii="Palatino Linotype" w:hAnsi="Palatino Linotype" w:cs="Tahoma"/>
        </w:rPr>
        <w:t xml:space="preserve"> </w:t>
      </w:r>
      <w:r w:rsidR="000D4690" w:rsidRPr="00800B69">
        <w:rPr>
          <w:rFonts w:ascii="Palatino Linotype" w:hAnsi="Palatino Linotype" w:cs="Tahoma"/>
          <w:b/>
          <w:bCs/>
        </w:rPr>
        <w:t xml:space="preserve">no entregó </w:t>
      </w:r>
      <w:r w:rsidRPr="00800B69">
        <w:rPr>
          <w:rFonts w:ascii="Palatino Linotype" w:hAnsi="Palatino Linotype" w:cs="Tahoma"/>
          <w:b/>
          <w:bCs/>
        </w:rPr>
        <w:t>ningún</w:t>
      </w:r>
      <w:r w:rsidR="000D4690" w:rsidRPr="00800B69">
        <w:rPr>
          <w:rFonts w:ascii="Palatino Linotype" w:hAnsi="Palatino Linotype" w:cs="Tahoma"/>
          <w:b/>
          <w:bCs/>
        </w:rPr>
        <w:t xml:space="preserve"> acuerdo de clasificación emitido por su Comité de Transparencia, en el que se fundara y </w:t>
      </w:r>
      <w:r w:rsidR="000D4690" w:rsidRPr="00800B69">
        <w:rPr>
          <w:rFonts w:ascii="Palatino Linotype" w:hAnsi="Palatino Linotype" w:cs="Tahoma"/>
          <w:b/>
          <w:bCs/>
        </w:rPr>
        <w:lastRenderedPageBreak/>
        <w:t>motivara la restricción del derecho hu</w:t>
      </w:r>
      <w:r w:rsidRPr="00800B69">
        <w:rPr>
          <w:rFonts w:ascii="Palatino Linotype" w:hAnsi="Palatino Linotype" w:cs="Tahoma"/>
          <w:b/>
          <w:bCs/>
        </w:rPr>
        <w:t>mano de acceso a la información</w:t>
      </w:r>
      <w:r w:rsidRPr="00800B69">
        <w:rPr>
          <w:rFonts w:ascii="Palatino Linotype" w:hAnsi="Palatino Linotype" w:cs="Tahoma"/>
          <w:bCs/>
        </w:rPr>
        <w:t xml:space="preserve">, simplemente se limitó a referir que era incompetente para entregar la información solicitada, ya que esta sólo podía ser entregada por conducto del Ayuntamiento de </w:t>
      </w:r>
      <w:r w:rsidR="00800B69" w:rsidRPr="00800B69">
        <w:rPr>
          <w:rFonts w:ascii="Palatino Linotype" w:hAnsi="Palatino Linotype" w:cs="Tahoma"/>
          <w:bCs/>
        </w:rPr>
        <w:t>Atizapán de Zaragoza</w:t>
      </w:r>
      <w:r w:rsidRPr="00800B69">
        <w:rPr>
          <w:rFonts w:ascii="Palatino Linotype" w:hAnsi="Palatino Linotype" w:cs="Tahoma"/>
          <w:bCs/>
        </w:rPr>
        <w:t>.</w:t>
      </w:r>
    </w:p>
    <w:p w14:paraId="423D3A33" w14:textId="77777777" w:rsidR="000D4690" w:rsidRPr="00800B69" w:rsidRDefault="000D4690" w:rsidP="00800B69">
      <w:pPr>
        <w:spacing w:after="0" w:line="360" w:lineRule="auto"/>
        <w:jc w:val="both"/>
        <w:rPr>
          <w:rFonts w:ascii="Palatino Linotype" w:hAnsi="Palatino Linotype" w:cs="Tahoma"/>
        </w:rPr>
      </w:pPr>
    </w:p>
    <w:p w14:paraId="18C39CBC" w14:textId="062ACCCB" w:rsidR="000D4690" w:rsidRPr="00800B69" w:rsidRDefault="000D4690" w:rsidP="00800B69">
      <w:pPr>
        <w:spacing w:after="0" w:line="360" w:lineRule="auto"/>
        <w:jc w:val="both"/>
        <w:rPr>
          <w:rFonts w:ascii="Palatino Linotype" w:hAnsi="Palatino Linotype" w:cs="Tahoma"/>
        </w:rPr>
      </w:pPr>
      <w:r w:rsidRPr="00800B69">
        <w:rPr>
          <w:rFonts w:ascii="Palatino Linotype" w:hAnsi="Palatino Linotype" w:cs="Tahoma"/>
        </w:rPr>
        <w:t xml:space="preserve">En ese contexto, la mayoría del Pleno consideró procedente confirmar la respuesta del Sujeto Obligado, toda vez que el Poder Legislativo, no </w:t>
      </w:r>
      <w:r w:rsidR="00035B0E" w:rsidRPr="00800B69">
        <w:rPr>
          <w:rFonts w:ascii="Palatino Linotype" w:hAnsi="Palatino Linotype" w:cs="Tahoma"/>
        </w:rPr>
        <w:t>es competente</w:t>
      </w:r>
      <w:r w:rsidRPr="00800B69">
        <w:rPr>
          <w:rFonts w:ascii="Palatino Linotype" w:hAnsi="Palatino Linotype" w:cs="Tahoma"/>
        </w:rPr>
        <w:t xml:space="preserve"> para responder favorablemente la solicitud de acceso a la información</w:t>
      </w:r>
      <w:r w:rsidR="00035B0E" w:rsidRPr="00800B69">
        <w:rPr>
          <w:rFonts w:ascii="Palatino Linotype" w:hAnsi="Palatino Linotype" w:cs="Tahoma"/>
        </w:rPr>
        <w:t>; sin embargo,</w:t>
      </w:r>
      <w:r w:rsidRPr="00800B69">
        <w:rPr>
          <w:rFonts w:ascii="Palatino Linotype" w:hAnsi="Palatino Linotype" w:cs="Tahoma"/>
        </w:rPr>
        <w:t xml:space="preserve"> </w:t>
      </w:r>
      <w:r w:rsidR="007F374C" w:rsidRPr="00800B69">
        <w:rPr>
          <w:rFonts w:ascii="Palatino Linotype" w:hAnsi="Palatino Linotype" w:cs="Tahoma"/>
        </w:rPr>
        <w:t>disentimos con el estudio y con el sentido de la resolución, en razón de que la Constitución Política de los Estado Unidos Mexicanos,</w:t>
      </w:r>
      <w:r w:rsidR="0044064F" w:rsidRPr="00800B69">
        <w:rPr>
          <w:rFonts w:ascii="Palatino Linotype" w:hAnsi="Palatino Linotype" w:cs="Tahoma"/>
        </w:rPr>
        <w:t xml:space="preserve"> en su artículo 6°, apartado A, fracción I, </w:t>
      </w:r>
      <w:r w:rsidR="007F374C" w:rsidRPr="00800B69">
        <w:rPr>
          <w:rFonts w:ascii="Palatino Linotype" w:hAnsi="Palatino Linotype" w:cs="Tahoma"/>
        </w:rPr>
        <w:t>considera que toda la información en posesión de cualquier autoridad -Poder Legislativo incluido- es pública</w:t>
      </w:r>
      <w:r w:rsidR="0044064F" w:rsidRPr="00800B69">
        <w:rPr>
          <w:rFonts w:ascii="Palatino Linotype" w:hAnsi="Palatino Linotype" w:cs="Tahoma"/>
        </w:rPr>
        <w:t xml:space="preserve"> </w:t>
      </w:r>
      <w:r w:rsidR="007F374C" w:rsidRPr="00800B69">
        <w:rPr>
          <w:rFonts w:ascii="Palatino Linotype" w:hAnsi="Palatino Linotype" w:cs="Tahoma"/>
        </w:rPr>
        <w:t>y sólo podrá ser reservada temporalmente por razones de interés público y seguridad nacional,</w:t>
      </w:r>
      <w:r w:rsidR="0044064F" w:rsidRPr="00800B69">
        <w:rPr>
          <w:rFonts w:ascii="Palatino Linotype" w:hAnsi="Palatino Linotype" w:cs="Tahoma"/>
        </w:rPr>
        <w:t xml:space="preserve"> </w:t>
      </w:r>
      <w:r w:rsidR="007F374C" w:rsidRPr="00800B69">
        <w:rPr>
          <w:rFonts w:ascii="Palatino Linotype" w:hAnsi="Palatino Linotype" w:cs="Tahoma"/>
        </w:rPr>
        <w:t>en los términos que fijen las leyes</w:t>
      </w:r>
      <w:r w:rsidR="0044064F" w:rsidRPr="00800B69">
        <w:rPr>
          <w:rFonts w:ascii="Palatino Linotype" w:hAnsi="Palatino Linotype" w:cs="Tahoma"/>
        </w:rPr>
        <w:t>, disposición legal que encuentra su homóloga en el artículo 5°, fracción I de la Constitución Política del Estado Libre y Soberano de México.</w:t>
      </w:r>
    </w:p>
    <w:p w14:paraId="05FFBAD4" w14:textId="77777777" w:rsidR="0044064F" w:rsidRPr="00800B69" w:rsidRDefault="0044064F" w:rsidP="00800B69">
      <w:pPr>
        <w:spacing w:after="0" w:line="360" w:lineRule="auto"/>
        <w:jc w:val="both"/>
        <w:rPr>
          <w:rFonts w:ascii="Palatino Linotype" w:hAnsi="Palatino Linotype" w:cs="Tahoma"/>
        </w:rPr>
      </w:pPr>
    </w:p>
    <w:p w14:paraId="5D9105AB" w14:textId="3B4EF523" w:rsidR="0044064F" w:rsidRPr="00800B69" w:rsidRDefault="00D21D84" w:rsidP="00800B69">
      <w:pPr>
        <w:spacing w:after="0" w:line="360" w:lineRule="auto"/>
        <w:jc w:val="both"/>
        <w:rPr>
          <w:rFonts w:ascii="Palatino Linotype" w:hAnsi="Palatino Linotype" w:cs="Tahoma"/>
        </w:rPr>
      </w:pPr>
      <w:r w:rsidRPr="00800B69">
        <w:rPr>
          <w:rFonts w:ascii="Palatino Linotype" w:hAnsi="Palatino Linotype" w:cs="Tahoma"/>
        </w:rPr>
        <w:t>Sobre el derecho de acceso a la información,</w:t>
      </w:r>
      <w:r w:rsidR="0044064F" w:rsidRPr="00800B69">
        <w:rPr>
          <w:rFonts w:ascii="Palatino Linotype" w:hAnsi="Palatino Linotype" w:cs="Tahoma"/>
        </w:rPr>
        <w:t xml:space="preserve"> la Ley General de Transparencia y Acceso a la Información Pública, así como la Ley de Transparencia y Acceso a la Información Pública del Estado de México y Municipios, señalan lo siguiente:</w:t>
      </w:r>
    </w:p>
    <w:p w14:paraId="7D1239D1" w14:textId="77777777" w:rsidR="0044064F" w:rsidRPr="00800B69" w:rsidRDefault="0044064F" w:rsidP="00800B69">
      <w:pPr>
        <w:spacing w:after="0" w:line="360" w:lineRule="auto"/>
        <w:jc w:val="both"/>
        <w:rPr>
          <w:rFonts w:ascii="Palatino Linotype" w:hAnsi="Palatino Linotype" w:cs="Tahoma"/>
        </w:rPr>
      </w:pPr>
    </w:p>
    <w:p w14:paraId="000AC716" w14:textId="01133073" w:rsidR="0044064F" w:rsidRPr="00800B69" w:rsidRDefault="0044064F" w:rsidP="00800B69">
      <w:pPr>
        <w:spacing w:after="0" w:line="360" w:lineRule="auto"/>
        <w:ind w:left="567" w:right="616"/>
        <w:jc w:val="both"/>
        <w:rPr>
          <w:rFonts w:ascii="Palatino Linotype" w:hAnsi="Palatino Linotype" w:cs="Tahoma"/>
        </w:rPr>
      </w:pPr>
      <w:r w:rsidRPr="00800B69">
        <w:rPr>
          <w:rFonts w:ascii="Palatino Linotype" w:hAnsi="Palatino Linotype" w:cs="Tahoma"/>
          <w:i/>
          <w:iCs/>
          <w:sz w:val="20"/>
          <w:szCs w:val="20"/>
        </w:rPr>
        <w:t>LEY GENERAL DE TRANSPARENCIA Y ACCESO A LA INFORMACIÓN PÚBLICA</w:t>
      </w:r>
    </w:p>
    <w:p w14:paraId="440A8B48" w14:textId="69DE94DE" w:rsidR="0044064F" w:rsidRPr="00800B69" w:rsidRDefault="0044064F"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Artículo 100. La clasificación es el proceso mediante el cual el sujeto obligado determina que la información en su poder actualiza alguno de los supuestos de reserva o confidencialidad, de conformidad con lo dispuesto en el presente Título.</w:t>
      </w:r>
    </w:p>
    <w:p w14:paraId="33299DC6" w14:textId="77777777" w:rsidR="0044064F" w:rsidRPr="00800B69" w:rsidRDefault="0044064F" w:rsidP="00800B69">
      <w:pPr>
        <w:spacing w:after="0" w:line="360" w:lineRule="auto"/>
        <w:ind w:left="567" w:right="616"/>
        <w:jc w:val="both"/>
        <w:rPr>
          <w:rFonts w:ascii="Palatino Linotype" w:hAnsi="Palatino Linotype" w:cs="Tahoma"/>
          <w:i/>
          <w:iCs/>
          <w:sz w:val="20"/>
          <w:szCs w:val="20"/>
        </w:rPr>
      </w:pPr>
    </w:p>
    <w:p w14:paraId="5EA22527" w14:textId="4B273FFE" w:rsidR="0044064F" w:rsidRPr="00800B69" w:rsidRDefault="0044064F"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Los supuestos de reserva o confidencialidad previstos en las leyes deberán ser acordes con las bases, principios y disposiciones establecidos en esta Ley y, en ningún caso, podrán contravenirla.</w:t>
      </w:r>
    </w:p>
    <w:p w14:paraId="05E4F721" w14:textId="77777777" w:rsidR="0044064F" w:rsidRPr="00800B69" w:rsidRDefault="0044064F" w:rsidP="00800B69">
      <w:pPr>
        <w:spacing w:after="0" w:line="360" w:lineRule="auto"/>
        <w:ind w:left="567" w:right="616"/>
        <w:jc w:val="both"/>
        <w:rPr>
          <w:rFonts w:ascii="Palatino Linotype" w:hAnsi="Palatino Linotype" w:cs="Tahoma"/>
          <w:i/>
          <w:iCs/>
          <w:sz w:val="20"/>
          <w:szCs w:val="20"/>
        </w:rPr>
      </w:pPr>
    </w:p>
    <w:p w14:paraId="3D3CA8D7" w14:textId="0074A5F2" w:rsidR="0044064F" w:rsidRPr="00800B69" w:rsidRDefault="0044064F"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lastRenderedPageBreak/>
        <w:t>Los titulares de las Áreas de los sujetos obligados serán los responsables de clasificar la información, de conformidad con lo dispuesto en esta Ley, la Ley Federal y de las Entidades Federativas.</w:t>
      </w:r>
    </w:p>
    <w:p w14:paraId="61A36108"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p>
    <w:p w14:paraId="0927D1C6"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Artículo 113. Como información reservada podrá clasificarse aquella cuya publicación:</w:t>
      </w:r>
    </w:p>
    <w:p w14:paraId="4A390BC9" w14:textId="1A65FD43"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I. Comprometa la seguridad nacional, la seguridad pública o la defensa nacional y cuente con un propósito genuino y un efecto demostrable;</w:t>
      </w:r>
    </w:p>
    <w:p w14:paraId="7E19B3DF"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 xml:space="preserve">II. Pueda menoscabar la conducción de las negociaciones y relaciones internacionales; </w:t>
      </w:r>
    </w:p>
    <w:p w14:paraId="7723E550" w14:textId="10A5AE78"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III. 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p w14:paraId="16AC267E" w14:textId="6C6528A8"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IV.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p w14:paraId="4191C223"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V. Pueda poner en riesgo la vida, seguridad o salud de una persona física;</w:t>
      </w:r>
    </w:p>
    <w:p w14:paraId="36D22081" w14:textId="77C4AE2D"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VI. Obstruya las actividades de verificación, inspección y auditoría relativas al cumplimiento de las leyes o afecte la recaudación de contribuciones;</w:t>
      </w:r>
    </w:p>
    <w:p w14:paraId="3635BDB2"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VII. Obstruya la prevención o persecución de los delitos;</w:t>
      </w:r>
    </w:p>
    <w:p w14:paraId="5067C716" w14:textId="2DA1845E"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VIII. La que contenga las opiniones, recomendaciones o puntos de vista que formen parte del proceso deliberativo de los servidores públicos, hasta en tanto no sea adoptada la decisión definitiva, la cual deberá estar documentada;</w:t>
      </w:r>
    </w:p>
    <w:p w14:paraId="30E67CE6" w14:textId="7EE5D32B"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IX. Obstruya los procedimientos para fincar responsabilidad a los Servidores Públicos, en tanto no se haya dictado la resolución administrativa;</w:t>
      </w:r>
    </w:p>
    <w:p w14:paraId="21A5E5CE"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X. Afecte los derechos del debido proceso;</w:t>
      </w:r>
    </w:p>
    <w:p w14:paraId="31C5476B" w14:textId="10926486"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XI. Vulnere la conducción de los Expedientes judiciales o de los procedimientos administrativos seguidos en forma de juicio, en tanto no hayan causado estado;</w:t>
      </w:r>
    </w:p>
    <w:p w14:paraId="6CFB5965" w14:textId="06225FB3"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lastRenderedPageBreak/>
        <w:t>XII. Se encuentre contenida dentro de las investigaciones de hechos que la ley señale como delitos y se tramiten ante el Ministerio Público, y</w:t>
      </w:r>
    </w:p>
    <w:p w14:paraId="063D58A1" w14:textId="21A8376F"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XIII. Las que por disposición expresa de una ley tengan tal carácter, siempre que sean acordes con las bases, principios y disposiciones establecidos en esta Ley y no la contravengan; así como las previstas en tratados internacionales.</w:t>
      </w:r>
      <w:r w:rsidRPr="00800B69">
        <w:rPr>
          <w:rFonts w:ascii="Palatino Linotype" w:hAnsi="Palatino Linotype" w:cs="Tahoma"/>
          <w:i/>
          <w:iCs/>
          <w:sz w:val="20"/>
          <w:szCs w:val="20"/>
        </w:rPr>
        <w:cr/>
      </w:r>
    </w:p>
    <w:p w14:paraId="516D0865"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Artículo 116. Se considera información confidencial la que contiene datos personales concernientes a una persona identificada o identificable.</w:t>
      </w:r>
    </w:p>
    <w:p w14:paraId="052519D1"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p>
    <w:p w14:paraId="6E9E431D" w14:textId="19AC993A"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La información confidencial no estará sujeta a temporalidad alguna y sólo podrán tener acceso a ella los titulares de la misma, sus representantes y los Servidores Públicos facultados para ello.</w:t>
      </w:r>
    </w:p>
    <w:p w14:paraId="5E239FE8"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p>
    <w:p w14:paraId="7B70752A" w14:textId="4C2FBF4A"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24879E6"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p>
    <w:p w14:paraId="39339397" w14:textId="66B049E0"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Asimismo, será información confidencial aquella que presenten los particulares a los sujetos obligados, siempre que tengan el derecho a ello, de conformidad con lo dispuesto por las leyes o los tratados internacionales.</w:t>
      </w:r>
    </w:p>
    <w:p w14:paraId="1EEDFF74"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p>
    <w:p w14:paraId="2CB1E72A" w14:textId="27CB8DF8"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LEY DE TRANSPARENCIA Y ACCESO A LA INFORMACIÓN PÚBLICA DEL ESTADO DE MÉXICO Y MUNICIPIOS.</w:t>
      </w:r>
    </w:p>
    <w:p w14:paraId="5FA9A9DC" w14:textId="13E8137A"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Artículo 122. La clasificación es el proceso mediante el cual el sujeto obligado determina que la información en su poder actualiza alguno de los supuestos de reserva o confidencialidad, de conformidad con lo dispuesto en el presente título.</w:t>
      </w:r>
    </w:p>
    <w:p w14:paraId="319F0CC9"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p>
    <w:p w14:paraId="33786C9F" w14:textId="626D7C8E"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 xml:space="preserve">Los supuestos de reserva o confidencialidad previstos en las leyes deberán ser acordes con las bases, principios y disposiciones establecidos en la Ley General y, en ningún caso, podrán contravenirla. </w:t>
      </w:r>
    </w:p>
    <w:p w14:paraId="1FAD4609" w14:textId="4FC41631"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lastRenderedPageBreak/>
        <w:t>Los titulares de las áreas de los sujetos obligados serán los responsables de clasificar la información, de conformidad con lo dispuesto en la presente Ley y demás disposiciones jurídicas aplicables.</w:t>
      </w:r>
    </w:p>
    <w:p w14:paraId="3F22A1B1"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p>
    <w:p w14:paraId="432CE335" w14:textId="11B36B01"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Artículo 140. El acceso a la información pública será restringido excepcionalmente, cuando por razones de interés público, ésta sea clasificada como reservada, conforme a los criterios siguientes:</w:t>
      </w:r>
    </w:p>
    <w:p w14:paraId="09D76BAB"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p>
    <w:p w14:paraId="2C155115"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I. Comprometa la seguridad pública y cuente con un propósito genuino y un efecto demostrable;</w:t>
      </w:r>
    </w:p>
    <w:p w14:paraId="48D44A86"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II. Pueda menoscabar la conducción de las negociaciones y relaciones internacionales;</w:t>
      </w:r>
    </w:p>
    <w:p w14:paraId="67EF2E17" w14:textId="7421A90C"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6390142" w14:textId="5DC80A96"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IV. Ponga en riesgo la vida, la seguridad o la salud de una persona física;</w:t>
      </w:r>
    </w:p>
    <w:p w14:paraId="1FE80439"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V. Aquella cuya divulgación obstruya o pueda causar un serio perjuicio a:</w:t>
      </w:r>
    </w:p>
    <w:p w14:paraId="709C7E86" w14:textId="3E5111D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1. Las actividades de fiscalización, verificación, inspección, comprobación y auditoría sobre el cumplimiento de las Leyes; o</w:t>
      </w:r>
    </w:p>
    <w:p w14:paraId="3EAECAC6"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2. La recaudación de las contribuciones.</w:t>
      </w:r>
    </w:p>
    <w:p w14:paraId="4DBAA71B" w14:textId="3D3ACD6B"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12AAD0" w14:textId="07113493"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VII. La que contengan las opiniones, recomendaciones o puntos de vista que formen parte del proceso deliberativo de los servidores públicos, hasta en tanto sea adoptada la decisión definitiva, la cual deberá estar documentada;</w:t>
      </w:r>
    </w:p>
    <w:p w14:paraId="242FD737"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VIII. Vulnere la conducción de los expedientes judiciales o de los procedimientos administrativos</w:t>
      </w:r>
    </w:p>
    <w:p w14:paraId="5A6010CD"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seguidos en forma de juicio, en tanto no hayan quedado firmes;</w:t>
      </w:r>
    </w:p>
    <w:p w14:paraId="44AFB365" w14:textId="2984B87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lastRenderedPageBreak/>
        <w:t>IX. Se encuentre contenida dentro de las investigaciones de hechos que la Ley señale como delitos y se tramiten ante el Ministerio Público;</w:t>
      </w:r>
    </w:p>
    <w:p w14:paraId="23820DA6"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X. El daño que pueda producirse con la publicación de la información sea mayor que el interés</w:t>
      </w:r>
    </w:p>
    <w:p w14:paraId="4F52589E"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público de conocer la información de referencia, siempre que esté directamente relacionado con</w:t>
      </w:r>
    </w:p>
    <w:p w14:paraId="5D672FCD"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procesos o procedimientos administrativos o judiciales que no hayan quedado firmes</w:t>
      </w:r>
    </w:p>
    <w:p w14:paraId="251E91E6" w14:textId="63A57430"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w:t>
      </w:r>
    </w:p>
    <w:p w14:paraId="6F0CB0A9"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D9983E2" w14:textId="290AF6E1"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XI. Las que por disposición expresa de una ley tengan tal carácter, siempre que sean acordes con las bases, principios y disposiciones establecidos en esta Ley y no la contravengan; así como las previstas en tratados internacionales.</w:t>
      </w:r>
    </w:p>
    <w:p w14:paraId="5324C572"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p>
    <w:p w14:paraId="081DD5B2" w14:textId="4ECC421E"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Artículo 143. Para los efectos de esta Ley se considera información confidencial, la clasificada como tal, de manera permanente, por su naturaleza, cuando:</w:t>
      </w:r>
    </w:p>
    <w:p w14:paraId="7B9BD24C"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I. Se refiera a la información privada y los datos personales concernientes a una persona física o</w:t>
      </w:r>
    </w:p>
    <w:p w14:paraId="23DFA1A3"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jurídico colectiva identificada o identificable;</w:t>
      </w:r>
    </w:p>
    <w:p w14:paraId="193ED68D" w14:textId="5195BBB0"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5F7C6953" w14:textId="39511761"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III. La que presenten los particulares a los sujetos obligados, de conformidad con lo dispuesto por las leyes o los tratados internacionales.</w:t>
      </w:r>
    </w:p>
    <w:p w14:paraId="0A300FE7"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p>
    <w:p w14:paraId="5D187BB2" w14:textId="2B88FABB"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t>La información confidencial no estará sujeta a temporalidad alguna y sólo podrán tener acceso a ella los titulares de la misma, sus representantes y los servidores públicos facultados para ello.</w:t>
      </w:r>
    </w:p>
    <w:p w14:paraId="5AE07CC7"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p>
    <w:p w14:paraId="534E5AF0" w14:textId="77777777" w:rsidR="002D2D60" w:rsidRPr="00800B69" w:rsidRDefault="002D2D60"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i/>
          <w:iCs/>
          <w:sz w:val="20"/>
          <w:szCs w:val="20"/>
        </w:rPr>
        <w:lastRenderedPageBreak/>
        <w:t>No se considerará confidencial la información que se encuentre en los registros públicos o en fuentes de acceso público, ni tampoco la que sea considerada por la presente ley como información pública.</w:t>
      </w:r>
    </w:p>
    <w:p w14:paraId="0379413F" w14:textId="77777777" w:rsidR="002D2D60" w:rsidRPr="00800B69" w:rsidRDefault="002D2D60" w:rsidP="00800B69">
      <w:pPr>
        <w:spacing w:after="0" w:line="360" w:lineRule="auto"/>
        <w:ind w:right="616"/>
        <w:jc w:val="both"/>
        <w:rPr>
          <w:rFonts w:ascii="Palatino Linotype" w:hAnsi="Palatino Linotype" w:cs="Tahoma"/>
          <w:i/>
          <w:iCs/>
          <w:sz w:val="20"/>
          <w:szCs w:val="20"/>
        </w:rPr>
      </w:pPr>
    </w:p>
    <w:p w14:paraId="5E9BA96F" w14:textId="30272325" w:rsidR="00F053AF" w:rsidRPr="00800B69" w:rsidRDefault="002D2D60" w:rsidP="00800B69">
      <w:pPr>
        <w:spacing w:after="0" w:line="360" w:lineRule="auto"/>
        <w:jc w:val="both"/>
        <w:rPr>
          <w:rFonts w:ascii="Palatino Linotype" w:hAnsi="Palatino Linotype" w:cs="Tahoma"/>
        </w:rPr>
      </w:pPr>
      <w:r w:rsidRPr="00800B69">
        <w:rPr>
          <w:rFonts w:ascii="Palatino Linotype" w:hAnsi="Palatino Linotype" w:cs="Tahoma"/>
        </w:rPr>
        <w:t xml:space="preserve">Así, toda la información en poder de los Sujetos Obligados, -como el Poder Legislativo-, es de naturaleza pública, sin la distinción de que la tengan en su poder, a partir de que la hayan </w:t>
      </w:r>
      <w:r w:rsidR="00F053AF" w:rsidRPr="00800B69">
        <w:rPr>
          <w:rFonts w:ascii="Palatino Linotype" w:hAnsi="Palatino Linotype" w:cs="Tahoma"/>
        </w:rPr>
        <w:t>generado, obtenido, adquirido, transformado o administrado, bastará con que esté en su posesión y solo podrá ser limitada bajo dos supuestos la reserva y la confidencialidad.</w:t>
      </w:r>
    </w:p>
    <w:p w14:paraId="5E9D4AA3" w14:textId="77777777" w:rsidR="00F053AF" w:rsidRPr="00800B69" w:rsidRDefault="00F053AF" w:rsidP="00800B69">
      <w:pPr>
        <w:spacing w:after="0" w:line="360" w:lineRule="auto"/>
        <w:jc w:val="both"/>
        <w:rPr>
          <w:rFonts w:ascii="Palatino Linotype" w:hAnsi="Palatino Linotype" w:cs="Tahoma"/>
        </w:rPr>
      </w:pPr>
    </w:p>
    <w:p w14:paraId="7CBA4DC3" w14:textId="2D90CD79" w:rsidR="000D4690" w:rsidRPr="00800B69" w:rsidRDefault="00F053AF" w:rsidP="00800B69">
      <w:pPr>
        <w:spacing w:after="0" w:line="360" w:lineRule="auto"/>
        <w:jc w:val="both"/>
        <w:rPr>
          <w:rFonts w:ascii="Palatino Linotype" w:hAnsi="Palatino Linotype" w:cs="Tahoma"/>
        </w:rPr>
      </w:pPr>
      <w:r w:rsidRPr="00800B69">
        <w:rPr>
          <w:rFonts w:ascii="Palatino Linotype" w:hAnsi="Palatino Linotype" w:cs="Tahoma"/>
        </w:rPr>
        <w:t>E</w:t>
      </w:r>
      <w:r w:rsidR="000D4690" w:rsidRPr="00800B69">
        <w:rPr>
          <w:rFonts w:ascii="Palatino Linotype" w:hAnsi="Palatino Linotype" w:cs="Tahoma"/>
        </w:rPr>
        <w:t xml:space="preserve">s necesario determinar la competencia del Sujeto Obligado para </w:t>
      </w:r>
      <w:r w:rsidRPr="00800B69">
        <w:rPr>
          <w:rFonts w:ascii="Palatino Linotype" w:hAnsi="Palatino Linotype" w:cs="Tahoma"/>
        </w:rPr>
        <w:t xml:space="preserve">poseer información y, por ende, la fuente obligacional de </w:t>
      </w:r>
      <w:r w:rsidR="000D4690" w:rsidRPr="00800B69">
        <w:rPr>
          <w:rFonts w:ascii="Palatino Linotype" w:hAnsi="Palatino Linotype" w:cs="Tahoma"/>
        </w:rPr>
        <w:t>proporcionar</w:t>
      </w:r>
      <w:r w:rsidRPr="00800B69">
        <w:rPr>
          <w:rFonts w:ascii="Palatino Linotype" w:hAnsi="Palatino Linotype" w:cs="Tahoma"/>
        </w:rPr>
        <w:t>la;</w:t>
      </w:r>
      <w:r w:rsidR="000D4690" w:rsidRPr="00800B69">
        <w:rPr>
          <w:rFonts w:ascii="Palatino Linotype" w:hAnsi="Palatino Linotype" w:cs="Tahoma"/>
        </w:rPr>
        <w:t xml:space="preserve"> en ese sentido, el artículo 61, fracción XXXII de la Constitución Política del Estado Libre y Soberano de México, precisa que la Legislatura podrá revisar, fiscalizar y calificar las cuentas públicas del Estado y los Municipios, del año anterior y para tal efecto contará con un Órgano Superior de Fiscalización.</w:t>
      </w:r>
    </w:p>
    <w:p w14:paraId="47C7C3C9" w14:textId="77777777" w:rsidR="00B760CA" w:rsidRPr="00800B69" w:rsidRDefault="00B760CA" w:rsidP="00800B69">
      <w:pPr>
        <w:spacing w:after="0" w:line="360" w:lineRule="auto"/>
        <w:jc w:val="both"/>
        <w:rPr>
          <w:rFonts w:ascii="Palatino Linotype" w:hAnsi="Palatino Linotype" w:cs="Tahoma"/>
        </w:rPr>
      </w:pPr>
    </w:p>
    <w:p w14:paraId="7747E1C6" w14:textId="49274866" w:rsidR="000D4690" w:rsidRPr="00800B69" w:rsidRDefault="00F053AF" w:rsidP="00800B69">
      <w:pPr>
        <w:spacing w:after="0" w:line="360" w:lineRule="auto"/>
        <w:jc w:val="both"/>
        <w:rPr>
          <w:rFonts w:ascii="Palatino Linotype" w:hAnsi="Palatino Linotype" w:cs="Tahoma"/>
        </w:rPr>
      </w:pPr>
      <w:r w:rsidRPr="00800B69">
        <w:rPr>
          <w:rFonts w:ascii="Palatino Linotype" w:hAnsi="Palatino Linotype" w:cs="Tahoma"/>
        </w:rPr>
        <w:t>Por su parte</w:t>
      </w:r>
      <w:r w:rsidR="000D4690" w:rsidRPr="00800B69">
        <w:rPr>
          <w:rFonts w:ascii="Palatino Linotype" w:hAnsi="Palatino Linotype" w:cs="Tahoma"/>
        </w:rPr>
        <w:t>, los artículos 94, fracción I y 95 de la Ley Orgánica del Poder Legislativo del Estado</w:t>
      </w:r>
      <w:r w:rsidR="00B760CA" w:rsidRPr="00800B69">
        <w:rPr>
          <w:rFonts w:ascii="Palatino Linotype" w:hAnsi="Palatino Linotype" w:cs="Tahoma"/>
        </w:rPr>
        <w:t xml:space="preserve"> </w:t>
      </w:r>
      <w:r w:rsidR="000D4690" w:rsidRPr="00800B69">
        <w:rPr>
          <w:rFonts w:ascii="Palatino Linotype" w:hAnsi="Palatino Linotype" w:cs="Tahoma"/>
        </w:rPr>
        <w:t>Libre y Soberano de México, establecen que para el control, fiscalización y revisión del ingreso</w:t>
      </w:r>
      <w:r w:rsidR="00B760CA" w:rsidRPr="00800B69">
        <w:rPr>
          <w:rFonts w:ascii="Palatino Linotype" w:hAnsi="Palatino Linotype" w:cs="Tahoma"/>
        </w:rPr>
        <w:t xml:space="preserve"> </w:t>
      </w:r>
      <w:r w:rsidR="000D4690" w:rsidRPr="00800B69">
        <w:rPr>
          <w:rFonts w:ascii="Palatino Linotype" w:hAnsi="Palatino Linotype" w:cs="Tahoma"/>
        </w:rPr>
        <w:t>y del gasto público de los entes públicos que manejen recursos del Estado y Municipios la</w:t>
      </w:r>
      <w:r w:rsidR="00B760CA" w:rsidRPr="00800B69">
        <w:rPr>
          <w:rFonts w:ascii="Palatino Linotype" w:hAnsi="Palatino Linotype" w:cs="Tahoma"/>
        </w:rPr>
        <w:t xml:space="preserve"> </w:t>
      </w:r>
      <w:r w:rsidR="000D4690" w:rsidRPr="00800B69">
        <w:rPr>
          <w:rFonts w:ascii="Palatino Linotype" w:hAnsi="Palatino Linotype" w:cs="Tahoma"/>
        </w:rPr>
        <w:t>Legislatura dispondrá del Órgano Superior de Fiscalización, cuya organización y</w:t>
      </w:r>
      <w:r w:rsidR="00B760CA" w:rsidRPr="00800B69">
        <w:rPr>
          <w:rFonts w:ascii="Palatino Linotype" w:hAnsi="Palatino Linotype" w:cs="Tahoma"/>
        </w:rPr>
        <w:t xml:space="preserve"> </w:t>
      </w:r>
      <w:r w:rsidR="000D4690" w:rsidRPr="00800B69">
        <w:rPr>
          <w:rFonts w:ascii="Palatino Linotype" w:hAnsi="Palatino Linotype" w:cs="Tahoma"/>
        </w:rPr>
        <w:t>funcionamiento se regirá por la Ley de Fiscalización Superior del Estado de México y su</w:t>
      </w:r>
      <w:r w:rsidR="00B760CA" w:rsidRPr="00800B69">
        <w:rPr>
          <w:rFonts w:ascii="Palatino Linotype" w:hAnsi="Palatino Linotype" w:cs="Tahoma"/>
        </w:rPr>
        <w:t xml:space="preserve"> </w:t>
      </w:r>
      <w:r w:rsidR="000D4690" w:rsidRPr="00800B69">
        <w:rPr>
          <w:rFonts w:ascii="Palatino Linotype" w:hAnsi="Palatino Linotype" w:cs="Tahoma"/>
        </w:rPr>
        <w:t>Reglamento Interior.</w:t>
      </w:r>
    </w:p>
    <w:p w14:paraId="489ABA43" w14:textId="77777777" w:rsidR="00F94FED" w:rsidRPr="00800B69" w:rsidRDefault="00F94FED" w:rsidP="00800B69">
      <w:pPr>
        <w:spacing w:after="0" w:line="360" w:lineRule="auto"/>
        <w:jc w:val="both"/>
        <w:rPr>
          <w:rFonts w:ascii="Palatino Linotype" w:hAnsi="Palatino Linotype" w:cs="Tahoma"/>
        </w:rPr>
      </w:pPr>
    </w:p>
    <w:p w14:paraId="49EB636B" w14:textId="272772DA" w:rsidR="00F053AF" w:rsidRPr="00800B69" w:rsidRDefault="000D4690" w:rsidP="00800B69">
      <w:pPr>
        <w:spacing w:after="0" w:line="360" w:lineRule="auto"/>
        <w:jc w:val="both"/>
        <w:rPr>
          <w:rFonts w:ascii="Palatino Linotype" w:hAnsi="Palatino Linotype" w:cs="Tahoma"/>
        </w:rPr>
      </w:pPr>
      <w:r w:rsidRPr="00800B69">
        <w:rPr>
          <w:rFonts w:ascii="Palatino Linotype" w:hAnsi="Palatino Linotype" w:cs="Tahoma"/>
        </w:rPr>
        <w:t>En ese orden de ideas, los artículos 2</w:t>
      </w:r>
      <w:r w:rsidR="00B760CA" w:rsidRPr="00800B69">
        <w:rPr>
          <w:rFonts w:ascii="Palatino Linotype" w:hAnsi="Palatino Linotype" w:cs="Tahoma"/>
        </w:rPr>
        <w:t>º</w:t>
      </w:r>
      <w:r w:rsidRPr="00800B69">
        <w:rPr>
          <w:rFonts w:ascii="Palatino Linotype" w:hAnsi="Palatino Linotype" w:cs="Tahoma"/>
        </w:rPr>
        <w:t>, fracción XI y 32, párrafo primero de la Ley de</w:t>
      </w:r>
      <w:r w:rsidR="00B760CA" w:rsidRPr="00800B69">
        <w:rPr>
          <w:rFonts w:ascii="Palatino Linotype" w:hAnsi="Palatino Linotype" w:cs="Tahoma"/>
        </w:rPr>
        <w:t xml:space="preserve"> </w:t>
      </w:r>
      <w:r w:rsidRPr="00800B69">
        <w:rPr>
          <w:rFonts w:ascii="Palatino Linotype" w:hAnsi="Palatino Linotype" w:cs="Tahoma"/>
        </w:rPr>
        <w:t>Fiscalización Superior del Estado de México, se desprende que los Informes Trimestrales son</w:t>
      </w:r>
      <w:r w:rsidR="00B760CA" w:rsidRPr="00800B69">
        <w:rPr>
          <w:rFonts w:ascii="Palatino Linotype" w:hAnsi="Palatino Linotype" w:cs="Tahoma"/>
        </w:rPr>
        <w:t xml:space="preserve"> </w:t>
      </w:r>
      <w:r w:rsidRPr="00800B69">
        <w:rPr>
          <w:rFonts w:ascii="Palatino Linotype" w:hAnsi="Palatino Linotype" w:cs="Tahoma"/>
        </w:rPr>
        <w:t>el documento físico y/o electrónico que trimestralmente presentan las entidades fiscalizables</w:t>
      </w:r>
      <w:r w:rsidR="00B760CA" w:rsidRPr="00800B69">
        <w:rPr>
          <w:rFonts w:ascii="Palatino Linotype" w:hAnsi="Palatino Linotype" w:cs="Tahoma"/>
        </w:rPr>
        <w:t xml:space="preserve"> </w:t>
      </w:r>
      <w:r w:rsidRPr="00800B69">
        <w:rPr>
          <w:rFonts w:ascii="Palatino Linotype" w:hAnsi="Palatino Linotype" w:cs="Tahoma"/>
        </w:rPr>
        <w:t xml:space="preserve">sobre la situación económica y en su caso deuda pública y se deberá presentar </w:t>
      </w:r>
      <w:r w:rsidRPr="00800B69">
        <w:rPr>
          <w:rFonts w:ascii="Palatino Linotype" w:hAnsi="Palatino Linotype" w:cs="Tahoma"/>
        </w:rPr>
        <w:lastRenderedPageBreak/>
        <w:t>dentro de los veinte días hábiles posteriores al término del trimestre correspondiente al Órgano Superior</w:t>
      </w:r>
      <w:r w:rsidR="00B760CA" w:rsidRPr="00800B69">
        <w:rPr>
          <w:rFonts w:ascii="Palatino Linotype" w:hAnsi="Palatino Linotype" w:cs="Tahoma"/>
        </w:rPr>
        <w:t xml:space="preserve"> </w:t>
      </w:r>
      <w:r w:rsidRPr="00800B69">
        <w:rPr>
          <w:rFonts w:ascii="Palatino Linotype" w:hAnsi="Palatino Linotype" w:cs="Tahoma"/>
        </w:rPr>
        <w:t>para su análisis.</w:t>
      </w:r>
    </w:p>
    <w:p w14:paraId="22171BE4" w14:textId="77777777" w:rsidR="00F053AF" w:rsidRPr="00800B69" w:rsidRDefault="00F053AF" w:rsidP="00800B69">
      <w:pPr>
        <w:spacing w:after="0" w:line="360" w:lineRule="auto"/>
        <w:jc w:val="both"/>
        <w:rPr>
          <w:rFonts w:ascii="Palatino Linotype" w:hAnsi="Palatino Linotype" w:cs="Tahoma"/>
        </w:rPr>
      </w:pPr>
    </w:p>
    <w:p w14:paraId="58149BB7" w14:textId="10AD30D3" w:rsidR="00F053AF" w:rsidRPr="00800B69" w:rsidRDefault="00F053AF" w:rsidP="00800B69">
      <w:pPr>
        <w:spacing w:after="0" w:line="360" w:lineRule="auto"/>
        <w:jc w:val="both"/>
        <w:rPr>
          <w:rFonts w:ascii="Palatino Linotype" w:hAnsi="Palatino Linotype" w:cs="Tahoma"/>
        </w:rPr>
      </w:pPr>
      <w:r w:rsidRPr="00800B69">
        <w:rPr>
          <w:rFonts w:ascii="Palatino Linotype" w:hAnsi="Palatino Linotype" w:cs="Tahoma"/>
        </w:rPr>
        <w:t xml:space="preserve">Así, </w:t>
      </w:r>
      <w:r w:rsidRPr="00800B69">
        <w:rPr>
          <w:rFonts w:ascii="Palatino Linotype" w:hAnsi="Palatino Linotype" w:cs="Tahoma"/>
          <w:b/>
        </w:rPr>
        <w:t xml:space="preserve">el Poder Legislativo, es poseedor de la información por lo que la única </w:t>
      </w:r>
      <w:r w:rsidR="000D4690" w:rsidRPr="00800B69">
        <w:rPr>
          <w:rFonts w:ascii="Palatino Linotype" w:hAnsi="Palatino Linotype" w:cs="Tahoma"/>
          <w:b/>
        </w:rPr>
        <w:t xml:space="preserve">manera de restringir el derecho de acceso a la información </w:t>
      </w:r>
      <w:r w:rsidR="00D21D84" w:rsidRPr="00800B69">
        <w:rPr>
          <w:rFonts w:ascii="Palatino Linotype" w:hAnsi="Palatino Linotype" w:cs="Tahoma"/>
          <w:b/>
        </w:rPr>
        <w:t>mediante</w:t>
      </w:r>
      <w:r w:rsidR="000D4690" w:rsidRPr="00800B69">
        <w:rPr>
          <w:rFonts w:ascii="Palatino Linotype" w:hAnsi="Palatino Linotype" w:cs="Tahoma"/>
          <w:b/>
        </w:rPr>
        <w:t xml:space="preserve"> la clasificación de información</w:t>
      </w:r>
      <w:r w:rsidRPr="00800B69">
        <w:rPr>
          <w:rFonts w:ascii="Palatino Linotype" w:hAnsi="Palatino Linotype" w:cs="Tahoma"/>
        </w:rPr>
        <w:t xml:space="preserve"> </w:t>
      </w:r>
      <w:r w:rsidR="00D21D84" w:rsidRPr="00800B69">
        <w:rPr>
          <w:rFonts w:ascii="Palatino Linotype" w:hAnsi="Palatino Linotype" w:cs="Tahoma"/>
        </w:rPr>
        <w:t>con</w:t>
      </w:r>
      <w:r w:rsidRPr="00800B69">
        <w:rPr>
          <w:rFonts w:ascii="Palatino Linotype" w:hAnsi="Palatino Linotype" w:cs="Tahoma"/>
        </w:rPr>
        <w:t xml:space="preserve"> la emisión de un acuerdo, aprobado por el Comité de Transparencia del Sujeto Obligado,</w:t>
      </w:r>
      <w:r w:rsidR="000D4690" w:rsidRPr="00800B69">
        <w:rPr>
          <w:rFonts w:ascii="Palatino Linotype" w:hAnsi="Palatino Linotype" w:cs="Tahoma"/>
        </w:rPr>
        <w:t xml:space="preserve"> debidamente </w:t>
      </w:r>
      <w:r w:rsidRPr="00800B69">
        <w:rPr>
          <w:rFonts w:ascii="Palatino Linotype" w:hAnsi="Palatino Linotype" w:cs="Tahoma"/>
        </w:rPr>
        <w:t>fundado y motivado</w:t>
      </w:r>
      <w:r w:rsidR="000D4690" w:rsidRPr="00800B69">
        <w:rPr>
          <w:rFonts w:ascii="Palatino Linotype" w:hAnsi="Palatino Linotype" w:cs="Tahoma"/>
        </w:rPr>
        <w:t>,</w:t>
      </w:r>
      <w:r w:rsidRPr="00800B69">
        <w:rPr>
          <w:rFonts w:ascii="Palatino Linotype" w:hAnsi="Palatino Linotype" w:cs="Tahoma"/>
        </w:rPr>
        <w:t xml:space="preserve"> que en apego a los preceptor de clasificación antes </w:t>
      </w:r>
      <w:r w:rsidR="00D21D84" w:rsidRPr="00800B69">
        <w:rPr>
          <w:rFonts w:ascii="Palatino Linotype" w:hAnsi="Palatino Linotype" w:cs="Tahoma"/>
        </w:rPr>
        <w:t>invocados, exprese en la especie, cuá</w:t>
      </w:r>
      <w:r w:rsidRPr="00800B69">
        <w:rPr>
          <w:rFonts w:ascii="Palatino Linotype" w:hAnsi="Palatino Linotype" w:cs="Tahoma"/>
        </w:rPr>
        <w:t xml:space="preserve">les son los supuestos de clasificación que se actualizan en el caso que nos ocupa, </w:t>
      </w:r>
      <w:r w:rsidR="000D4690" w:rsidRPr="00800B69">
        <w:rPr>
          <w:rFonts w:ascii="Palatino Linotype" w:hAnsi="Palatino Linotype" w:cs="Tahoma"/>
        </w:rPr>
        <w:t>situación que no</w:t>
      </w:r>
      <w:r w:rsidR="00B760CA" w:rsidRPr="00800B69">
        <w:rPr>
          <w:rFonts w:ascii="Palatino Linotype" w:hAnsi="Palatino Linotype" w:cs="Tahoma"/>
        </w:rPr>
        <w:t xml:space="preserve"> </w:t>
      </w:r>
      <w:r w:rsidR="000D4690" w:rsidRPr="00800B69">
        <w:rPr>
          <w:rFonts w:ascii="Palatino Linotype" w:hAnsi="Palatino Linotype" w:cs="Tahoma"/>
        </w:rPr>
        <w:t>aconteció, pues el Poder Legislativo únicamente se limitó a referir que el</w:t>
      </w:r>
      <w:r w:rsidR="00B760CA" w:rsidRPr="00800B69">
        <w:rPr>
          <w:rFonts w:ascii="Palatino Linotype" w:hAnsi="Palatino Linotype" w:cs="Tahoma"/>
        </w:rPr>
        <w:t xml:space="preserve"> </w:t>
      </w:r>
      <w:r w:rsidR="000D4690" w:rsidRPr="00800B69">
        <w:rPr>
          <w:rFonts w:ascii="Palatino Linotype" w:hAnsi="Palatino Linotype" w:cs="Tahoma"/>
        </w:rPr>
        <w:t xml:space="preserve">Órgano Superior de Fiscalización se encuentra impedido a proporcionar la información </w:t>
      </w:r>
      <w:r w:rsidRPr="00800B69">
        <w:rPr>
          <w:rFonts w:ascii="Palatino Linotype" w:hAnsi="Palatino Linotype" w:cs="Tahoma"/>
        </w:rPr>
        <w:t xml:space="preserve">y orientó al Particular a solicitar la información al Ayuntamiento de Tianguistenco, en virtud de que </w:t>
      </w:r>
      <w:r w:rsidR="00F94FED" w:rsidRPr="00800B69">
        <w:rPr>
          <w:rFonts w:ascii="Palatino Linotype" w:hAnsi="Palatino Linotype" w:cs="Tahoma"/>
        </w:rPr>
        <w:t xml:space="preserve">este </w:t>
      </w:r>
      <w:r w:rsidRPr="00800B69">
        <w:rPr>
          <w:rFonts w:ascii="Palatino Linotype" w:hAnsi="Palatino Linotype" w:cs="Tahoma"/>
        </w:rPr>
        <w:t xml:space="preserve">es </w:t>
      </w:r>
      <w:r w:rsidR="00D21D84" w:rsidRPr="00800B69">
        <w:rPr>
          <w:rFonts w:ascii="Palatino Linotype" w:hAnsi="Palatino Linotype" w:cs="Tahoma"/>
        </w:rPr>
        <w:t>el generador</w:t>
      </w:r>
      <w:r w:rsidRPr="00800B69">
        <w:rPr>
          <w:rFonts w:ascii="Palatino Linotype" w:hAnsi="Palatino Linotype" w:cs="Tahoma"/>
        </w:rPr>
        <w:t xml:space="preserve"> de la información, </w:t>
      </w:r>
      <w:r w:rsidR="000D4690" w:rsidRPr="00800B69">
        <w:rPr>
          <w:rFonts w:ascii="Palatino Linotype" w:hAnsi="Palatino Linotype" w:cs="Tahoma"/>
        </w:rPr>
        <w:t xml:space="preserve">en cumplimiento de las </w:t>
      </w:r>
      <w:r w:rsidR="00F94FED" w:rsidRPr="00800B69">
        <w:rPr>
          <w:rFonts w:ascii="Palatino Linotype" w:hAnsi="Palatino Linotype" w:cs="Tahoma"/>
        </w:rPr>
        <w:t xml:space="preserve">obligaciones </w:t>
      </w:r>
      <w:r w:rsidR="000D4690" w:rsidRPr="00800B69">
        <w:rPr>
          <w:rFonts w:ascii="Palatino Linotype" w:hAnsi="Palatino Linotype" w:cs="Tahoma"/>
        </w:rPr>
        <w:t>de fiscalización</w:t>
      </w:r>
      <w:r w:rsidR="00D21D84" w:rsidRPr="00800B69">
        <w:rPr>
          <w:rFonts w:ascii="Palatino Linotype" w:hAnsi="Palatino Linotype" w:cs="Tahoma"/>
        </w:rPr>
        <w:t>, de tal suerte que para restringir el acceso a documentos que obran en sus archivos, debió acreditar que se trata de información clasificada.</w:t>
      </w:r>
    </w:p>
    <w:p w14:paraId="78C0A52E" w14:textId="77777777" w:rsidR="00F053AF" w:rsidRPr="00800B69" w:rsidRDefault="00F053AF" w:rsidP="00800B69">
      <w:pPr>
        <w:spacing w:after="0" w:line="360" w:lineRule="auto"/>
        <w:jc w:val="both"/>
        <w:rPr>
          <w:rFonts w:ascii="Palatino Linotype" w:hAnsi="Palatino Linotype" w:cs="Tahoma"/>
          <w:highlight w:val="yellow"/>
        </w:rPr>
      </w:pPr>
    </w:p>
    <w:p w14:paraId="4336104F" w14:textId="52B3DE4E" w:rsidR="00904CB6" w:rsidRPr="00800B69" w:rsidRDefault="00904CB6" w:rsidP="00800B69">
      <w:pPr>
        <w:spacing w:after="0" w:line="360" w:lineRule="auto"/>
        <w:jc w:val="both"/>
        <w:rPr>
          <w:rFonts w:ascii="Palatino Linotype" w:hAnsi="Palatino Linotype" w:cs="Tahoma"/>
        </w:rPr>
      </w:pPr>
      <w:r w:rsidRPr="00800B69">
        <w:rPr>
          <w:rFonts w:ascii="Palatino Linotype" w:hAnsi="Palatino Linotype" w:cs="Tahoma"/>
        </w:rPr>
        <w:t>Es decir, para limitar el acceso a información</w:t>
      </w:r>
      <w:r w:rsidR="00257E46" w:rsidRPr="00800B69">
        <w:rPr>
          <w:rFonts w:ascii="Palatino Linotype" w:hAnsi="Palatino Linotype" w:cs="Tahoma"/>
        </w:rPr>
        <w:t xml:space="preserve"> los Sujetos Obligados, deben emitir un acuerdo, que, de manera fundada y motivada, otorgue al Particular certeza de que la información que no se le entrega, es </w:t>
      </w:r>
      <w:r w:rsidR="00F94FED" w:rsidRPr="00800B69">
        <w:rPr>
          <w:rFonts w:ascii="Palatino Linotype" w:hAnsi="Palatino Linotype" w:cs="Tahoma"/>
        </w:rPr>
        <w:t>porque</w:t>
      </w:r>
      <w:r w:rsidR="00257E46" w:rsidRPr="00800B69">
        <w:rPr>
          <w:rFonts w:ascii="Palatino Linotype" w:hAnsi="Palatino Linotype" w:cs="Tahoma"/>
        </w:rPr>
        <w:t xml:space="preserve"> su divulgación, podría genera una afectación o bien, por ser información que por su propia naturaleza </w:t>
      </w:r>
      <w:r w:rsidRPr="00800B69">
        <w:rPr>
          <w:rFonts w:ascii="Palatino Linotype" w:hAnsi="Palatino Linotype" w:cs="Tahoma"/>
        </w:rPr>
        <w:t xml:space="preserve"> </w:t>
      </w:r>
      <w:r w:rsidR="00257E46" w:rsidRPr="00800B69">
        <w:rPr>
          <w:rFonts w:ascii="Palatino Linotype" w:hAnsi="Palatino Linotype" w:cs="Tahoma"/>
        </w:rPr>
        <w:t>no es divulgable, como pueden ser datos personales, secreto bancario, fiduciario, comercial o bien, cuando se entregue a los Sujetos Obligados con naturaleza confidencial.</w:t>
      </w:r>
    </w:p>
    <w:p w14:paraId="59644454" w14:textId="77777777" w:rsidR="00F94FED" w:rsidRPr="00800B69" w:rsidRDefault="00F94FED" w:rsidP="00800B69">
      <w:pPr>
        <w:spacing w:after="0" w:line="360" w:lineRule="auto"/>
        <w:jc w:val="both"/>
        <w:rPr>
          <w:rFonts w:ascii="Palatino Linotype" w:hAnsi="Palatino Linotype" w:cs="Tahoma"/>
        </w:rPr>
      </w:pPr>
    </w:p>
    <w:p w14:paraId="1AE0D060" w14:textId="4B25F1C6" w:rsidR="000D4690" w:rsidRPr="00800B69" w:rsidRDefault="000D4690" w:rsidP="00800B69">
      <w:pPr>
        <w:spacing w:after="0" w:line="360" w:lineRule="auto"/>
        <w:jc w:val="both"/>
        <w:rPr>
          <w:rFonts w:ascii="Palatino Linotype" w:hAnsi="Palatino Linotype" w:cs="Tahoma"/>
        </w:rPr>
      </w:pPr>
      <w:r w:rsidRPr="00800B69">
        <w:rPr>
          <w:rFonts w:ascii="Palatino Linotype" w:hAnsi="Palatino Linotype" w:cs="Tahoma"/>
        </w:rPr>
        <w:t xml:space="preserve">En tal sentido, no se </w:t>
      </w:r>
      <w:r w:rsidR="00F94FED" w:rsidRPr="00800B69">
        <w:rPr>
          <w:rFonts w:ascii="Palatino Linotype" w:hAnsi="Palatino Linotype" w:cs="Tahoma"/>
        </w:rPr>
        <w:t>argumentó</w:t>
      </w:r>
      <w:r w:rsidRPr="00800B69">
        <w:rPr>
          <w:rFonts w:ascii="Palatino Linotype" w:hAnsi="Palatino Linotype" w:cs="Tahoma"/>
        </w:rPr>
        <w:t xml:space="preserve"> que la información solicitada </w:t>
      </w:r>
      <w:r w:rsidR="00257E46" w:rsidRPr="00800B69">
        <w:rPr>
          <w:rFonts w:ascii="Palatino Linotype" w:hAnsi="Palatino Linotype" w:cs="Tahoma"/>
        </w:rPr>
        <w:t xml:space="preserve">actualice alguna causal de confidencialidad o de reserva, y en contexto, cuando no se acredita esta limitación a la entrega de información </w:t>
      </w:r>
      <w:r w:rsidRPr="00800B69">
        <w:rPr>
          <w:rFonts w:ascii="Palatino Linotype" w:hAnsi="Palatino Linotype" w:cs="Tahoma"/>
        </w:rPr>
        <w:t>lo</w:t>
      </w:r>
      <w:r w:rsidR="00257E46" w:rsidRPr="00800B69">
        <w:rPr>
          <w:rFonts w:ascii="Palatino Linotype" w:hAnsi="Palatino Linotype" w:cs="Tahoma"/>
        </w:rPr>
        <w:t>s</w:t>
      </w:r>
      <w:r w:rsidRPr="00800B69">
        <w:rPr>
          <w:rFonts w:ascii="Palatino Linotype" w:hAnsi="Palatino Linotype" w:cs="Tahoma"/>
        </w:rPr>
        <w:t xml:space="preserve"> sujetos obligados están constreñidos a entregar toda la </w:t>
      </w:r>
      <w:r w:rsidRPr="00800B69">
        <w:rPr>
          <w:rFonts w:ascii="Palatino Linotype" w:hAnsi="Palatino Linotype" w:cs="Tahoma"/>
        </w:rPr>
        <w:lastRenderedPageBreak/>
        <w:t>información que por</w:t>
      </w:r>
      <w:r w:rsidR="00B760CA" w:rsidRPr="00800B69">
        <w:rPr>
          <w:rFonts w:ascii="Palatino Linotype" w:hAnsi="Palatino Linotype" w:cs="Tahoma"/>
        </w:rPr>
        <w:t xml:space="preserve"> </w:t>
      </w:r>
      <w:r w:rsidRPr="00800B69">
        <w:rPr>
          <w:rFonts w:ascii="Palatino Linotype" w:hAnsi="Palatino Linotype" w:cs="Tahoma"/>
        </w:rPr>
        <w:t>cualquier motivo obre en sus archivos, por lo que justificar una restricción al derecho humano</w:t>
      </w:r>
      <w:r w:rsidR="00B760CA" w:rsidRPr="00800B69">
        <w:rPr>
          <w:rFonts w:ascii="Palatino Linotype" w:hAnsi="Palatino Linotype" w:cs="Tahoma"/>
        </w:rPr>
        <w:t xml:space="preserve"> </w:t>
      </w:r>
      <w:r w:rsidRPr="00800B69">
        <w:rPr>
          <w:rFonts w:ascii="Palatino Linotype" w:hAnsi="Palatino Linotype" w:cs="Tahoma"/>
        </w:rPr>
        <w:t>de acceso a la información, únicamente porque la información fue generada por otro sujeto</w:t>
      </w:r>
      <w:r w:rsidR="00B760CA" w:rsidRPr="00800B69">
        <w:rPr>
          <w:rFonts w:ascii="Palatino Linotype" w:hAnsi="Palatino Linotype" w:cs="Tahoma"/>
        </w:rPr>
        <w:t xml:space="preserve"> </w:t>
      </w:r>
      <w:r w:rsidRPr="00800B69">
        <w:rPr>
          <w:rFonts w:ascii="Palatino Linotype" w:hAnsi="Palatino Linotype" w:cs="Tahoma"/>
        </w:rPr>
        <w:t>obligado o porque dicha información también obra en los archivos de ese sujeto obligado</w:t>
      </w:r>
      <w:r w:rsidR="00B760CA" w:rsidRPr="00800B69">
        <w:rPr>
          <w:rFonts w:ascii="Palatino Linotype" w:hAnsi="Palatino Linotype" w:cs="Tahoma"/>
        </w:rPr>
        <w:t xml:space="preserve"> </w:t>
      </w:r>
      <w:r w:rsidRPr="00800B69">
        <w:rPr>
          <w:rFonts w:ascii="Palatino Linotype" w:hAnsi="Palatino Linotype" w:cs="Tahoma"/>
        </w:rPr>
        <w:t>distinto, va en contra del derecho de acceso a la información, de tal suerte que, la resolución</w:t>
      </w:r>
      <w:r w:rsidR="00B760CA" w:rsidRPr="00800B69">
        <w:rPr>
          <w:rFonts w:ascii="Palatino Linotype" w:hAnsi="Palatino Linotype" w:cs="Tahoma"/>
        </w:rPr>
        <w:t xml:space="preserve"> </w:t>
      </w:r>
      <w:r w:rsidRPr="00800B69">
        <w:rPr>
          <w:rFonts w:ascii="Palatino Linotype" w:hAnsi="Palatino Linotype" w:cs="Tahoma"/>
        </w:rPr>
        <w:t>que nos ocupa, debió indicar que los documentos que se remiten por las instituciones públicas</w:t>
      </w:r>
      <w:r w:rsidR="00B760CA" w:rsidRPr="00800B69">
        <w:rPr>
          <w:rFonts w:ascii="Palatino Linotype" w:hAnsi="Palatino Linotype" w:cs="Tahoma"/>
        </w:rPr>
        <w:t xml:space="preserve"> </w:t>
      </w:r>
      <w:r w:rsidRPr="00800B69">
        <w:rPr>
          <w:rFonts w:ascii="Palatino Linotype" w:hAnsi="Palatino Linotype" w:cs="Tahoma"/>
        </w:rPr>
        <w:t>al OSFEM, son documentos finales, esto quiere decir, que son actos consumados por las</w:t>
      </w:r>
      <w:r w:rsidR="00B760CA" w:rsidRPr="00800B69">
        <w:rPr>
          <w:rFonts w:ascii="Palatino Linotype" w:hAnsi="Palatino Linotype" w:cs="Tahoma"/>
        </w:rPr>
        <w:t xml:space="preserve"> </w:t>
      </w:r>
      <w:r w:rsidRPr="00800B69">
        <w:rPr>
          <w:rFonts w:ascii="Palatino Linotype" w:hAnsi="Palatino Linotype" w:cs="Tahoma"/>
        </w:rPr>
        <w:t>instituciones públicas y lo que la ley permite al OSFEM es clasificar la información que ellos</w:t>
      </w:r>
      <w:r w:rsidR="00B760CA" w:rsidRPr="00800B69">
        <w:rPr>
          <w:rFonts w:ascii="Palatino Linotype" w:hAnsi="Palatino Linotype" w:cs="Tahoma"/>
        </w:rPr>
        <w:t xml:space="preserve"> </w:t>
      </w:r>
      <w:r w:rsidRPr="00800B69">
        <w:rPr>
          <w:rFonts w:ascii="Palatino Linotype" w:hAnsi="Palatino Linotype" w:cs="Tahoma"/>
        </w:rPr>
        <w:t>generan derivado de las revisiones que realizan y que podrían dar cuenta de las observaciones</w:t>
      </w:r>
      <w:r w:rsidR="00B760CA" w:rsidRPr="00800B69">
        <w:rPr>
          <w:rFonts w:ascii="Palatino Linotype" w:hAnsi="Palatino Linotype" w:cs="Tahoma"/>
        </w:rPr>
        <w:t xml:space="preserve"> </w:t>
      </w:r>
      <w:r w:rsidRPr="00800B69">
        <w:rPr>
          <w:rFonts w:ascii="Palatino Linotype" w:hAnsi="Palatino Linotype" w:cs="Tahoma"/>
        </w:rPr>
        <w:t xml:space="preserve">hasta en tanto no </w:t>
      </w:r>
      <w:r w:rsidR="00712071" w:rsidRPr="00800B69">
        <w:rPr>
          <w:rFonts w:ascii="Palatino Linotype" w:hAnsi="Palatino Linotype" w:cs="Tahoma"/>
        </w:rPr>
        <w:t>estén acreditadas o solventadas, por lo que incluso el argumento de que los documentos están siendo fiscalizados, no es suficiente para restringir el derecho de acceso a la información.</w:t>
      </w:r>
    </w:p>
    <w:p w14:paraId="2F6040B4" w14:textId="77777777" w:rsidR="00104250" w:rsidRPr="00800B69" w:rsidRDefault="00104250" w:rsidP="00800B69">
      <w:pPr>
        <w:spacing w:after="0" w:line="360" w:lineRule="auto"/>
        <w:jc w:val="both"/>
        <w:rPr>
          <w:rFonts w:ascii="Palatino Linotype" w:hAnsi="Palatino Linotype" w:cs="Tahoma"/>
        </w:rPr>
      </w:pPr>
    </w:p>
    <w:p w14:paraId="1A9EFEED" w14:textId="37A261FC" w:rsidR="00104250" w:rsidRPr="00800B69" w:rsidRDefault="00104250" w:rsidP="00800B69">
      <w:pPr>
        <w:spacing w:after="0" w:line="360" w:lineRule="auto"/>
        <w:jc w:val="both"/>
        <w:rPr>
          <w:rFonts w:ascii="Palatino Linotype" w:hAnsi="Palatino Linotype" w:cs="Tahoma"/>
        </w:rPr>
      </w:pPr>
      <w:r w:rsidRPr="00800B69">
        <w:rPr>
          <w:rFonts w:ascii="Palatino Linotype" w:hAnsi="Palatino Linotype" w:cs="Tahoma"/>
        </w:rPr>
        <w:t>No se deja de lado que, el Poder Legislativo en ningún momento argumentó como justificación de la restricción del derecho de acceso a la información que los documentos fueran clasificados, simplemente indicó que es incompetente para hacer la entrega en virtud de que fueron generados por un sujeto obligado distinto y es este quien debe entregarlos, dejando de lado que la información sí obra en los archivos del Poder Legislativo.</w:t>
      </w:r>
    </w:p>
    <w:p w14:paraId="3EAAFAF8" w14:textId="77777777" w:rsidR="00800B69" w:rsidRPr="00800B69" w:rsidRDefault="00800B69" w:rsidP="00800B69">
      <w:pPr>
        <w:spacing w:after="0" w:line="360" w:lineRule="auto"/>
        <w:jc w:val="both"/>
        <w:rPr>
          <w:rFonts w:ascii="Palatino Linotype" w:hAnsi="Palatino Linotype" w:cs="Tahoma"/>
        </w:rPr>
      </w:pPr>
    </w:p>
    <w:p w14:paraId="3261B451" w14:textId="15571D0C" w:rsidR="000D4690" w:rsidRPr="00800B69" w:rsidRDefault="000D4690" w:rsidP="00800B69">
      <w:pPr>
        <w:spacing w:after="0" w:line="360" w:lineRule="auto"/>
        <w:jc w:val="both"/>
        <w:rPr>
          <w:rFonts w:ascii="Palatino Linotype" w:hAnsi="Palatino Linotype" w:cs="Tahoma"/>
        </w:rPr>
      </w:pPr>
      <w:r w:rsidRPr="00800B69">
        <w:rPr>
          <w:rFonts w:ascii="Palatino Linotype" w:hAnsi="Palatino Linotype" w:cs="Tahoma"/>
        </w:rPr>
        <w:t>Conforme a lo anterior, consideramos que se debió haber ordenado la entrega de la</w:t>
      </w:r>
      <w:r w:rsidR="00B760CA" w:rsidRPr="00800B69">
        <w:rPr>
          <w:rFonts w:ascii="Palatino Linotype" w:hAnsi="Palatino Linotype" w:cs="Tahoma"/>
        </w:rPr>
        <w:t xml:space="preserve"> </w:t>
      </w:r>
      <w:r w:rsidRPr="00800B69">
        <w:rPr>
          <w:rFonts w:ascii="Palatino Linotype" w:hAnsi="Palatino Linotype" w:cs="Tahoma"/>
        </w:rPr>
        <w:t>información en versión pública, toda vez que los informes trimestrales obran dentro de los</w:t>
      </w:r>
      <w:r w:rsidR="00B760CA" w:rsidRPr="00800B69">
        <w:rPr>
          <w:rFonts w:ascii="Palatino Linotype" w:hAnsi="Palatino Linotype" w:cs="Tahoma"/>
        </w:rPr>
        <w:t xml:space="preserve"> </w:t>
      </w:r>
      <w:r w:rsidRPr="00800B69">
        <w:rPr>
          <w:rFonts w:ascii="Palatino Linotype" w:hAnsi="Palatino Linotype" w:cs="Tahoma"/>
        </w:rPr>
        <w:t xml:space="preserve">archivos del Sujeto Obligado, además son los documentos que </w:t>
      </w:r>
      <w:r w:rsidR="009E72E2" w:rsidRPr="00800B69">
        <w:rPr>
          <w:rFonts w:ascii="Palatino Linotype" w:hAnsi="Palatino Linotype" w:cs="Tahoma"/>
        </w:rPr>
        <w:t>favorecen la transparencia y la</w:t>
      </w:r>
      <w:r w:rsidRPr="00800B69">
        <w:rPr>
          <w:rFonts w:ascii="Palatino Linotype" w:hAnsi="Palatino Linotype" w:cs="Tahoma"/>
        </w:rPr>
        <w:t xml:space="preserve"> rendición de cuentas, por lo que resulta importante</w:t>
      </w:r>
      <w:r w:rsidR="00B760CA" w:rsidRPr="00800B69">
        <w:rPr>
          <w:rFonts w:ascii="Palatino Linotype" w:hAnsi="Palatino Linotype" w:cs="Tahoma"/>
        </w:rPr>
        <w:t xml:space="preserve"> </w:t>
      </w:r>
      <w:r w:rsidRPr="00800B69">
        <w:rPr>
          <w:rFonts w:ascii="Palatino Linotype" w:hAnsi="Palatino Linotype" w:cs="Tahoma"/>
        </w:rPr>
        <w:t xml:space="preserve">tener acceso a los documentos que el Ayuntamiento de </w:t>
      </w:r>
      <w:r w:rsidR="00800B69" w:rsidRPr="00800B69">
        <w:rPr>
          <w:rFonts w:ascii="Palatino Linotype" w:hAnsi="Palatino Linotype" w:cs="Tahoma"/>
        </w:rPr>
        <w:t>Atizapán de Zaragoza</w:t>
      </w:r>
      <w:r w:rsidRPr="00800B69">
        <w:rPr>
          <w:rFonts w:ascii="Palatino Linotype" w:hAnsi="Palatino Linotype" w:cs="Tahoma"/>
        </w:rPr>
        <w:t xml:space="preserve"> entrega al Órgano Superior de</w:t>
      </w:r>
      <w:r w:rsidR="00B760CA" w:rsidRPr="00800B69">
        <w:rPr>
          <w:rFonts w:ascii="Palatino Linotype" w:hAnsi="Palatino Linotype" w:cs="Tahoma"/>
        </w:rPr>
        <w:t xml:space="preserve"> </w:t>
      </w:r>
      <w:r w:rsidRPr="00800B69">
        <w:rPr>
          <w:rFonts w:ascii="Palatino Linotype" w:hAnsi="Palatino Linotype" w:cs="Tahoma"/>
        </w:rPr>
        <w:t>Fiscalización.</w:t>
      </w:r>
    </w:p>
    <w:p w14:paraId="6665969F" w14:textId="77777777" w:rsidR="00B760CA" w:rsidRPr="00800B69" w:rsidRDefault="00B760CA" w:rsidP="00800B69">
      <w:pPr>
        <w:spacing w:after="0" w:line="360" w:lineRule="auto"/>
        <w:jc w:val="both"/>
        <w:rPr>
          <w:rFonts w:ascii="Palatino Linotype" w:hAnsi="Palatino Linotype" w:cs="Tahoma"/>
        </w:rPr>
      </w:pPr>
    </w:p>
    <w:p w14:paraId="4ABA7E7E" w14:textId="10D58284" w:rsidR="00C00078" w:rsidRPr="00800B69" w:rsidRDefault="000D4690" w:rsidP="00800B69">
      <w:pPr>
        <w:spacing w:after="0" w:line="360" w:lineRule="auto"/>
        <w:jc w:val="both"/>
        <w:rPr>
          <w:rFonts w:ascii="Palatino Linotype" w:hAnsi="Palatino Linotype" w:cs="Tahoma"/>
        </w:rPr>
      </w:pPr>
      <w:r w:rsidRPr="00800B69">
        <w:rPr>
          <w:rFonts w:ascii="Palatino Linotype" w:hAnsi="Palatino Linotype" w:cs="Tahoma"/>
        </w:rPr>
        <w:lastRenderedPageBreak/>
        <w:t>Robustece lo anterior, la nota periodística denominada “El Infoem firmó convenio</w:t>
      </w:r>
      <w:r w:rsidR="00B760CA" w:rsidRPr="00800B69">
        <w:rPr>
          <w:rFonts w:ascii="Palatino Linotype" w:hAnsi="Palatino Linotype" w:cs="Tahoma"/>
        </w:rPr>
        <w:t xml:space="preserve"> </w:t>
      </w:r>
      <w:r w:rsidRPr="00800B69">
        <w:rPr>
          <w:rFonts w:ascii="Palatino Linotype" w:hAnsi="Palatino Linotype" w:cs="Tahoma"/>
        </w:rPr>
        <w:t>interinstitucional con el OSFEM” del cinco de julio de dos mil veintidós, consultable en</w:t>
      </w:r>
      <w:r w:rsidR="00B760CA" w:rsidRPr="00800B69">
        <w:rPr>
          <w:rFonts w:ascii="Palatino Linotype" w:hAnsi="Palatino Linotype" w:cs="Tahoma"/>
        </w:rPr>
        <w:t xml:space="preserve"> </w:t>
      </w:r>
      <w:hyperlink r:id="rId7" w:history="1">
        <w:r w:rsidR="00B760CA" w:rsidRPr="00800B69">
          <w:rPr>
            <w:rStyle w:val="Hipervnculo"/>
            <w:rFonts w:ascii="Palatino Linotype" w:hAnsi="Palatino Linotype" w:cs="Tahoma"/>
            <w:i/>
            <w:sz w:val="20"/>
          </w:rPr>
          <w:t>https://www.infoem.org.mx/es/contenido/noticias/el-infoem-firm%C3%B3-conveniointerinstitucional-con-el-osfem</w:t>
        </w:r>
      </w:hyperlink>
      <w:r w:rsidRPr="00800B69">
        <w:rPr>
          <w:rFonts w:ascii="Palatino Linotype" w:hAnsi="Palatino Linotype" w:cs="Tahoma"/>
        </w:rPr>
        <w:t>, por medio de la cual se señala la revisión y análisis entre la</w:t>
      </w:r>
      <w:r w:rsidR="00B760CA" w:rsidRPr="00800B69">
        <w:rPr>
          <w:rFonts w:ascii="Palatino Linotype" w:hAnsi="Palatino Linotype" w:cs="Tahoma"/>
        </w:rPr>
        <w:t xml:space="preserve"> </w:t>
      </w:r>
      <w:r w:rsidRPr="00800B69">
        <w:rPr>
          <w:rFonts w:ascii="Palatino Linotype" w:hAnsi="Palatino Linotype" w:cs="Tahoma"/>
        </w:rPr>
        <w:t>posible disparidad o incongruencia de la información que las instituciones publican en sus</w:t>
      </w:r>
      <w:r w:rsidR="00B760CA" w:rsidRPr="00800B69">
        <w:rPr>
          <w:rFonts w:ascii="Palatino Linotype" w:hAnsi="Palatino Linotype" w:cs="Tahoma"/>
        </w:rPr>
        <w:t xml:space="preserve"> </w:t>
      </w:r>
      <w:r w:rsidRPr="00800B69">
        <w:rPr>
          <w:rFonts w:ascii="Palatino Linotype" w:hAnsi="Palatino Linotype" w:cs="Tahoma"/>
        </w:rPr>
        <w:t>portales de transparencia , a través del Sistema de Información Pública de Oficio Mexiquense</w:t>
      </w:r>
      <w:r w:rsidR="00B760CA" w:rsidRPr="00800B69">
        <w:rPr>
          <w:rFonts w:ascii="Palatino Linotype" w:hAnsi="Palatino Linotype" w:cs="Tahoma"/>
        </w:rPr>
        <w:t xml:space="preserve"> </w:t>
      </w:r>
      <w:r w:rsidRPr="00800B69">
        <w:rPr>
          <w:rFonts w:ascii="Palatino Linotype" w:hAnsi="Palatino Linotype" w:cs="Tahoma"/>
        </w:rPr>
        <w:t>(Ipomex) y aquella que reportan al Órgano Superior de Fiscalización, con el fin de iniciar de</w:t>
      </w:r>
      <w:r w:rsidR="00B760CA" w:rsidRPr="00800B69">
        <w:rPr>
          <w:rFonts w:ascii="Palatino Linotype" w:hAnsi="Palatino Linotype" w:cs="Tahoma"/>
        </w:rPr>
        <w:t xml:space="preserve"> </w:t>
      </w:r>
      <w:r w:rsidRPr="00800B69">
        <w:rPr>
          <w:rFonts w:ascii="Palatino Linotype" w:hAnsi="Palatino Linotype" w:cs="Tahoma"/>
        </w:rPr>
        <w:t>manera más eficiente, los procedimientos de responsabilidad administrativa que puedan</w:t>
      </w:r>
      <w:r w:rsidR="00B760CA" w:rsidRPr="00800B69">
        <w:rPr>
          <w:rFonts w:ascii="Palatino Linotype" w:hAnsi="Palatino Linotype" w:cs="Tahoma"/>
        </w:rPr>
        <w:t xml:space="preserve"> </w:t>
      </w:r>
      <w:r w:rsidRPr="00800B69">
        <w:rPr>
          <w:rFonts w:ascii="Palatino Linotype" w:hAnsi="Palatino Linotype" w:cs="Tahoma"/>
        </w:rPr>
        <w:t>existir y disminuir los índices de corrupción en servicio estatal y municipal.</w:t>
      </w:r>
    </w:p>
    <w:p w14:paraId="1FE2C1F6" w14:textId="77777777" w:rsidR="00C00078" w:rsidRPr="00800B69" w:rsidRDefault="00C00078" w:rsidP="00800B69">
      <w:pPr>
        <w:spacing w:after="0" w:line="360" w:lineRule="auto"/>
        <w:jc w:val="both"/>
        <w:rPr>
          <w:rFonts w:ascii="Palatino Linotype" w:hAnsi="Palatino Linotype" w:cs="Tahoma"/>
        </w:rPr>
      </w:pPr>
    </w:p>
    <w:p w14:paraId="4ABB6A9F" w14:textId="32005BE8" w:rsidR="00C00078" w:rsidRPr="00800B69" w:rsidRDefault="00C00078" w:rsidP="00800B69">
      <w:pPr>
        <w:spacing w:after="0" w:line="360" w:lineRule="auto"/>
        <w:jc w:val="both"/>
        <w:rPr>
          <w:rFonts w:ascii="Palatino Linotype" w:hAnsi="Palatino Linotype" w:cs="Tahoma"/>
        </w:rPr>
      </w:pPr>
      <w:r w:rsidRPr="00800B69">
        <w:rPr>
          <w:rFonts w:ascii="Palatino Linotype" w:hAnsi="Palatino Linotype" w:cs="Tahoma"/>
        </w:rPr>
        <w:t xml:space="preserve">Es valioso señalar que la afirmación, de que la información es localizable en el Ayuntamiento de </w:t>
      </w:r>
      <w:r w:rsidR="00800B69" w:rsidRPr="00800B69">
        <w:rPr>
          <w:rFonts w:ascii="Palatino Linotype" w:hAnsi="Palatino Linotype" w:cs="Tahoma"/>
        </w:rPr>
        <w:t>Atizapán de Zaragoza</w:t>
      </w:r>
      <w:r w:rsidRPr="00800B69">
        <w:rPr>
          <w:rFonts w:ascii="Palatino Linotype" w:hAnsi="Palatino Linotype" w:cs="Tahoma"/>
        </w:rPr>
        <w:t xml:space="preserve">, no es falsa, pues en efecto, es el Sujeto Obligado generador de la información, lo que no exime al Poder Legislativo a contar con ella en sus archivos, al respecto, el Instituto Nacional de Transparencia, Acceso a la </w:t>
      </w:r>
      <w:r w:rsidR="000937D3" w:rsidRPr="00800B69">
        <w:rPr>
          <w:rFonts w:ascii="Palatino Linotype" w:hAnsi="Palatino Linotype" w:cs="Tahoma"/>
        </w:rPr>
        <w:t>Información</w:t>
      </w:r>
      <w:r w:rsidRPr="00800B69">
        <w:rPr>
          <w:rFonts w:ascii="Palatino Linotype" w:hAnsi="Palatino Linotype" w:cs="Tahoma"/>
        </w:rPr>
        <w:t xml:space="preserve"> Pública y Protección de Datos Personales (INAI), a través de su criterio histórico, con clave de control SO/015/2013, contempla la existencia de competencias concurrentes, en los siguientes términos:</w:t>
      </w:r>
    </w:p>
    <w:p w14:paraId="70D293FA" w14:textId="77777777" w:rsidR="00C00078" w:rsidRPr="00800B69" w:rsidRDefault="00C00078" w:rsidP="00800B69">
      <w:pPr>
        <w:spacing w:after="0" w:line="360" w:lineRule="auto"/>
        <w:jc w:val="both"/>
        <w:rPr>
          <w:rFonts w:ascii="Palatino Linotype" w:hAnsi="Palatino Linotype" w:cs="Tahoma"/>
        </w:rPr>
      </w:pPr>
    </w:p>
    <w:p w14:paraId="30B8D712" w14:textId="1831405A" w:rsidR="00C00078" w:rsidRPr="00800B69" w:rsidRDefault="00C00078" w:rsidP="00800B69">
      <w:pPr>
        <w:spacing w:after="0" w:line="360" w:lineRule="auto"/>
        <w:ind w:left="567" w:right="616"/>
        <w:jc w:val="both"/>
        <w:rPr>
          <w:rFonts w:ascii="Palatino Linotype" w:hAnsi="Palatino Linotype" w:cs="Tahoma"/>
          <w:i/>
          <w:iCs/>
          <w:sz w:val="20"/>
          <w:szCs w:val="20"/>
        </w:rPr>
      </w:pPr>
      <w:r w:rsidRPr="00800B69">
        <w:rPr>
          <w:rFonts w:ascii="Palatino Linotype" w:hAnsi="Palatino Linotype" w:cs="Tahoma"/>
          <w:b/>
          <w:bCs/>
          <w:i/>
          <w:iCs/>
          <w:sz w:val="20"/>
          <w:szCs w:val="20"/>
        </w:rPr>
        <w:t>Competencia concurrente. Los sujetos obligados deberán proporcionar la información con la que cuenten y orientar al particular a las otras autoridades competentes</w:t>
      </w:r>
      <w:r w:rsidRPr="00800B69">
        <w:rPr>
          <w:rFonts w:ascii="Palatino Linotype" w:hAnsi="Palatino Linotype" w:cs="Tahoma"/>
          <w:i/>
          <w:iCs/>
          <w:sz w:val="20"/>
          <w:szCs w:val="20"/>
        </w:rPr>
        <w:t xml:space="preserve">. De conformidad con lo dispuesto en el artículo 28, fracción III de la Ley Federal de Transparencia y Acceso a la Información Pública Gubernamental, cuando las dependencias y entidades de la Administración Pública Federal reciban una solicitud de acceso a información gubernamental que no sea de su competencia, deberán orientar al particular para que presente una nueva solicitud de acceso ante la Unidad de Enlace de la autoridad competente para conocer de la información. Ahora bien, cuando sobre una materia, el sujeto obligado tenga una competencia concurrente con otra u otras autoridades, deberá agotar el procedimiento de búsqueda de la </w:t>
      </w:r>
      <w:r w:rsidRPr="00800B69">
        <w:rPr>
          <w:rFonts w:ascii="Palatino Linotype" w:hAnsi="Palatino Linotype" w:cs="Tahoma"/>
          <w:i/>
          <w:iCs/>
          <w:sz w:val="20"/>
          <w:szCs w:val="20"/>
        </w:rPr>
        <w:lastRenderedPageBreak/>
        <w:t>información y proporcionar aquélla con la que cuente o, de no contar con ésta, deberá declarar formalmente la inexistencia y, en su caso, orientar al particular para que, de así considerarlo, presente su solicitud ante la dependencia o entidad que también tengan competencia para conocer de la información.</w:t>
      </w:r>
    </w:p>
    <w:p w14:paraId="4207CFC4" w14:textId="77777777" w:rsidR="000D4690" w:rsidRPr="00800B69" w:rsidRDefault="000D4690" w:rsidP="00800B69">
      <w:pPr>
        <w:spacing w:after="0" w:line="360" w:lineRule="auto"/>
        <w:jc w:val="both"/>
        <w:rPr>
          <w:rFonts w:ascii="Palatino Linotype" w:hAnsi="Palatino Linotype" w:cs="Tahoma"/>
        </w:rPr>
      </w:pPr>
    </w:p>
    <w:p w14:paraId="492646CF" w14:textId="52968427" w:rsidR="000D4690" w:rsidRPr="00800B69" w:rsidRDefault="000D4690" w:rsidP="00800B69">
      <w:pPr>
        <w:spacing w:after="0" w:line="360" w:lineRule="auto"/>
        <w:jc w:val="both"/>
        <w:rPr>
          <w:rFonts w:ascii="Palatino Linotype" w:hAnsi="Palatino Linotype" w:cs="Tahoma"/>
        </w:rPr>
      </w:pPr>
      <w:r w:rsidRPr="00800B69">
        <w:rPr>
          <w:rFonts w:ascii="Palatino Linotype" w:hAnsi="Palatino Linotype" w:cs="Tahoma"/>
        </w:rPr>
        <w:t>De lo anterior, se logra vislumbrar el interés legítimo del Particular en acceder a la información</w:t>
      </w:r>
      <w:r w:rsidR="00B760CA" w:rsidRPr="00800B69">
        <w:rPr>
          <w:rFonts w:ascii="Palatino Linotype" w:hAnsi="Palatino Linotype" w:cs="Tahoma"/>
        </w:rPr>
        <w:t xml:space="preserve"> </w:t>
      </w:r>
      <w:r w:rsidRPr="00800B69">
        <w:rPr>
          <w:rFonts w:ascii="Palatino Linotype" w:hAnsi="Palatino Linotype" w:cs="Tahoma"/>
        </w:rPr>
        <w:t>tanto en posesión del Ayuntamiento</w:t>
      </w:r>
      <w:r w:rsidR="00C00078" w:rsidRPr="00800B69">
        <w:rPr>
          <w:rFonts w:ascii="Palatino Linotype" w:hAnsi="Palatino Linotype" w:cs="Tahoma"/>
        </w:rPr>
        <w:t xml:space="preserve"> </w:t>
      </w:r>
      <w:r w:rsidRPr="00800B69">
        <w:rPr>
          <w:rFonts w:ascii="Palatino Linotype" w:hAnsi="Palatino Linotype" w:cs="Tahoma"/>
        </w:rPr>
        <w:t>como la del Órgano Superior de Fiscalización,</w:t>
      </w:r>
      <w:r w:rsidR="00B760CA" w:rsidRPr="00800B69">
        <w:rPr>
          <w:rFonts w:ascii="Palatino Linotype" w:hAnsi="Palatino Linotype" w:cs="Tahoma"/>
        </w:rPr>
        <w:t xml:space="preserve"> </w:t>
      </w:r>
      <w:r w:rsidRPr="00800B69">
        <w:rPr>
          <w:rFonts w:ascii="Palatino Linotype" w:hAnsi="Palatino Linotype" w:cs="Tahoma"/>
        </w:rPr>
        <w:t>a fin de verificar el cumplimiento de las obligaciones y que permiten a la</w:t>
      </w:r>
      <w:r w:rsidR="00B760CA" w:rsidRPr="00800B69">
        <w:rPr>
          <w:rFonts w:ascii="Palatino Linotype" w:hAnsi="Palatino Linotype" w:cs="Tahoma"/>
        </w:rPr>
        <w:t xml:space="preserve"> </w:t>
      </w:r>
      <w:r w:rsidRPr="00800B69">
        <w:rPr>
          <w:rFonts w:ascii="Palatino Linotype" w:hAnsi="Palatino Linotype" w:cs="Tahoma"/>
        </w:rPr>
        <w:t>ciudadanía involucrarse de manera activa en la rendición de cuentas y combate a la</w:t>
      </w:r>
      <w:r w:rsidR="00B760CA" w:rsidRPr="00800B69">
        <w:rPr>
          <w:rFonts w:ascii="Palatino Linotype" w:hAnsi="Palatino Linotype" w:cs="Tahoma"/>
        </w:rPr>
        <w:t xml:space="preserve"> </w:t>
      </w:r>
      <w:r w:rsidRPr="00800B69">
        <w:rPr>
          <w:rFonts w:ascii="Palatino Linotype" w:hAnsi="Palatino Linotype" w:cs="Tahoma"/>
        </w:rPr>
        <w:t>corrupción, de tal manera que en el presente caso debió prevalecer el principio de máxima</w:t>
      </w:r>
      <w:r w:rsidR="00B760CA" w:rsidRPr="00800B69">
        <w:rPr>
          <w:rFonts w:ascii="Palatino Linotype" w:hAnsi="Palatino Linotype" w:cs="Tahoma"/>
        </w:rPr>
        <w:t xml:space="preserve"> </w:t>
      </w:r>
      <w:r w:rsidRPr="00800B69">
        <w:rPr>
          <w:rFonts w:ascii="Palatino Linotype" w:hAnsi="Palatino Linotype" w:cs="Tahoma"/>
        </w:rPr>
        <w:t>publicidad y ordenar al Órgano Superior de Fiscalización, la entrega del</w:t>
      </w:r>
      <w:r w:rsidR="00B760CA" w:rsidRPr="00800B69">
        <w:rPr>
          <w:rFonts w:ascii="Palatino Linotype" w:hAnsi="Palatino Linotype" w:cs="Tahoma"/>
        </w:rPr>
        <w:t xml:space="preserve"> </w:t>
      </w:r>
      <w:r w:rsidRPr="00800B69">
        <w:rPr>
          <w:rFonts w:ascii="Palatino Linotype" w:hAnsi="Palatino Linotype" w:cs="Tahoma"/>
        </w:rPr>
        <w:t>Informe Trimestral con la documentación de interés del particular y que satisfacen el derecho</w:t>
      </w:r>
      <w:r w:rsidR="00B760CA" w:rsidRPr="00800B69">
        <w:rPr>
          <w:rFonts w:ascii="Palatino Linotype" w:hAnsi="Palatino Linotype" w:cs="Tahoma"/>
        </w:rPr>
        <w:t xml:space="preserve"> </w:t>
      </w:r>
      <w:r w:rsidRPr="00800B69">
        <w:rPr>
          <w:rFonts w:ascii="Palatino Linotype" w:hAnsi="Palatino Linotype" w:cs="Tahoma"/>
        </w:rPr>
        <w:t>de acceso a la información del Recurrente, y no confirmar l</w:t>
      </w:r>
      <w:r w:rsidR="00C00078" w:rsidRPr="00800B69">
        <w:rPr>
          <w:rFonts w:ascii="Palatino Linotype" w:hAnsi="Palatino Linotype" w:cs="Tahoma"/>
        </w:rPr>
        <w:t>a incompetencia de poseer la información.</w:t>
      </w:r>
    </w:p>
    <w:p w14:paraId="68255DD2" w14:textId="77777777" w:rsidR="000D4690" w:rsidRPr="00800B69" w:rsidRDefault="000D4690" w:rsidP="00800B69">
      <w:pPr>
        <w:spacing w:after="0" w:line="360" w:lineRule="auto"/>
        <w:jc w:val="both"/>
        <w:rPr>
          <w:rFonts w:ascii="Palatino Linotype" w:hAnsi="Palatino Linotype" w:cs="Tahoma"/>
        </w:rPr>
      </w:pPr>
    </w:p>
    <w:p w14:paraId="7FFFC4FF" w14:textId="207D10CD" w:rsidR="00F84B95" w:rsidRPr="00800B69" w:rsidRDefault="00F84B95" w:rsidP="00800B69">
      <w:pPr>
        <w:spacing w:line="360" w:lineRule="auto"/>
        <w:jc w:val="both"/>
        <w:rPr>
          <w:rFonts w:ascii="Palatino Linotype" w:hAnsi="Palatino Linotype" w:cs="Tahoma"/>
        </w:rPr>
      </w:pPr>
      <w:r w:rsidRPr="00800B69">
        <w:rPr>
          <w:rFonts w:ascii="Palatino Linotype" w:hAnsi="Palatino Linotype" w:cs="Tahoma"/>
        </w:rPr>
        <w:t xml:space="preserve">Así, con base en los razonamientos expuestos, </w:t>
      </w:r>
      <w:r w:rsidRPr="00800B69">
        <w:rPr>
          <w:rFonts w:ascii="Palatino Linotype" w:hAnsi="Palatino Linotype" w:cs="Tahoma"/>
          <w:b/>
        </w:rPr>
        <w:t xml:space="preserve">se emite el presente Voto </w:t>
      </w:r>
      <w:r w:rsidR="00DD7150" w:rsidRPr="00800B69">
        <w:rPr>
          <w:rFonts w:ascii="Palatino Linotype" w:hAnsi="Palatino Linotype" w:cs="Tahoma"/>
          <w:b/>
        </w:rPr>
        <w:t>Disidente</w:t>
      </w:r>
      <w:r w:rsidR="000937D3" w:rsidRPr="00800B69">
        <w:rPr>
          <w:rFonts w:ascii="Palatino Linotype" w:hAnsi="Palatino Linotype" w:cs="Tahoma"/>
          <w:b/>
        </w:rPr>
        <w:t xml:space="preserve"> Concurrente</w:t>
      </w:r>
      <w:r w:rsidR="00DD7150" w:rsidRPr="00800B69">
        <w:rPr>
          <w:rFonts w:ascii="Palatino Linotype" w:hAnsi="Palatino Linotype" w:cs="Tahoma"/>
        </w:rPr>
        <w:t xml:space="preserve">. </w:t>
      </w:r>
      <w:r w:rsidR="000937D3" w:rsidRPr="00800B69">
        <w:rPr>
          <w:rFonts w:ascii="Palatino Linotype" w:hAnsi="Palatino Linotype" w:cs="Tahoma"/>
        </w:rPr>
        <w:t xml:space="preserve"> </w:t>
      </w:r>
      <w:r w:rsidR="00DD7150" w:rsidRPr="00800B69">
        <w:rPr>
          <w:rFonts w:ascii="Palatino Linotype" w:hAnsi="Palatino Linotype" w:cs="Tahoma"/>
        </w:rPr>
        <w:t>---------------------------------------------------------------------------------------------------------------------------------</w:t>
      </w:r>
      <w:r w:rsidR="00C45719" w:rsidRPr="00800B69">
        <w:rPr>
          <w:rFonts w:ascii="Palatino Linotype" w:hAnsi="Palatino Linotype" w:cs="Tahoma"/>
        </w:rPr>
        <w:t>---------------------------------------------------------------------------------------------------------------------</w:t>
      </w:r>
      <w:r w:rsidR="000937D3" w:rsidRPr="00800B69">
        <w:rPr>
          <w:rFonts w:ascii="Palatino Linotype" w:hAnsi="Palatino Linotype" w:cs="Tahoma"/>
        </w:rPr>
        <w:t>---------------------------------------------------------------------------------------------</w:t>
      </w:r>
      <w:r w:rsidR="00C45719" w:rsidRPr="00800B69">
        <w:rPr>
          <w:rFonts w:ascii="Palatino Linotype" w:hAnsi="Palatino Linotype" w:cs="Tahoma"/>
        </w:rPr>
        <w:t>--</w:t>
      </w:r>
    </w:p>
    <w:p w14:paraId="76DD5688" w14:textId="77777777" w:rsidR="00F84B95" w:rsidRPr="00800B69" w:rsidRDefault="00F84B95" w:rsidP="00800B69">
      <w:pPr>
        <w:spacing w:line="360" w:lineRule="auto"/>
        <w:rPr>
          <w:rFonts w:ascii="Palatino Linotype" w:hAnsi="Palatino Linotype" w:cs="Tahoma"/>
        </w:rPr>
      </w:pPr>
    </w:p>
    <w:p w14:paraId="244D9A4A" w14:textId="77777777" w:rsidR="00F84B95" w:rsidRPr="00800B69" w:rsidRDefault="00F84B95" w:rsidP="00800B69">
      <w:pPr>
        <w:spacing w:line="360" w:lineRule="auto"/>
        <w:rPr>
          <w:rFonts w:ascii="Palatino Linotype" w:hAnsi="Palatino Linotype" w:cs="Tahoma"/>
        </w:rPr>
      </w:pPr>
    </w:p>
    <w:p w14:paraId="5024DE86" w14:textId="77777777" w:rsidR="00F84B95" w:rsidRPr="00800B69" w:rsidRDefault="00F84B95" w:rsidP="00800B69">
      <w:pPr>
        <w:spacing w:line="360" w:lineRule="auto"/>
        <w:rPr>
          <w:rFonts w:ascii="Palatino Linotype" w:hAnsi="Palatino Linotype" w:cs="Tahoma"/>
        </w:rPr>
      </w:pPr>
    </w:p>
    <w:p w14:paraId="3179AC1F" w14:textId="77777777" w:rsidR="00F84B95" w:rsidRPr="00800B69" w:rsidRDefault="00F84B95" w:rsidP="00800B69">
      <w:pPr>
        <w:spacing w:line="360" w:lineRule="auto"/>
        <w:rPr>
          <w:rFonts w:ascii="Palatino Linotype" w:hAnsi="Palatino Linotype" w:cs="Tahoma"/>
        </w:rPr>
      </w:pPr>
    </w:p>
    <w:p w14:paraId="23CCFB41" w14:textId="77777777" w:rsidR="00F84B95" w:rsidRPr="00800B69" w:rsidRDefault="00F84B95" w:rsidP="00800B69">
      <w:pPr>
        <w:spacing w:line="360" w:lineRule="auto"/>
        <w:rPr>
          <w:rFonts w:ascii="Palatino Linotype" w:hAnsi="Palatino Linotype" w:cs="Tahoma"/>
        </w:rPr>
      </w:pPr>
    </w:p>
    <w:p w14:paraId="09CFA5DD" w14:textId="77777777" w:rsidR="00F84B95" w:rsidRPr="00800B69" w:rsidRDefault="00F84B95" w:rsidP="00800B69">
      <w:pPr>
        <w:spacing w:line="360" w:lineRule="auto"/>
        <w:rPr>
          <w:rFonts w:ascii="Palatino Linotype" w:hAnsi="Palatino Linotype" w:cs="Tahoma"/>
        </w:rPr>
      </w:pPr>
    </w:p>
    <w:p w14:paraId="7E1ABA11" w14:textId="77777777" w:rsidR="00F84B95" w:rsidRPr="00800B69" w:rsidRDefault="00F84B95" w:rsidP="00800B69">
      <w:pPr>
        <w:spacing w:line="360" w:lineRule="auto"/>
        <w:rPr>
          <w:rFonts w:ascii="Palatino Linotype" w:hAnsi="Palatino Linotype" w:cs="Tahoma"/>
        </w:rPr>
      </w:pPr>
    </w:p>
    <w:p w14:paraId="62611383" w14:textId="77777777" w:rsidR="00F84B95" w:rsidRPr="00800B69" w:rsidRDefault="00F84B95" w:rsidP="00800B69">
      <w:pPr>
        <w:spacing w:line="360" w:lineRule="auto"/>
        <w:rPr>
          <w:rFonts w:ascii="Palatino Linotype" w:hAnsi="Palatino Linotype" w:cs="Tahoma"/>
        </w:rPr>
      </w:pPr>
    </w:p>
    <w:p w14:paraId="413673D0" w14:textId="77777777" w:rsidR="00F84B95" w:rsidRPr="00800B69" w:rsidRDefault="00F84B95" w:rsidP="00800B69">
      <w:pPr>
        <w:spacing w:line="360" w:lineRule="auto"/>
        <w:rPr>
          <w:rFonts w:ascii="Palatino Linotype" w:hAnsi="Palatino Linotype" w:cs="Tahoma"/>
        </w:rPr>
      </w:pPr>
    </w:p>
    <w:p w14:paraId="6105C9A1" w14:textId="77777777" w:rsidR="00F84B95" w:rsidRPr="00800B69" w:rsidRDefault="00F84B95" w:rsidP="00800B69">
      <w:pPr>
        <w:spacing w:line="360" w:lineRule="auto"/>
        <w:rPr>
          <w:rFonts w:ascii="Palatino Linotype" w:hAnsi="Palatino Linotype" w:cs="Tahoma"/>
        </w:rPr>
      </w:pPr>
    </w:p>
    <w:p w14:paraId="39EB3D58" w14:textId="77777777" w:rsidR="00986A57" w:rsidRPr="00800B69" w:rsidRDefault="00986A57" w:rsidP="00800B69">
      <w:pPr>
        <w:spacing w:line="360" w:lineRule="auto"/>
        <w:rPr>
          <w:rFonts w:ascii="Palatino Linotype" w:hAnsi="Palatino Linotype" w:cs="Tahoma"/>
        </w:rPr>
      </w:pPr>
    </w:p>
    <w:p w14:paraId="109D3210" w14:textId="77777777" w:rsidR="00986A57" w:rsidRPr="00800B69" w:rsidRDefault="00986A57" w:rsidP="00800B69">
      <w:pPr>
        <w:spacing w:line="360" w:lineRule="auto"/>
        <w:rPr>
          <w:rFonts w:ascii="Palatino Linotype" w:hAnsi="Palatino Linotype" w:cs="Tahoma"/>
        </w:rPr>
      </w:pPr>
    </w:p>
    <w:p w14:paraId="79964229" w14:textId="77777777" w:rsidR="00986A57" w:rsidRPr="00800B69" w:rsidRDefault="00986A57" w:rsidP="00800B69">
      <w:pPr>
        <w:spacing w:line="360" w:lineRule="auto"/>
        <w:rPr>
          <w:rFonts w:ascii="Palatino Linotype" w:hAnsi="Palatino Linotype" w:cs="Tahoma"/>
        </w:rPr>
      </w:pPr>
    </w:p>
    <w:p w14:paraId="1475217F" w14:textId="77777777" w:rsidR="00986A57" w:rsidRPr="00800B69" w:rsidRDefault="00986A57" w:rsidP="00800B69">
      <w:pPr>
        <w:spacing w:line="360" w:lineRule="auto"/>
        <w:rPr>
          <w:rFonts w:ascii="Palatino Linotype" w:hAnsi="Palatino Linotype" w:cs="Tahoma"/>
        </w:rPr>
      </w:pPr>
    </w:p>
    <w:p w14:paraId="6C92CFB0" w14:textId="77777777" w:rsidR="00986A57" w:rsidRPr="00800B69" w:rsidRDefault="00986A57" w:rsidP="00800B69">
      <w:pPr>
        <w:spacing w:line="360" w:lineRule="auto"/>
        <w:rPr>
          <w:rFonts w:ascii="Palatino Linotype" w:hAnsi="Palatino Linotype" w:cs="Tahoma"/>
        </w:rPr>
      </w:pPr>
    </w:p>
    <w:p w14:paraId="573688E0" w14:textId="77777777" w:rsidR="00986A57" w:rsidRPr="00800B69" w:rsidRDefault="00986A57" w:rsidP="00800B69">
      <w:pPr>
        <w:spacing w:line="360" w:lineRule="auto"/>
        <w:rPr>
          <w:rFonts w:ascii="Palatino Linotype" w:hAnsi="Palatino Linotype" w:cs="Tahoma"/>
        </w:rPr>
      </w:pPr>
    </w:p>
    <w:p w14:paraId="622DCF9E" w14:textId="77777777" w:rsidR="00986A57" w:rsidRPr="00800B69" w:rsidRDefault="00986A57" w:rsidP="00800B69">
      <w:pPr>
        <w:spacing w:line="360" w:lineRule="auto"/>
        <w:rPr>
          <w:rFonts w:ascii="Palatino Linotype" w:hAnsi="Palatino Linotype" w:cs="Tahoma"/>
        </w:rPr>
      </w:pPr>
    </w:p>
    <w:p w14:paraId="1282BCDD" w14:textId="77777777" w:rsidR="00986A57" w:rsidRPr="00800B69" w:rsidRDefault="00986A57" w:rsidP="00800B69">
      <w:pPr>
        <w:spacing w:line="360" w:lineRule="auto"/>
        <w:rPr>
          <w:rFonts w:ascii="Palatino Linotype" w:hAnsi="Palatino Linotype" w:cs="Tahoma"/>
        </w:rPr>
      </w:pPr>
    </w:p>
    <w:p w14:paraId="3C94234E" w14:textId="77777777" w:rsidR="00986A57" w:rsidRPr="00800B69" w:rsidRDefault="00986A57" w:rsidP="00800B69">
      <w:pPr>
        <w:spacing w:line="360" w:lineRule="auto"/>
        <w:rPr>
          <w:rFonts w:ascii="Palatino Linotype" w:hAnsi="Palatino Linotype" w:cs="Tahoma"/>
        </w:rPr>
      </w:pPr>
    </w:p>
    <w:p w14:paraId="1A1B49F2" w14:textId="77777777" w:rsidR="00986A57" w:rsidRPr="00800B69" w:rsidRDefault="00986A57" w:rsidP="00800B69">
      <w:pPr>
        <w:spacing w:line="360" w:lineRule="auto"/>
        <w:rPr>
          <w:rFonts w:ascii="Palatino Linotype" w:hAnsi="Palatino Linotype" w:cs="Tahoma"/>
        </w:rPr>
      </w:pPr>
    </w:p>
    <w:p w14:paraId="23F07DE4" w14:textId="77777777" w:rsidR="00986A57" w:rsidRPr="00800B69" w:rsidRDefault="00986A57" w:rsidP="00800B69">
      <w:pPr>
        <w:spacing w:line="360" w:lineRule="auto"/>
        <w:rPr>
          <w:rFonts w:ascii="Palatino Linotype" w:hAnsi="Palatino Linotype" w:cs="Tahoma"/>
        </w:rPr>
      </w:pPr>
    </w:p>
    <w:p w14:paraId="5C1A5769" w14:textId="77777777" w:rsidR="00986A57" w:rsidRPr="00800B69" w:rsidRDefault="00986A57" w:rsidP="00800B69">
      <w:pPr>
        <w:spacing w:line="360" w:lineRule="auto"/>
        <w:rPr>
          <w:rFonts w:ascii="Palatino Linotype" w:hAnsi="Palatino Linotype" w:cs="Tahoma"/>
        </w:rPr>
      </w:pPr>
    </w:p>
    <w:p w14:paraId="79985133" w14:textId="77777777" w:rsidR="00986A57" w:rsidRPr="00800B69" w:rsidRDefault="00986A57" w:rsidP="00800B69">
      <w:pPr>
        <w:spacing w:line="360" w:lineRule="auto"/>
        <w:rPr>
          <w:rFonts w:ascii="Palatino Linotype" w:hAnsi="Palatino Linotype" w:cs="Tahoma"/>
        </w:rPr>
      </w:pPr>
    </w:p>
    <w:p w14:paraId="361501E0" w14:textId="77777777" w:rsidR="00F84B95" w:rsidRPr="00800B69" w:rsidRDefault="00F84B95" w:rsidP="00800B69">
      <w:pPr>
        <w:spacing w:line="360" w:lineRule="auto"/>
        <w:rPr>
          <w:rFonts w:ascii="Palatino Linotype" w:hAnsi="Palatino Linotype" w:cs="Tahoma"/>
        </w:rPr>
      </w:pPr>
    </w:p>
    <w:p w14:paraId="5EF5C6CA" w14:textId="77777777" w:rsidR="00F84B95" w:rsidRPr="00800B69" w:rsidRDefault="00F84B95" w:rsidP="00800B69">
      <w:pPr>
        <w:spacing w:line="360" w:lineRule="auto"/>
        <w:rPr>
          <w:rFonts w:ascii="Palatino Linotype" w:hAnsi="Palatino Linotype" w:cs="Tahoma"/>
        </w:rPr>
      </w:pPr>
    </w:p>
    <w:sectPr w:rsidR="00F84B95" w:rsidRPr="00800B69" w:rsidSect="00950355">
      <w:headerReference w:type="even" r:id="rId8"/>
      <w:headerReference w:type="default" r:id="rId9"/>
      <w:footerReference w:type="default" r:id="rId10"/>
      <w:headerReference w:type="firs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32E1" w14:textId="77777777" w:rsidR="007B1EED" w:rsidRDefault="007B1EED" w:rsidP="00A80C30">
      <w:pPr>
        <w:spacing w:after="0" w:line="240" w:lineRule="auto"/>
      </w:pPr>
      <w:r>
        <w:separator/>
      </w:r>
    </w:p>
  </w:endnote>
  <w:endnote w:type="continuationSeparator" w:id="0">
    <w:p w14:paraId="72B1575D" w14:textId="77777777" w:rsidR="007B1EED" w:rsidRDefault="007B1EED"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800B69"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8647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8647C">
              <w:rPr>
                <w:b/>
                <w:bCs/>
                <w:noProof/>
              </w:rPr>
              <w:t>12</w:t>
            </w:r>
            <w:r>
              <w:rPr>
                <w:b/>
                <w:bCs/>
                <w:sz w:val="24"/>
                <w:szCs w:val="24"/>
              </w:rPr>
              <w:fldChar w:fldCharType="end"/>
            </w:r>
          </w:p>
        </w:sdtContent>
      </w:sdt>
    </w:sdtContent>
  </w:sdt>
  <w:p w14:paraId="0581D3D8" w14:textId="77777777" w:rsidR="00800B69" w:rsidRDefault="00800B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4B417" w14:textId="77777777" w:rsidR="007B1EED" w:rsidRDefault="007B1EED" w:rsidP="00A80C30">
      <w:pPr>
        <w:spacing w:after="0" w:line="240" w:lineRule="auto"/>
      </w:pPr>
      <w:r>
        <w:separator/>
      </w:r>
    </w:p>
  </w:footnote>
  <w:footnote w:type="continuationSeparator" w:id="0">
    <w:p w14:paraId="0109719D" w14:textId="77777777" w:rsidR="007B1EED" w:rsidRDefault="007B1EED"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800B69">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528"/>
    </w:tblGrid>
    <w:tr w:rsidR="0077694E" w:rsidRPr="001106EA" w14:paraId="1FC3852C" w14:textId="77777777" w:rsidTr="00D60170">
      <w:trPr>
        <w:trHeight w:val="1843"/>
      </w:trPr>
      <w:tc>
        <w:tcPr>
          <w:tcW w:w="3686" w:type="dxa"/>
          <w:vAlign w:val="bottom"/>
        </w:tcPr>
        <w:p w14:paraId="3BB07D34" w14:textId="77777777" w:rsidR="00800B69"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5528" w:type="dxa"/>
          <w:vAlign w:val="center"/>
        </w:tcPr>
        <w:p w14:paraId="3C4C7CFE" w14:textId="77777777" w:rsidR="00800B69" w:rsidRPr="00B9745A" w:rsidRDefault="00800B69" w:rsidP="00285C7B">
          <w:pPr>
            <w:pStyle w:val="Encabezado"/>
            <w:ind w:right="-250"/>
            <w:jc w:val="both"/>
            <w:rPr>
              <w:rFonts w:ascii="Palatino Linotype" w:hAnsi="Palatino Linotype" w:cs="Tahoma"/>
            </w:rPr>
          </w:pPr>
        </w:p>
        <w:p w14:paraId="5D63E913" w14:textId="6F21112C" w:rsidR="00800B69"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sidR="00C66575">
            <w:rPr>
              <w:rFonts w:ascii="Palatino Linotype" w:hAnsi="Palatino Linotype" w:cs="Tahoma"/>
              <w:b/>
            </w:rPr>
            <w:t>Disidente</w:t>
          </w:r>
        </w:p>
        <w:p w14:paraId="723FEADC" w14:textId="3E44F4BD" w:rsidR="00B45EC5" w:rsidRDefault="00DB3F93" w:rsidP="00790A7C">
          <w:pPr>
            <w:pStyle w:val="Encabezado"/>
            <w:ind w:left="-108" w:right="-250"/>
            <w:jc w:val="both"/>
            <w:rPr>
              <w:rFonts w:ascii="Palatino Linotype" w:hAnsi="Palatino Linotype"/>
              <w:lang w:val="es-MX"/>
            </w:rPr>
          </w:pPr>
          <w:r>
            <w:rPr>
              <w:rFonts w:ascii="Palatino Linotype" w:hAnsi="Palatino Linotype" w:cs="Tahoma"/>
              <w:b/>
            </w:rPr>
            <w:t xml:space="preserve">Recurso de Revisión: </w:t>
          </w:r>
          <w:r w:rsidR="002E41A9">
            <w:rPr>
              <w:rFonts w:ascii="Palatino Linotype" w:hAnsi="Palatino Linotype"/>
              <w:lang w:val="es-MX"/>
            </w:rPr>
            <w:t>02710</w:t>
          </w:r>
          <w:r w:rsidR="00C66575" w:rsidRPr="00C66575">
            <w:rPr>
              <w:rFonts w:ascii="Palatino Linotype" w:hAnsi="Palatino Linotype"/>
              <w:lang w:val="es-MX"/>
            </w:rPr>
            <w:t>/INFOEM/IP/RR/</w:t>
          </w:r>
          <w:r w:rsidR="002E41A9">
            <w:rPr>
              <w:rFonts w:ascii="Palatino Linotype" w:hAnsi="Palatino Linotype"/>
              <w:lang w:val="es-MX"/>
            </w:rPr>
            <w:t>2023</w:t>
          </w:r>
        </w:p>
        <w:p w14:paraId="636ADCAF" w14:textId="28C992C2" w:rsidR="00D25706" w:rsidRDefault="001F75E5" w:rsidP="00285C7B">
          <w:pPr>
            <w:pStyle w:val="Encabezado"/>
            <w:ind w:left="-108" w:right="-250"/>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8B5910">
            <w:rPr>
              <w:rFonts w:ascii="Palatino Linotype" w:hAnsi="Palatino Linotype"/>
              <w:bCs/>
              <w:lang w:val="es-MX"/>
            </w:rPr>
            <w:t xml:space="preserve"> </w:t>
          </w:r>
          <w:r w:rsidR="000D4690">
            <w:rPr>
              <w:rFonts w:ascii="Palatino Linotype" w:hAnsi="Palatino Linotype"/>
              <w:bCs/>
              <w:lang w:val="es-MX"/>
            </w:rPr>
            <w:t>Poder Legislativo</w:t>
          </w:r>
        </w:p>
        <w:p w14:paraId="2404F005" w14:textId="742D465E" w:rsid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2E41A9">
            <w:rPr>
              <w:rFonts w:ascii="Palatino Linotype" w:hAnsi="Palatino Linotype" w:cs="Tahoma"/>
              <w:bCs/>
            </w:rPr>
            <w:t>José Martínez Vilchis</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278C58FE" w:rsidR="00800B69" w:rsidRPr="001106EA" w:rsidRDefault="00800B69">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800B69">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74690"/>
    <w:multiLevelType w:val="hybridMultilevel"/>
    <w:tmpl w:val="83D2900A"/>
    <w:lvl w:ilvl="0" w:tplc="DBB656B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873616677">
    <w:abstractNumId w:val="0"/>
  </w:num>
  <w:num w:numId="2" w16cid:durableId="722750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2D6B"/>
    <w:rsid w:val="000176D3"/>
    <w:rsid w:val="00035B0E"/>
    <w:rsid w:val="000432E0"/>
    <w:rsid w:val="00043DB7"/>
    <w:rsid w:val="000501A4"/>
    <w:rsid w:val="0005576B"/>
    <w:rsid w:val="000568CD"/>
    <w:rsid w:val="00061988"/>
    <w:rsid w:val="00082310"/>
    <w:rsid w:val="000937D3"/>
    <w:rsid w:val="000B7841"/>
    <w:rsid w:val="000D4690"/>
    <w:rsid w:val="00100065"/>
    <w:rsid w:val="00104250"/>
    <w:rsid w:val="00135502"/>
    <w:rsid w:val="0015666C"/>
    <w:rsid w:val="00170463"/>
    <w:rsid w:val="001971A0"/>
    <w:rsid w:val="001C64C0"/>
    <w:rsid w:val="001D3CC9"/>
    <w:rsid w:val="001F75E5"/>
    <w:rsid w:val="00246ABE"/>
    <w:rsid w:val="00257E46"/>
    <w:rsid w:val="00270543"/>
    <w:rsid w:val="00276117"/>
    <w:rsid w:val="00285C7B"/>
    <w:rsid w:val="002A3487"/>
    <w:rsid w:val="002D2D60"/>
    <w:rsid w:val="002D499A"/>
    <w:rsid w:val="002D6AB3"/>
    <w:rsid w:val="002E41A9"/>
    <w:rsid w:val="00304A0F"/>
    <w:rsid w:val="00306972"/>
    <w:rsid w:val="00314859"/>
    <w:rsid w:val="0032455C"/>
    <w:rsid w:val="00325569"/>
    <w:rsid w:val="0033661A"/>
    <w:rsid w:val="00342EE6"/>
    <w:rsid w:val="003674F2"/>
    <w:rsid w:val="003769CB"/>
    <w:rsid w:val="0038777F"/>
    <w:rsid w:val="003E3FA6"/>
    <w:rsid w:val="003E56C5"/>
    <w:rsid w:val="004120C8"/>
    <w:rsid w:val="0044064F"/>
    <w:rsid w:val="004412C6"/>
    <w:rsid w:val="00445F2A"/>
    <w:rsid w:val="0046182D"/>
    <w:rsid w:val="00463342"/>
    <w:rsid w:val="004659A1"/>
    <w:rsid w:val="00466582"/>
    <w:rsid w:val="00470ABE"/>
    <w:rsid w:val="004738C3"/>
    <w:rsid w:val="00486BD3"/>
    <w:rsid w:val="00494387"/>
    <w:rsid w:val="004A2EF7"/>
    <w:rsid w:val="004B6C8D"/>
    <w:rsid w:val="004C0D87"/>
    <w:rsid w:val="004C7D91"/>
    <w:rsid w:val="004D26F6"/>
    <w:rsid w:val="004E5B48"/>
    <w:rsid w:val="004E600B"/>
    <w:rsid w:val="004F55E2"/>
    <w:rsid w:val="0050010A"/>
    <w:rsid w:val="00506560"/>
    <w:rsid w:val="00506AB5"/>
    <w:rsid w:val="00533E57"/>
    <w:rsid w:val="00541BAC"/>
    <w:rsid w:val="00543C9A"/>
    <w:rsid w:val="00555F21"/>
    <w:rsid w:val="00576F34"/>
    <w:rsid w:val="005974CA"/>
    <w:rsid w:val="005C7EF3"/>
    <w:rsid w:val="00601591"/>
    <w:rsid w:val="00632BB1"/>
    <w:rsid w:val="0063326A"/>
    <w:rsid w:val="0066215C"/>
    <w:rsid w:val="00670EAD"/>
    <w:rsid w:val="00684986"/>
    <w:rsid w:val="00690441"/>
    <w:rsid w:val="006C2B09"/>
    <w:rsid w:val="006D2495"/>
    <w:rsid w:val="006D42AE"/>
    <w:rsid w:val="00712071"/>
    <w:rsid w:val="00716333"/>
    <w:rsid w:val="00720137"/>
    <w:rsid w:val="00722D41"/>
    <w:rsid w:val="00732624"/>
    <w:rsid w:val="00744C2E"/>
    <w:rsid w:val="00756729"/>
    <w:rsid w:val="00790A7C"/>
    <w:rsid w:val="007B1EED"/>
    <w:rsid w:val="007B7B1E"/>
    <w:rsid w:val="007D094D"/>
    <w:rsid w:val="007D2C59"/>
    <w:rsid w:val="007D5355"/>
    <w:rsid w:val="007F32AC"/>
    <w:rsid w:val="007F374C"/>
    <w:rsid w:val="00800B69"/>
    <w:rsid w:val="00823E1B"/>
    <w:rsid w:val="0083177F"/>
    <w:rsid w:val="00837ED6"/>
    <w:rsid w:val="00841857"/>
    <w:rsid w:val="00842979"/>
    <w:rsid w:val="008444A9"/>
    <w:rsid w:val="00867A23"/>
    <w:rsid w:val="008A2C7A"/>
    <w:rsid w:val="008B5910"/>
    <w:rsid w:val="008E5742"/>
    <w:rsid w:val="008F78B8"/>
    <w:rsid w:val="00904CB6"/>
    <w:rsid w:val="00915F40"/>
    <w:rsid w:val="00922026"/>
    <w:rsid w:val="00940F06"/>
    <w:rsid w:val="00960C5A"/>
    <w:rsid w:val="00961702"/>
    <w:rsid w:val="00986A57"/>
    <w:rsid w:val="00990E2D"/>
    <w:rsid w:val="009A2135"/>
    <w:rsid w:val="009A3B6C"/>
    <w:rsid w:val="009A6633"/>
    <w:rsid w:val="009A6952"/>
    <w:rsid w:val="009B5E28"/>
    <w:rsid w:val="009E72E2"/>
    <w:rsid w:val="009F23B2"/>
    <w:rsid w:val="009F37BE"/>
    <w:rsid w:val="00A16DDF"/>
    <w:rsid w:val="00A43EFA"/>
    <w:rsid w:val="00A478F1"/>
    <w:rsid w:val="00A54CCC"/>
    <w:rsid w:val="00A67456"/>
    <w:rsid w:val="00A72D99"/>
    <w:rsid w:val="00A80C30"/>
    <w:rsid w:val="00A9451F"/>
    <w:rsid w:val="00A9782A"/>
    <w:rsid w:val="00AC23FC"/>
    <w:rsid w:val="00AD77D2"/>
    <w:rsid w:val="00AE249C"/>
    <w:rsid w:val="00AF7632"/>
    <w:rsid w:val="00AF77D3"/>
    <w:rsid w:val="00B43526"/>
    <w:rsid w:val="00B45EC5"/>
    <w:rsid w:val="00B55282"/>
    <w:rsid w:val="00B70A3F"/>
    <w:rsid w:val="00B760CA"/>
    <w:rsid w:val="00B97313"/>
    <w:rsid w:val="00BA54EE"/>
    <w:rsid w:val="00BD1A40"/>
    <w:rsid w:val="00BD3838"/>
    <w:rsid w:val="00C00078"/>
    <w:rsid w:val="00C00E77"/>
    <w:rsid w:val="00C341C6"/>
    <w:rsid w:val="00C35922"/>
    <w:rsid w:val="00C45719"/>
    <w:rsid w:val="00C60C1A"/>
    <w:rsid w:val="00C66575"/>
    <w:rsid w:val="00C75F6B"/>
    <w:rsid w:val="00CC24D8"/>
    <w:rsid w:val="00CC3A0F"/>
    <w:rsid w:val="00CD67D3"/>
    <w:rsid w:val="00CD7937"/>
    <w:rsid w:val="00CF60E7"/>
    <w:rsid w:val="00D02886"/>
    <w:rsid w:val="00D11D78"/>
    <w:rsid w:val="00D21D84"/>
    <w:rsid w:val="00D25706"/>
    <w:rsid w:val="00D337A9"/>
    <w:rsid w:val="00D60170"/>
    <w:rsid w:val="00D873E6"/>
    <w:rsid w:val="00DB19CC"/>
    <w:rsid w:val="00DB3F93"/>
    <w:rsid w:val="00DC474B"/>
    <w:rsid w:val="00DD5D61"/>
    <w:rsid w:val="00DD7150"/>
    <w:rsid w:val="00E21609"/>
    <w:rsid w:val="00E43FEA"/>
    <w:rsid w:val="00E678EF"/>
    <w:rsid w:val="00E7322A"/>
    <w:rsid w:val="00E878DE"/>
    <w:rsid w:val="00EB135A"/>
    <w:rsid w:val="00EB3527"/>
    <w:rsid w:val="00EC3610"/>
    <w:rsid w:val="00F00E66"/>
    <w:rsid w:val="00F053AF"/>
    <w:rsid w:val="00F1426D"/>
    <w:rsid w:val="00F24795"/>
    <w:rsid w:val="00F30B3F"/>
    <w:rsid w:val="00F35BFB"/>
    <w:rsid w:val="00F46F8E"/>
    <w:rsid w:val="00F60B97"/>
    <w:rsid w:val="00F613C8"/>
    <w:rsid w:val="00F642D7"/>
    <w:rsid w:val="00F7440B"/>
    <w:rsid w:val="00F84B95"/>
    <w:rsid w:val="00F8647C"/>
    <w:rsid w:val="00F94FED"/>
    <w:rsid w:val="00F95AC1"/>
    <w:rsid w:val="00FA4218"/>
    <w:rsid w:val="00FA5F27"/>
    <w:rsid w:val="00FC3DE6"/>
    <w:rsid w:val="00FD78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character" w:customStyle="1" w:styleId="Mencinsinresolver1">
    <w:name w:val="Mención sin resolver1"/>
    <w:basedOn w:val="Fuentedeprrafopredeter"/>
    <w:uiPriority w:val="99"/>
    <w:semiHidden/>
    <w:unhideWhenUsed/>
    <w:rsid w:val="00990E2D"/>
    <w:rPr>
      <w:color w:val="605E5C"/>
      <w:shd w:val="clear" w:color="auto" w:fill="E1DFDD"/>
    </w:rPr>
  </w:style>
  <w:style w:type="character" w:customStyle="1" w:styleId="Mencinsinresolver2">
    <w:name w:val="Mención sin resolver2"/>
    <w:basedOn w:val="Fuentedeprrafopredeter"/>
    <w:uiPriority w:val="99"/>
    <w:semiHidden/>
    <w:unhideWhenUsed/>
    <w:rsid w:val="00B76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0668">
      <w:bodyDiv w:val="1"/>
      <w:marLeft w:val="0"/>
      <w:marRight w:val="0"/>
      <w:marTop w:val="0"/>
      <w:marBottom w:val="0"/>
      <w:divBdr>
        <w:top w:val="none" w:sz="0" w:space="0" w:color="auto"/>
        <w:left w:val="none" w:sz="0" w:space="0" w:color="auto"/>
        <w:bottom w:val="none" w:sz="0" w:space="0" w:color="auto"/>
        <w:right w:val="none" w:sz="0" w:space="0" w:color="auto"/>
      </w:divBdr>
    </w:div>
    <w:div w:id="443886646">
      <w:bodyDiv w:val="1"/>
      <w:marLeft w:val="0"/>
      <w:marRight w:val="0"/>
      <w:marTop w:val="0"/>
      <w:marBottom w:val="0"/>
      <w:divBdr>
        <w:top w:val="none" w:sz="0" w:space="0" w:color="auto"/>
        <w:left w:val="none" w:sz="0" w:space="0" w:color="auto"/>
        <w:bottom w:val="none" w:sz="0" w:space="0" w:color="auto"/>
        <w:right w:val="none" w:sz="0" w:space="0" w:color="auto"/>
      </w:divBdr>
    </w:div>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foem.org.mx/es/contenido/noticias/el-infoem-firm%C3%B3-conveniointerinstitucional-con-el-osfe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3204</Words>
  <Characters>17623</Characters>
  <Application>Microsoft Office Word</Application>
  <DocSecurity>4</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Carlos Fernandez</cp:lastModifiedBy>
  <cp:revision>2</cp:revision>
  <cp:lastPrinted>2023-05-02T15:19:00Z</cp:lastPrinted>
  <dcterms:created xsi:type="dcterms:W3CDTF">2023-09-15T16:31:00Z</dcterms:created>
  <dcterms:modified xsi:type="dcterms:W3CDTF">2023-09-15T16:31:00Z</dcterms:modified>
</cp:coreProperties>
</file>