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0A0" w:rsidRDefault="004E1695">
      <w:pPr>
        <w:spacing w:after="0" w:line="360" w:lineRule="auto"/>
        <w:jc w:val="both"/>
        <w:rPr>
          <w:rFonts w:ascii="Palatino Linotype" w:eastAsia="Palatino Linotype" w:hAnsi="Palatino Linotype" w:cs="Palatino Linotype"/>
          <w:b/>
          <w:color w:val="FF0000"/>
        </w:rPr>
      </w:pPr>
      <w:bookmarkStart w:id="0" w:name="_heading=h.gjdgxs" w:colFirst="0" w:colLast="0"/>
      <w:bookmarkEnd w:id="0"/>
      <w:r>
        <w:rPr>
          <w:rFonts w:ascii="Palatino Linotype" w:eastAsia="Palatino Linotype" w:hAnsi="Palatino Linotype" w:cs="Palatino Linotype"/>
          <w:b/>
        </w:rPr>
        <w:t xml:space="preserve">VOTO PARTICULAR QUE FORMULA LA COMISIONADA GUADALUPE RAMÍREZ PEÑA, EN RELACIÓN CON LA RESOLUCIÓN DICTADA POR EL PLENO DEL INSTITUTO DE TRANSPARENCIA, ACCESO A LA INFORMACIÓN PÚBLICA Y PROTECCIÓN DE DATOS PERSONALES DEL ESTADO DE MÉXICO Y MUNICIPIOS, EN LA </w:t>
      </w:r>
      <w:r w:rsidR="004D253D">
        <w:rPr>
          <w:rFonts w:ascii="Palatino Linotype" w:eastAsia="Palatino Linotype" w:hAnsi="Palatino Linotype" w:cs="Palatino Linotype"/>
          <w:b/>
        </w:rPr>
        <w:t>TRIGÉSIMA TERCERA SESIÓN ORDINARIA DEL TRECE DE SEPTIEMBRE</w:t>
      </w:r>
      <w:r>
        <w:rPr>
          <w:rFonts w:ascii="Palatino Linotype" w:eastAsia="Palatino Linotype" w:hAnsi="Palatino Linotype" w:cs="Palatino Linotype"/>
          <w:b/>
        </w:rPr>
        <w:t xml:space="preserve"> DE DOS MIL VEINTITRÉS,</w:t>
      </w:r>
      <w:r w:rsidR="004D253D">
        <w:rPr>
          <w:rFonts w:ascii="Palatino Linotype" w:eastAsia="Palatino Linotype" w:hAnsi="Palatino Linotype" w:cs="Palatino Linotype"/>
          <w:b/>
        </w:rPr>
        <w:t xml:space="preserve"> EN EL RECURSO DE REVISIÓN 02639</w:t>
      </w:r>
      <w:r>
        <w:rPr>
          <w:rFonts w:ascii="Palatino Linotype" w:eastAsia="Palatino Linotype" w:hAnsi="Palatino Linotype" w:cs="Palatino Linotype"/>
          <w:b/>
        </w:rPr>
        <w:t>/INFOEM/IP/RR/2023.</w:t>
      </w:r>
    </w:p>
    <w:p w:rsidR="00C870A0" w:rsidRDefault="00C870A0">
      <w:pPr>
        <w:spacing w:after="0" w:line="360" w:lineRule="auto"/>
        <w:jc w:val="both"/>
        <w:rPr>
          <w:rFonts w:ascii="Palatino Linotype" w:eastAsia="Palatino Linotype" w:hAnsi="Palatino Linotype" w:cs="Palatino Linotype"/>
          <w:b/>
        </w:rPr>
      </w:pPr>
    </w:p>
    <w:p w:rsidR="004D253D" w:rsidRPr="006C1F90" w:rsidRDefault="004E1695" w:rsidP="004D253D">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fundamento en lo dispuesto por el artículo 14, fracciones X y XI, del Reglamento del Instituto de Transparencia, Acceso a la Información Pública y Protección de Datos Personales del Estado de México, la suscrita emite </w:t>
      </w:r>
      <w:r>
        <w:rPr>
          <w:rFonts w:ascii="Palatino Linotype" w:eastAsia="Palatino Linotype" w:hAnsi="Palatino Linotype" w:cs="Palatino Linotype"/>
          <w:b/>
        </w:rPr>
        <w:t xml:space="preserve">VOTO PARTICULAR </w:t>
      </w:r>
      <w:r>
        <w:rPr>
          <w:rFonts w:ascii="Palatino Linotype" w:eastAsia="Palatino Linotype" w:hAnsi="Palatino Linotype" w:cs="Palatino Linotype"/>
        </w:rPr>
        <w:t xml:space="preserve">respecto a la resolución dictada en el recurso de revisión número </w:t>
      </w:r>
      <w:r w:rsidR="004D253D">
        <w:rPr>
          <w:rFonts w:ascii="Palatino Linotype" w:eastAsia="Palatino Linotype" w:hAnsi="Palatino Linotype" w:cs="Palatino Linotype"/>
          <w:b/>
        </w:rPr>
        <w:t>02639</w:t>
      </w:r>
      <w:r>
        <w:rPr>
          <w:rFonts w:ascii="Palatino Linotype" w:eastAsia="Palatino Linotype" w:hAnsi="Palatino Linotype" w:cs="Palatino Linotype"/>
          <w:b/>
        </w:rPr>
        <w:t>/INFOEM/IP/RR/2023</w:t>
      </w:r>
      <w:r w:rsidR="004D253D">
        <w:rPr>
          <w:rFonts w:ascii="Palatino Linotype" w:eastAsia="Palatino Linotype" w:hAnsi="Palatino Linotype" w:cs="Palatino Linotype"/>
          <w:b/>
        </w:rPr>
        <w:t>,</w:t>
      </w:r>
      <w:r w:rsidR="004D253D" w:rsidRPr="004D253D">
        <w:rPr>
          <w:rFonts w:ascii="Palatino Linotype" w:eastAsia="Palatino Linotype" w:hAnsi="Palatino Linotype" w:cs="Palatino Linotype"/>
        </w:rPr>
        <w:t xml:space="preserve"> </w:t>
      </w:r>
      <w:r w:rsidR="004D253D" w:rsidRPr="006C1F90">
        <w:rPr>
          <w:rFonts w:ascii="Palatino Linotype" w:eastAsia="Palatino Linotype" w:hAnsi="Palatino Linotype" w:cs="Palatino Linotype"/>
        </w:rPr>
        <w:t>pronunciada por el Pleno de este Instituto ante el proyecto engrosado conforme al criterio mayoritario del Pleno, el cual es al tenor siguiente:</w:t>
      </w:r>
    </w:p>
    <w:p w:rsidR="00C870A0" w:rsidRDefault="00C870A0">
      <w:pPr>
        <w:spacing w:after="0" w:line="360" w:lineRule="auto"/>
        <w:jc w:val="both"/>
        <w:rPr>
          <w:rFonts w:ascii="Palatino Linotype" w:eastAsia="Palatino Linotype" w:hAnsi="Palatino Linotype" w:cs="Palatino Linotype"/>
        </w:rPr>
      </w:pPr>
    </w:p>
    <w:p w:rsidR="00C870A0" w:rsidRDefault="004E1695">
      <w:pPr>
        <w:numPr>
          <w:ilvl w:val="0"/>
          <w:numId w:val="1"/>
        </w:numPr>
        <w:spacing w:after="0" w:line="360" w:lineRule="auto"/>
        <w:ind w:left="567" w:hanging="141"/>
        <w:jc w:val="both"/>
        <w:rPr>
          <w:rFonts w:ascii="Palatino Linotype" w:eastAsia="Palatino Linotype" w:hAnsi="Palatino Linotype" w:cs="Palatino Linotype"/>
          <w:b/>
        </w:rPr>
      </w:pPr>
      <w:r>
        <w:rPr>
          <w:rFonts w:ascii="Palatino Linotype" w:eastAsia="Palatino Linotype" w:hAnsi="Palatino Linotype" w:cs="Palatino Linotype"/>
          <w:b/>
        </w:rPr>
        <w:t>Antecedentes.</w:t>
      </w:r>
    </w:p>
    <w:p w:rsidR="00C870A0" w:rsidRDefault="00C870A0">
      <w:pPr>
        <w:spacing w:after="0" w:line="360" w:lineRule="auto"/>
        <w:ind w:left="567"/>
        <w:jc w:val="both"/>
        <w:rPr>
          <w:rFonts w:ascii="Palatino Linotype" w:eastAsia="Palatino Linotype" w:hAnsi="Palatino Linotype" w:cs="Palatino Linotype"/>
          <w:b/>
        </w:rPr>
      </w:pPr>
    </w:p>
    <w:p w:rsidR="00C870A0" w:rsidRDefault="004E1695">
      <w:pPr>
        <w:spacing w:after="12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asunto que nos ocupa, la parte Recurrente solicitó al </w:t>
      </w:r>
      <w:r w:rsidR="004D253D">
        <w:rPr>
          <w:rFonts w:ascii="Palatino Linotype" w:eastAsia="Palatino Linotype" w:hAnsi="Palatino Linotype" w:cs="Palatino Linotype"/>
        </w:rPr>
        <w:t>Ayuntamiento de Tequixquiac</w:t>
      </w:r>
      <w:r>
        <w:rPr>
          <w:rFonts w:ascii="Palatino Linotype" w:eastAsia="Palatino Linotype" w:hAnsi="Palatino Linotype" w:cs="Palatino Linotype"/>
        </w:rPr>
        <w:t xml:space="preserve">, en su carácter de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la siguiente información: </w:t>
      </w:r>
    </w:p>
    <w:p w:rsidR="004D253D" w:rsidRDefault="004D253D" w:rsidP="004D253D">
      <w:pPr>
        <w:spacing w:after="120" w:line="360" w:lineRule="auto"/>
        <w:jc w:val="both"/>
        <w:rPr>
          <w:rFonts w:ascii="Palatino Linotype" w:eastAsia="Palatino Linotype" w:hAnsi="Palatino Linotype" w:cs="Palatino Linotype"/>
        </w:rPr>
      </w:pPr>
      <w:r w:rsidRPr="004D253D">
        <w:rPr>
          <w:rFonts w:ascii="Palatino Linotype" w:eastAsia="Palatino Linotype" w:hAnsi="Palatino Linotype" w:cs="Palatino Linotype"/>
        </w:rPr>
        <w:t>“Requiero nómina de Sistema DID del municipio de Tequixquiac de los</w:t>
      </w:r>
      <w:r>
        <w:rPr>
          <w:rFonts w:ascii="Palatino Linotype" w:eastAsia="Palatino Linotype" w:hAnsi="Palatino Linotype" w:cs="Palatino Linotype"/>
        </w:rPr>
        <w:t xml:space="preserve"> </w:t>
      </w:r>
      <w:r w:rsidRPr="004D253D">
        <w:rPr>
          <w:rFonts w:ascii="Palatino Linotype" w:eastAsia="Palatino Linotype" w:hAnsi="Palatino Linotype" w:cs="Palatino Linotype"/>
        </w:rPr>
        <w:t>meses de enero, febrero y marzo de 2023.” (Sic)</w:t>
      </w:r>
    </w:p>
    <w:p w:rsidR="00C870A0" w:rsidRDefault="004E1695" w:rsidP="004D253D">
      <w:pPr>
        <w:spacing w:after="12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w:t>
      </w:r>
      <w:r w:rsidR="004D253D" w:rsidRPr="004D253D">
        <w:rPr>
          <w:rFonts w:ascii="Palatino Linotype" w:eastAsia="Palatino Linotype" w:hAnsi="Palatino Linotype" w:cs="Palatino Linotype"/>
        </w:rPr>
        <w:t xml:space="preserve">el </w:t>
      </w:r>
      <w:r w:rsidR="004D253D" w:rsidRPr="004D253D">
        <w:rPr>
          <w:rFonts w:ascii="Palatino Linotype" w:eastAsia="Palatino Linotype" w:hAnsi="Palatino Linotype" w:cs="Palatino Linotype"/>
        </w:rPr>
        <w:t xml:space="preserve">Sujeto Obligado </w:t>
      </w:r>
      <w:r w:rsidR="004D253D" w:rsidRPr="004D253D">
        <w:rPr>
          <w:rFonts w:ascii="Palatino Linotype" w:eastAsia="Palatino Linotype" w:hAnsi="Palatino Linotype" w:cs="Palatino Linotype"/>
        </w:rPr>
        <w:t>a través de su Presidenta del Sistema</w:t>
      </w:r>
      <w:r w:rsidR="004D253D">
        <w:rPr>
          <w:rFonts w:ascii="Palatino Linotype" w:eastAsia="Palatino Linotype" w:hAnsi="Palatino Linotype" w:cs="Palatino Linotype"/>
        </w:rPr>
        <w:t xml:space="preserve"> </w:t>
      </w:r>
      <w:r w:rsidR="004D253D" w:rsidRPr="004D253D">
        <w:rPr>
          <w:rFonts w:ascii="Palatino Linotype" w:eastAsia="Palatino Linotype" w:hAnsi="Palatino Linotype" w:cs="Palatino Linotype"/>
        </w:rPr>
        <w:t>Municipal para el Desarrollo Integral de la Familia de Tequixquiac, hizo llegar el</w:t>
      </w:r>
      <w:r w:rsidR="004D253D">
        <w:rPr>
          <w:rFonts w:ascii="Palatino Linotype" w:eastAsia="Palatino Linotype" w:hAnsi="Palatino Linotype" w:cs="Palatino Linotype"/>
        </w:rPr>
        <w:t xml:space="preserve"> </w:t>
      </w:r>
      <w:r w:rsidR="004D253D" w:rsidRPr="004D253D">
        <w:rPr>
          <w:rFonts w:ascii="Palatino Linotype" w:eastAsia="Palatino Linotype" w:hAnsi="Palatino Linotype" w:cs="Palatino Linotype"/>
        </w:rPr>
        <w:t>reporte de la nómina del Sistema Municipal para el Desarrollo Integral de la</w:t>
      </w:r>
      <w:r w:rsidR="004D253D">
        <w:rPr>
          <w:rFonts w:ascii="Palatino Linotype" w:eastAsia="Palatino Linotype" w:hAnsi="Palatino Linotype" w:cs="Palatino Linotype"/>
        </w:rPr>
        <w:t xml:space="preserve"> </w:t>
      </w:r>
      <w:r w:rsidR="004D253D" w:rsidRPr="004D253D">
        <w:rPr>
          <w:rFonts w:ascii="Palatino Linotype" w:eastAsia="Palatino Linotype" w:hAnsi="Palatino Linotype" w:cs="Palatino Linotype"/>
        </w:rPr>
        <w:t>Familia de Tequixquiac, Estado de México; de los meses de enero, febrero y</w:t>
      </w:r>
      <w:r w:rsidR="004D253D">
        <w:rPr>
          <w:rFonts w:ascii="Palatino Linotype" w:eastAsia="Palatino Linotype" w:hAnsi="Palatino Linotype" w:cs="Palatino Linotype"/>
        </w:rPr>
        <w:t xml:space="preserve"> </w:t>
      </w:r>
      <w:r w:rsidR="004D253D" w:rsidRPr="004D253D">
        <w:rPr>
          <w:rFonts w:ascii="Palatino Linotype" w:eastAsia="Palatino Linotype" w:hAnsi="Palatino Linotype" w:cs="Palatino Linotype"/>
        </w:rPr>
        <w:t>marzo del año dos mil</w:t>
      </w:r>
      <w:r w:rsidR="004D253D">
        <w:rPr>
          <w:rFonts w:ascii="Palatino Linotype" w:eastAsia="Palatino Linotype" w:hAnsi="Palatino Linotype" w:cs="Palatino Linotype"/>
        </w:rPr>
        <w:t xml:space="preserve"> veintitrés</w:t>
      </w:r>
      <w:r>
        <w:rPr>
          <w:rFonts w:ascii="Palatino Linotype" w:eastAsia="Palatino Linotype" w:hAnsi="Palatino Linotype" w:cs="Palatino Linotype"/>
        </w:rPr>
        <w:t>.</w:t>
      </w:r>
    </w:p>
    <w:p w:rsidR="00632A58" w:rsidRDefault="004E1695" w:rsidP="00632A58">
      <w:pPr>
        <w:spacing w:after="12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El particular se inconformó </w:t>
      </w:r>
      <w:r w:rsidR="00632A58" w:rsidRPr="00632A58">
        <w:rPr>
          <w:rFonts w:ascii="Palatino Linotype" w:eastAsia="Palatino Linotype" w:hAnsi="Palatino Linotype" w:cs="Palatino Linotype"/>
        </w:rPr>
        <w:t>porque no recibió la información solicitada.</w:t>
      </w:r>
    </w:p>
    <w:p w:rsidR="00632A58" w:rsidRPr="00632A58" w:rsidRDefault="00632A58" w:rsidP="00632A58">
      <w:pPr>
        <w:spacing w:after="0" w:line="360" w:lineRule="auto"/>
        <w:jc w:val="both"/>
        <w:rPr>
          <w:rFonts w:ascii="Palatino Linotype" w:eastAsia="Palatino Linotype" w:hAnsi="Palatino Linotype" w:cs="Palatino Linotype"/>
        </w:rPr>
      </w:pPr>
      <w:r w:rsidRPr="00632A58">
        <w:rPr>
          <w:rFonts w:ascii="Palatino Linotype" w:eastAsia="Palatino Linotype" w:hAnsi="Palatino Linotype" w:cs="Palatino Linotype"/>
        </w:rPr>
        <w:t xml:space="preserve">Del análisis realizado por la ponencia, se advierte que la información entregada en respuesta  </w:t>
      </w:r>
      <w:r w:rsidRPr="00632A58">
        <w:rPr>
          <w:rFonts w:ascii="Palatino Linotype" w:hAnsi="Palatino Linotype"/>
        </w:rPr>
        <w:t>fu</w:t>
      </w:r>
      <w:r w:rsidRPr="00632A58">
        <w:rPr>
          <w:rFonts w:ascii="Palatino Linotype" w:hAnsi="Palatino Linotype"/>
        </w:rPr>
        <w:t>e enviada</w:t>
      </w:r>
      <w:r w:rsidRPr="00632A58">
        <w:rPr>
          <w:rFonts w:ascii="Palatino Linotype" w:hAnsi="Palatino Linotype"/>
        </w:rPr>
        <w:t xml:space="preserve"> en una aparente versión pública sin acompañar el acuerdo emitido por el Comité de Transparencia del </w:t>
      </w:r>
      <w:r w:rsidRPr="00632A58">
        <w:rPr>
          <w:rFonts w:ascii="Palatino Linotype" w:hAnsi="Palatino Linotype"/>
        </w:rPr>
        <w:t>Sujeto Obligado</w:t>
      </w:r>
      <w:r w:rsidRPr="00632A58">
        <w:rPr>
          <w:rFonts w:ascii="Palatino Linotype" w:hAnsi="Palatino Linotype"/>
        </w:rPr>
        <w:t>, lo que implica</w:t>
      </w:r>
      <w:r w:rsidRPr="00632A58">
        <w:rPr>
          <w:rFonts w:ascii="Palatino Linotype" w:eastAsia="Palatino Linotype" w:hAnsi="Palatino Linotype" w:cs="Palatino Linotype"/>
        </w:rPr>
        <w:t xml:space="preserve"> que lo entregado no es legal ni formalmente una versión pública, sino más bien una documentación ilegible, incompleta o tachada; pues no señalar las razones por las que no se aprecian determinados datos, deja a la parte </w:t>
      </w:r>
      <w:r w:rsidRPr="00632A58">
        <w:rPr>
          <w:rFonts w:ascii="Palatino Linotype" w:eastAsia="Palatino Linotype" w:hAnsi="Palatino Linotype" w:cs="Palatino Linotype"/>
          <w:b/>
        </w:rPr>
        <w:t>RECURRENTE</w:t>
      </w:r>
      <w:r w:rsidRPr="00632A58">
        <w:rPr>
          <w:rFonts w:ascii="Palatino Linotype" w:eastAsia="Palatino Linotype" w:hAnsi="Palatino Linotype" w:cs="Palatino Linotype"/>
        </w:rPr>
        <w:t xml:space="preserv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04A0E" w:rsidRDefault="00632A58" w:rsidP="00904A0E">
      <w:pPr>
        <w:spacing w:line="360" w:lineRule="auto"/>
        <w:contextualSpacing/>
        <w:jc w:val="both"/>
        <w:rPr>
          <w:rFonts w:ascii="Palatino Linotype" w:hAnsi="Palatino Linotype"/>
        </w:rPr>
      </w:pPr>
      <w:r w:rsidRPr="00632A58">
        <w:rPr>
          <w:rFonts w:ascii="Palatino Linotype" w:hAnsi="Palatino Linotype"/>
        </w:rPr>
        <w:t xml:space="preserve"> </w:t>
      </w:r>
    </w:p>
    <w:p w:rsidR="00904A0E" w:rsidRPr="00632A58" w:rsidRDefault="00632A58" w:rsidP="00904A0E">
      <w:pPr>
        <w:spacing w:line="360" w:lineRule="auto"/>
        <w:jc w:val="both"/>
        <w:rPr>
          <w:rFonts w:ascii="Palatino Linotype" w:eastAsia="Palatino Linotype" w:hAnsi="Palatino Linotype" w:cs="Palatino Linotype"/>
        </w:rPr>
      </w:pPr>
      <w:r w:rsidRPr="00632A58">
        <w:rPr>
          <w:rFonts w:ascii="Palatino Linotype" w:hAnsi="Palatino Linotype"/>
        </w:rPr>
        <w:t xml:space="preserve">No obstante, de una revisión </w:t>
      </w:r>
      <w:r w:rsidR="0086108E">
        <w:rPr>
          <w:rFonts w:ascii="Palatino Linotype" w:hAnsi="Palatino Linotype"/>
        </w:rPr>
        <w:t xml:space="preserve">que hizo la ponencia </w:t>
      </w:r>
      <w:r w:rsidRPr="00632A58">
        <w:rPr>
          <w:rFonts w:ascii="Palatino Linotype" w:hAnsi="Palatino Linotype"/>
        </w:rPr>
        <w:t xml:space="preserve">a la documentación se advierte que la información que se suprimió o testó no se hizo de manera permanente, es decir, que se pueden visualizar los datos que se </w:t>
      </w:r>
      <w:r w:rsidR="0086108E">
        <w:rPr>
          <w:rFonts w:ascii="Palatino Linotype" w:hAnsi="Palatino Linotype"/>
        </w:rPr>
        <w:t>suprimieron, lo que</w:t>
      </w:r>
      <w:r w:rsidR="00904A0E">
        <w:rPr>
          <w:rFonts w:ascii="Palatino Linotype" w:hAnsi="Palatino Linotype"/>
        </w:rPr>
        <w:t xml:space="preserve"> consideró</w:t>
      </w:r>
      <w:r w:rsidRPr="00632A58">
        <w:rPr>
          <w:rFonts w:ascii="Palatino Linotype" w:hAnsi="Palatino Linotype"/>
        </w:rPr>
        <w:t xml:space="preserve"> que se remitieron los reporte de nómina de manera íntegra; de ahí que, </w:t>
      </w:r>
      <w:r w:rsidR="00904A0E">
        <w:rPr>
          <w:rFonts w:ascii="Palatino Linotype" w:hAnsi="Palatino Linotype"/>
        </w:rPr>
        <w:t xml:space="preserve">la ponencia determinó que </w:t>
      </w:r>
      <w:r w:rsidRPr="00632A58">
        <w:rPr>
          <w:rFonts w:ascii="Palatino Linotype" w:hAnsi="Palatino Linotype"/>
        </w:rPr>
        <w:t xml:space="preserve">nada practico conduciría ordenar el acuerdo de clasificación correspondiente o una correcta versión pública, si la información ya fue del conocimiento de la parte </w:t>
      </w:r>
      <w:r w:rsidR="00904A0E" w:rsidRPr="00632A58">
        <w:rPr>
          <w:rFonts w:ascii="Palatino Linotype" w:hAnsi="Palatino Linotype"/>
          <w:b/>
        </w:rPr>
        <w:t>Recurrente</w:t>
      </w:r>
      <w:r w:rsidRPr="00632A58">
        <w:rPr>
          <w:rFonts w:ascii="Palatino Linotype" w:hAnsi="Palatino Linotype"/>
        </w:rPr>
        <w:t xml:space="preserve"> e incluso ya pudo haberla descargado y visualizar los datos que se suprimieron</w:t>
      </w:r>
      <w:r w:rsidR="00904A0E">
        <w:rPr>
          <w:rFonts w:ascii="Palatino Linotype" w:hAnsi="Palatino Linotype"/>
        </w:rPr>
        <w:t xml:space="preserve"> o testaron, </w:t>
      </w:r>
      <w:r w:rsidR="00904A0E" w:rsidRPr="00904A0E">
        <w:rPr>
          <w:rFonts w:ascii="Palatino Linotype" w:eastAsia="Palatino Linotype" w:hAnsi="Palatino Linotype" w:cs="Palatino Linotype"/>
          <w:b/>
        </w:rPr>
        <w:t>s</w:t>
      </w:r>
      <w:r w:rsidR="00904A0E" w:rsidRPr="00904A0E">
        <w:rPr>
          <w:rFonts w:ascii="Palatino Linotype" w:eastAsia="Palatino Linotype" w:hAnsi="Palatino Linotype" w:cs="Palatino Linotype"/>
          <w:b/>
        </w:rPr>
        <w:t>obreseyendo</w:t>
      </w:r>
      <w:r w:rsidR="00904A0E">
        <w:rPr>
          <w:rFonts w:ascii="Palatino Linotype" w:eastAsia="Palatino Linotype" w:hAnsi="Palatino Linotype" w:cs="Palatino Linotype"/>
        </w:rPr>
        <w:t xml:space="preserve"> el asunto por quedarse </w:t>
      </w:r>
      <w:r w:rsidR="00904A0E">
        <w:rPr>
          <w:rFonts w:ascii="Palatino Linotype" w:eastAsia="Palatino Linotype" w:hAnsi="Palatino Linotype" w:cs="Palatino Linotype"/>
        </w:rPr>
        <w:t>sin materia.</w:t>
      </w:r>
    </w:p>
    <w:p w:rsidR="00632A58" w:rsidRDefault="00632A58" w:rsidP="00904A0E">
      <w:pPr>
        <w:spacing w:line="360" w:lineRule="auto"/>
        <w:contextualSpacing/>
        <w:jc w:val="both"/>
        <w:rPr>
          <w:rFonts w:ascii="Palatino Linotype" w:hAnsi="Palatino Linotype"/>
        </w:rPr>
      </w:pPr>
    </w:p>
    <w:p w:rsidR="00632A58" w:rsidRDefault="00632A58" w:rsidP="00632A58">
      <w:pPr>
        <w:spacing w:line="360" w:lineRule="auto"/>
        <w:jc w:val="both"/>
        <w:rPr>
          <w:rFonts w:ascii="Palatino Linotype" w:eastAsia="Palatino Linotype" w:hAnsi="Palatino Linotype" w:cs="Palatino Linotype"/>
        </w:rPr>
      </w:pPr>
      <w:r>
        <w:rPr>
          <w:rFonts w:ascii="Palatino Linotype" w:hAnsi="Palatino Linotype"/>
        </w:rPr>
        <w:t xml:space="preserve">Máxime, que fue entregara por el área competente siendo la </w:t>
      </w:r>
      <w:r w:rsidRPr="004D253D">
        <w:rPr>
          <w:rFonts w:ascii="Palatino Linotype" w:eastAsia="Palatino Linotype" w:hAnsi="Palatino Linotype" w:cs="Palatino Linotype"/>
        </w:rPr>
        <w:t>Presidenta del Sistema</w:t>
      </w:r>
      <w:r>
        <w:rPr>
          <w:rFonts w:ascii="Palatino Linotype" w:eastAsia="Palatino Linotype" w:hAnsi="Palatino Linotype" w:cs="Palatino Linotype"/>
        </w:rPr>
        <w:t xml:space="preserve"> </w:t>
      </w:r>
      <w:r w:rsidRPr="004D253D">
        <w:rPr>
          <w:rFonts w:ascii="Palatino Linotype" w:eastAsia="Palatino Linotype" w:hAnsi="Palatino Linotype" w:cs="Palatino Linotype"/>
        </w:rPr>
        <w:t>Municipal para el Desarrollo Integral de la Familia de Tequixquiac,</w:t>
      </w:r>
      <w:r>
        <w:rPr>
          <w:rFonts w:ascii="Palatino Linotype" w:eastAsia="Palatino Linotype" w:hAnsi="Palatino Linotype" w:cs="Palatino Linotype"/>
        </w:rPr>
        <w:t xml:space="preserve"> como fue puntualizado en la resolución de mérito. </w:t>
      </w:r>
    </w:p>
    <w:p w:rsidR="00904A0E" w:rsidRDefault="00904A0E" w:rsidP="00904A0E">
      <w:pPr>
        <w:spacing w:after="0" w:line="360" w:lineRule="auto"/>
        <w:jc w:val="both"/>
        <w:rPr>
          <w:rFonts w:ascii="Palatino Linotype" w:eastAsia="Palatino Linotype" w:hAnsi="Palatino Linotype" w:cs="Palatino Linotype"/>
        </w:rPr>
      </w:pPr>
      <w:bookmarkStart w:id="1" w:name="_heading=h.7jxtgsk38kdu" w:colFirst="0" w:colLast="0"/>
      <w:bookmarkStart w:id="2" w:name="_heading=h.3hestacsg4px" w:colFirst="0" w:colLast="0"/>
      <w:bookmarkEnd w:id="1"/>
      <w:bookmarkEnd w:id="2"/>
      <w:r>
        <w:rPr>
          <w:rFonts w:ascii="Palatino Linotype" w:eastAsia="Palatino Linotype" w:hAnsi="Palatino Linotype" w:cs="Palatino Linotype"/>
        </w:rPr>
        <w:lastRenderedPageBreak/>
        <w:t>Pero</w:t>
      </w:r>
      <w:r w:rsidR="004E1695">
        <w:rPr>
          <w:rFonts w:ascii="Palatino Linotype" w:eastAsia="Palatino Linotype" w:hAnsi="Palatino Linotype" w:cs="Palatino Linotype"/>
        </w:rPr>
        <w:t>, dentro del proyecto se determinó dar vista a la Dirección General de Protección de Datos de este Instituto,</w:t>
      </w:r>
      <w:r>
        <w:rPr>
          <w:rFonts w:ascii="Palatino Linotype" w:eastAsia="Palatino Linotype" w:hAnsi="Palatino Linotype" w:cs="Palatino Linotype"/>
        </w:rPr>
        <w:t xml:space="preserve"> </w:t>
      </w:r>
      <w:r w:rsidR="004E1695">
        <w:rPr>
          <w:rFonts w:ascii="Palatino Linotype" w:eastAsia="Palatino Linotype" w:hAnsi="Palatino Linotype" w:cs="Palatino Linotype"/>
        </w:rPr>
        <w:t xml:space="preserve">por los datos personales que se dejaron visibles en </w:t>
      </w:r>
      <w:r w:rsidR="0086108E">
        <w:rPr>
          <w:rFonts w:ascii="Palatino Linotype" w:eastAsia="Palatino Linotype" w:hAnsi="Palatino Linotype" w:cs="Palatino Linotype"/>
        </w:rPr>
        <w:t>el</w:t>
      </w:r>
      <w:r>
        <w:rPr>
          <w:rFonts w:ascii="Palatino Linotype" w:eastAsia="Palatino Linotype" w:hAnsi="Palatino Linotype" w:cs="Palatino Linotype"/>
        </w:rPr>
        <w:t xml:space="preserve"> reporte de nómina entregado</w:t>
      </w:r>
      <w:r w:rsidR="004E1695">
        <w:rPr>
          <w:rFonts w:ascii="Palatino Linotype" w:eastAsia="Palatino Linotype" w:hAnsi="Palatino Linotype" w:cs="Palatino Linotype"/>
        </w:rPr>
        <w:t xml:space="preserve"> en respuesta; sin embargo, </w:t>
      </w:r>
      <w:r w:rsidRPr="00904A0E">
        <w:rPr>
          <w:rFonts w:ascii="Palatino Linotype" w:eastAsia="Palatino Linotype" w:hAnsi="Palatino Linotype" w:cs="Palatino Linotype"/>
        </w:rPr>
        <w:t>no se comparte la vista que se da a la dirección de protección de datos personales, pues las documentales que la motivaron no fueron analizadas de fondo, en ese sentido, al no haber un pronunciamiento de fondo no se encuentra justificada dicha vista en los puntos resolutivos</w:t>
      </w:r>
      <w:r>
        <w:rPr>
          <w:rFonts w:ascii="Palatino Linotype" w:eastAsia="Palatino Linotype" w:hAnsi="Palatino Linotype" w:cs="Palatino Linotype"/>
        </w:rPr>
        <w:t>, de acuerdo a las consideraciones siguientes:</w:t>
      </w:r>
    </w:p>
    <w:p w:rsidR="00C870A0" w:rsidRDefault="00C870A0">
      <w:pPr>
        <w:spacing w:after="0" w:line="360" w:lineRule="auto"/>
        <w:jc w:val="both"/>
        <w:rPr>
          <w:rFonts w:ascii="Palatino Linotype" w:eastAsia="Palatino Linotype" w:hAnsi="Palatino Linotype" w:cs="Palatino Linotype"/>
        </w:rPr>
      </w:pPr>
    </w:p>
    <w:p w:rsidR="00C870A0" w:rsidRDefault="004E1695">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Conforme a los artículos 1°, 7°, 29, 36 fracciones II, XVI, XXI,XXII, XXVII y XXXVIII; 176, 185, 186, 188, 195, 198, 199, 200, 214, 216 y 220, fracción XIX de la Ley de Transparencia vigente en la Entidad, esta tiene por objeto establecer los principios, bases generales y procedimientos para tutelar y garantizar la transparencia y el derecho humano de acceso a la información pública en posesión de los sujetos obligados, del mismo modo precisa que este Instituto es un organismo público estatal constitucionalmente autónomo, especializado, independiente, imparcial y colegiado dotado de personalidad jurídica y patrimonio propio, con plena autonomía técnica, de gestión, capacidad para decidir sobre el ejercicio de su presupuesto y determinar su organización interna, responsable de garantizar el ejercicio de los derechos de acceso a la información pública conforme a los principios y bases establecidas en la Constitución Federal, Constitución Local, Ley General, así como lo previsto en esta Ley y demás disposiciones jurídicas aplicables.</w:t>
      </w:r>
    </w:p>
    <w:p w:rsidR="00C870A0" w:rsidRDefault="00C870A0">
      <w:pPr>
        <w:tabs>
          <w:tab w:val="left" w:pos="0"/>
        </w:tabs>
        <w:spacing w:after="0" w:line="360" w:lineRule="auto"/>
        <w:ind w:right="49"/>
        <w:jc w:val="both"/>
        <w:rPr>
          <w:rFonts w:ascii="Palatino Linotype" w:eastAsia="Palatino Linotype" w:hAnsi="Palatino Linotype" w:cs="Palatino Linotype"/>
        </w:rPr>
      </w:pPr>
    </w:p>
    <w:p w:rsidR="00C870A0" w:rsidRDefault="004E1695">
      <w:pPr>
        <w:shd w:val="clear" w:color="auto" w:fill="FFFFFF"/>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ese sentido, es de resaltar que el recurso de revisión es la garantía secundaria mediante la cual se pretende reparar cualquier posible afectación al derecho de acceso a la información pública, en donde las resoluciones de este Organismo Garante pueden:</w:t>
      </w:r>
    </w:p>
    <w:p w:rsidR="00C870A0" w:rsidRDefault="00C870A0">
      <w:pPr>
        <w:shd w:val="clear" w:color="auto" w:fill="FFFFFF"/>
        <w:spacing w:after="0" w:line="360" w:lineRule="auto"/>
        <w:ind w:right="49"/>
        <w:jc w:val="both"/>
        <w:rPr>
          <w:rFonts w:ascii="Palatino Linotype" w:eastAsia="Palatino Linotype" w:hAnsi="Palatino Linotype" w:cs="Palatino Linotype"/>
        </w:rPr>
      </w:pPr>
    </w:p>
    <w:p w:rsidR="00C870A0" w:rsidRDefault="004E1695">
      <w:pPr>
        <w:numPr>
          <w:ilvl w:val="0"/>
          <w:numId w:val="2"/>
        </w:num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Desechar o sobreseer el recurso</w:t>
      </w:r>
    </w:p>
    <w:p w:rsidR="00C870A0" w:rsidRDefault="004E1695">
      <w:pPr>
        <w:numPr>
          <w:ilvl w:val="0"/>
          <w:numId w:val="2"/>
        </w:num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Confirma la respuesta del sujeto obligado</w:t>
      </w:r>
    </w:p>
    <w:p w:rsidR="00C870A0" w:rsidRDefault="004E1695">
      <w:pPr>
        <w:numPr>
          <w:ilvl w:val="0"/>
          <w:numId w:val="2"/>
        </w:num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Revocar o modificar la respuesta del sujeto obligado; y </w:t>
      </w:r>
    </w:p>
    <w:p w:rsidR="00C870A0" w:rsidRDefault="004E1695">
      <w:pPr>
        <w:numPr>
          <w:ilvl w:val="0"/>
          <w:numId w:val="2"/>
        </w:num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Ordenar la entrega de la información</w:t>
      </w:r>
    </w:p>
    <w:p w:rsidR="00C870A0" w:rsidRDefault="00C870A0">
      <w:pPr>
        <w:spacing w:after="0" w:line="360" w:lineRule="auto"/>
        <w:ind w:left="720"/>
        <w:jc w:val="both"/>
        <w:rPr>
          <w:rFonts w:ascii="Palatino Linotype" w:eastAsia="Palatino Linotype" w:hAnsi="Palatino Linotype" w:cs="Palatino Linotype"/>
        </w:rPr>
      </w:pPr>
    </w:p>
    <w:p w:rsidR="00C870A0" w:rsidRDefault="004E1695">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Cabe agregar que las resoluciones que pronuncie este Instituto deben contener cuatro aspectos importantes:</w:t>
      </w:r>
    </w:p>
    <w:p w:rsidR="00C870A0" w:rsidRDefault="00C870A0">
      <w:pPr>
        <w:spacing w:after="0" w:line="360" w:lineRule="auto"/>
        <w:jc w:val="both"/>
        <w:rPr>
          <w:rFonts w:ascii="Palatino Linotype" w:eastAsia="Palatino Linotype" w:hAnsi="Palatino Linotype" w:cs="Palatino Linotype"/>
        </w:rPr>
      </w:pPr>
    </w:p>
    <w:p w:rsidR="00C870A0" w:rsidRDefault="004E1695">
      <w:pPr>
        <w:numPr>
          <w:ilvl w:val="0"/>
          <w:numId w:val="3"/>
        </w:numP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t>Lugar, fecha, el nombre del recurrente y del tercero interesado en su caso, sujeto obligado y un extracto de los hechos cuestionados;</w:t>
      </w:r>
    </w:p>
    <w:p w:rsidR="00C870A0" w:rsidRDefault="00C870A0">
      <w:pPr>
        <w:spacing w:after="0" w:line="240" w:lineRule="auto"/>
        <w:ind w:left="720"/>
        <w:jc w:val="both"/>
        <w:rPr>
          <w:rFonts w:ascii="Palatino Linotype" w:eastAsia="Palatino Linotype" w:hAnsi="Palatino Linotype" w:cs="Palatino Linotype"/>
          <w:sz w:val="10"/>
          <w:szCs w:val="10"/>
        </w:rPr>
      </w:pPr>
    </w:p>
    <w:p w:rsidR="00C870A0" w:rsidRDefault="004E1695">
      <w:pPr>
        <w:numPr>
          <w:ilvl w:val="0"/>
          <w:numId w:val="3"/>
        </w:numP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t>Los preceptos en que se fundamenten y las consideraciones que las sustenten;</w:t>
      </w:r>
    </w:p>
    <w:p w:rsidR="00C870A0" w:rsidRDefault="00C870A0">
      <w:pPr>
        <w:spacing w:after="0" w:line="240" w:lineRule="auto"/>
        <w:ind w:left="720"/>
        <w:jc w:val="both"/>
        <w:rPr>
          <w:rFonts w:ascii="Palatino Linotype" w:eastAsia="Palatino Linotype" w:hAnsi="Palatino Linotype" w:cs="Palatino Linotype"/>
          <w:sz w:val="10"/>
          <w:szCs w:val="10"/>
        </w:rPr>
      </w:pPr>
    </w:p>
    <w:p w:rsidR="00C870A0" w:rsidRDefault="004E1695">
      <w:pPr>
        <w:numPr>
          <w:ilvl w:val="0"/>
          <w:numId w:val="3"/>
        </w:numP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t>Los alcances y efectos de la resolución, fijando con precisión, en su caso, los sujetos y órganos obligados a cumplirla; y</w:t>
      </w:r>
    </w:p>
    <w:p w:rsidR="00C870A0" w:rsidRDefault="00C870A0">
      <w:pPr>
        <w:pBdr>
          <w:top w:val="nil"/>
          <w:left w:val="nil"/>
          <w:bottom w:val="nil"/>
          <w:right w:val="nil"/>
          <w:between w:val="nil"/>
        </w:pBdr>
        <w:spacing w:after="0" w:line="240" w:lineRule="auto"/>
        <w:ind w:left="720"/>
        <w:jc w:val="both"/>
        <w:rPr>
          <w:rFonts w:ascii="Palatino Linotype" w:eastAsia="Palatino Linotype" w:hAnsi="Palatino Linotype" w:cs="Palatino Linotype"/>
          <w:color w:val="000000"/>
          <w:sz w:val="8"/>
          <w:szCs w:val="8"/>
        </w:rPr>
      </w:pPr>
    </w:p>
    <w:p w:rsidR="00C870A0" w:rsidRDefault="004E1695">
      <w:pPr>
        <w:numPr>
          <w:ilvl w:val="0"/>
          <w:numId w:val="3"/>
        </w:numP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t>Los puntos resolutivos.</w:t>
      </w:r>
    </w:p>
    <w:p w:rsidR="00C870A0" w:rsidRDefault="00C870A0">
      <w:pPr>
        <w:spacing w:after="0" w:line="360" w:lineRule="auto"/>
        <w:jc w:val="both"/>
        <w:rPr>
          <w:rFonts w:ascii="Palatino Linotype" w:eastAsia="Palatino Linotype" w:hAnsi="Palatino Linotype" w:cs="Palatino Linotype"/>
        </w:rPr>
      </w:pPr>
    </w:p>
    <w:p w:rsidR="00C870A0" w:rsidRDefault="004E1695">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Sobre este punto, se considera de suma importancia mencionar que de la normatividad citada, se advierte que este Instituto está facultado entre otras cosas para:</w:t>
      </w:r>
    </w:p>
    <w:p w:rsidR="00C870A0" w:rsidRDefault="00C870A0">
      <w:pPr>
        <w:spacing w:after="0" w:line="360" w:lineRule="auto"/>
        <w:jc w:val="both"/>
        <w:rPr>
          <w:rFonts w:ascii="Palatino Linotype" w:eastAsia="Palatino Linotype" w:hAnsi="Palatino Linotype" w:cs="Palatino Linotype"/>
        </w:rPr>
      </w:pPr>
    </w:p>
    <w:p w:rsidR="00C870A0" w:rsidRDefault="004E1695">
      <w:pPr>
        <w:numPr>
          <w:ilvl w:val="0"/>
          <w:numId w:val="4"/>
        </w:numPr>
        <w:spacing w:after="0" w:line="240" w:lineRule="auto"/>
        <w:jc w:val="both"/>
        <w:rPr>
          <w:rFonts w:ascii="Palatino Linotype" w:eastAsia="Palatino Linotype" w:hAnsi="Palatino Linotype" w:cs="Palatino Linotype"/>
          <w:i/>
        </w:rPr>
      </w:pPr>
      <w:r>
        <w:rPr>
          <w:rFonts w:ascii="Palatino Linotype" w:eastAsia="Palatino Linotype" w:hAnsi="Palatino Linotype" w:cs="Palatino Linotype"/>
          <w:i/>
        </w:rPr>
        <w:t>Conocer y resolver los recursos de revisión interpuestos por los particulares en contra de las resoluciones de los sujetos obligados en el ámbito estatal;</w:t>
      </w:r>
    </w:p>
    <w:p w:rsidR="00C870A0" w:rsidRDefault="00C870A0">
      <w:pPr>
        <w:spacing w:after="0" w:line="240" w:lineRule="auto"/>
        <w:ind w:left="720"/>
        <w:jc w:val="both"/>
        <w:rPr>
          <w:rFonts w:ascii="Palatino Linotype" w:eastAsia="Palatino Linotype" w:hAnsi="Palatino Linotype" w:cs="Palatino Linotype"/>
          <w:i/>
          <w:sz w:val="10"/>
          <w:szCs w:val="10"/>
        </w:rPr>
      </w:pPr>
    </w:p>
    <w:p w:rsidR="00C870A0" w:rsidRDefault="004E1695">
      <w:pPr>
        <w:numPr>
          <w:ilvl w:val="0"/>
          <w:numId w:val="4"/>
        </w:numPr>
        <w:spacing w:after="0" w:line="240" w:lineRule="auto"/>
        <w:jc w:val="both"/>
        <w:rPr>
          <w:rFonts w:ascii="Palatino Linotype" w:eastAsia="Palatino Linotype" w:hAnsi="Palatino Linotype" w:cs="Palatino Linotype"/>
          <w:i/>
        </w:rPr>
      </w:pPr>
      <w:r>
        <w:rPr>
          <w:rFonts w:ascii="Palatino Linotype" w:eastAsia="Palatino Linotype" w:hAnsi="Palatino Linotype" w:cs="Palatino Linotype"/>
          <w:i/>
        </w:rPr>
        <w:t>Realizar de oficio y a petición de parte, análisis y recomendaciones o en su caso, lineamientos en relación con presuntos incumplimientos a las disposiciones de la Ley, cuando existan elementos suficientes a juicio del Pleno del Instituto;</w:t>
      </w:r>
    </w:p>
    <w:p w:rsidR="00C870A0" w:rsidRDefault="00C870A0">
      <w:pPr>
        <w:spacing w:after="0" w:line="240" w:lineRule="auto"/>
        <w:ind w:left="720"/>
        <w:jc w:val="both"/>
        <w:rPr>
          <w:rFonts w:ascii="Palatino Linotype" w:eastAsia="Palatino Linotype" w:hAnsi="Palatino Linotype" w:cs="Palatino Linotype"/>
          <w:i/>
          <w:sz w:val="10"/>
          <w:szCs w:val="10"/>
        </w:rPr>
      </w:pPr>
    </w:p>
    <w:p w:rsidR="00C870A0" w:rsidRDefault="004E1695">
      <w:pPr>
        <w:numPr>
          <w:ilvl w:val="0"/>
          <w:numId w:val="4"/>
        </w:numPr>
        <w:spacing w:after="0" w:line="240" w:lineRule="auto"/>
        <w:jc w:val="both"/>
        <w:rPr>
          <w:rFonts w:ascii="Palatino Linotype" w:eastAsia="Palatino Linotype" w:hAnsi="Palatino Linotype" w:cs="Palatino Linotype"/>
          <w:i/>
        </w:rPr>
      </w:pPr>
      <w:r>
        <w:rPr>
          <w:rFonts w:ascii="Palatino Linotype" w:eastAsia="Palatino Linotype" w:hAnsi="Palatino Linotype" w:cs="Palatino Linotype"/>
          <w:i/>
        </w:rPr>
        <w:t>Emitir comunicados públicos sobre el incumplimiento de sus resoluciones o por infracciones reiteradas a la Ley, en el ámbito de su competencia;</w:t>
      </w:r>
    </w:p>
    <w:p w:rsidR="00C870A0" w:rsidRDefault="00C870A0">
      <w:pPr>
        <w:spacing w:after="0" w:line="240" w:lineRule="auto"/>
        <w:ind w:left="720"/>
        <w:jc w:val="both"/>
        <w:rPr>
          <w:rFonts w:ascii="Palatino Linotype" w:eastAsia="Palatino Linotype" w:hAnsi="Palatino Linotype" w:cs="Palatino Linotype"/>
          <w:i/>
          <w:sz w:val="10"/>
          <w:szCs w:val="10"/>
        </w:rPr>
      </w:pPr>
    </w:p>
    <w:p w:rsidR="00C870A0" w:rsidRDefault="004E1695">
      <w:pPr>
        <w:numPr>
          <w:ilvl w:val="0"/>
          <w:numId w:val="4"/>
        </w:numPr>
        <w:spacing w:after="0" w:line="240" w:lineRule="auto"/>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Ordenar a los sujetos obligados la ejecutoría en la entrega de información en términos de la presente Ley;</w:t>
      </w:r>
    </w:p>
    <w:p w:rsidR="00C870A0" w:rsidRDefault="00C870A0">
      <w:pPr>
        <w:spacing w:after="0" w:line="240" w:lineRule="auto"/>
        <w:ind w:left="720"/>
        <w:jc w:val="both"/>
        <w:rPr>
          <w:rFonts w:ascii="Palatino Linotype" w:eastAsia="Palatino Linotype" w:hAnsi="Palatino Linotype" w:cs="Palatino Linotype"/>
          <w:i/>
          <w:sz w:val="10"/>
          <w:szCs w:val="10"/>
        </w:rPr>
      </w:pPr>
    </w:p>
    <w:p w:rsidR="00C870A0" w:rsidRDefault="004E1695">
      <w:pPr>
        <w:numPr>
          <w:ilvl w:val="0"/>
          <w:numId w:val="4"/>
        </w:numPr>
        <w:spacing w:after="0" w:line="240" w:lineRule="auto"/>
        <w:jc w:val="both"/>
        <w:rPr>
          <w:rFonts w:ascii="Palatino Linotype" w:eastAsia="Palatino Linotype" w:hAnsi="Palatino Linotype" w:cs="Palatino Linotype"/>
          <w:i/>
        </w:rPr>
      </w:pPr>
      <w:r>
        <w:rPr>
          <w:rFonts w:ascii="Palatino Linotype" w:eastAsia="Palatino Linotype" w:hAnsi="Palatino Linotype" w:cs="Palatino Linotype"/>
          <w:i/>
        </w:rPr>
        <w:t>Imponer las medidas de apremio para asegurar el cumplimiento de sus determinaciones;</w:t>
      </w:r>
    </w:p>
    <w:p w:rsidR="00C870A0" w:rsidRDefault="00C870A0">
      <w:pPr>
        <w:spacing w:after="0" w:line="240" w:lineRule="auto"/>
        <w:ind w:left="720"/>
        <w:jc w:val="both"/>
        <w:rPr>
          <w:rFonts w:ascii="Palatino Linotype" w:eastAsia="Palatino Linotype" w:hAnsi="Palatino Linotype" w:cs="Palatino Linotype"/>
          <w:i/>
          <w:sz w:val="10"/>
          <w:szCs w:val="10"/>
        </w:rPr>
      </w:pPr>
    </w:p>
    <w:p w:rsidR="00C870A0" w:rsidRDefault="004E1695">
      <w:pPr>
        <w:numPr>
          <w:ilvl w:val="0"/>
          <w:numId w:val="4"/>
        </w:numPr>
        <w:spacing w:after="0" w:line="240" w:lineRule="auto"/>
        <w:jc w:val="both"/>
        <w:rPr>
          <w:rFonts w:ascii="Palatino Linotype" w:eastAsia="Palatino Linotype" w:hAnsi="Palatino Linotype" w:cs="Palatino Linotype"/>
          <w:i/>
        </w:rPr>
      </w:pPr>
      <w:r>
        <w:rPr>
          <w:rFonts w:ascii="Palatino Linotype" w:eastAsia="Palatino Linotype" w:hAnsi="Palatino Linotype" w:cs="Palatino Linotype"/>
          <w:b/>
          <w:i/>
          <w:u w:val="single"/>
        </w:rPr>
        <w:t>Hacer del conocimiento de la instancia competente la probable responsabilidad por el incumplimiento de las obligaciones</w:t>
      </w:r>
      <w:r>
        <w:rPr>
          <w:rFonts w:ascii="Palatino Linotype" w:eastAsia="Palatino Linotype" w:hAnsi="Palatino Linotype" w:cs="Palatino Linotype"/>
          <w:i/>
        </w:rPr>
        <w:t xml:space="preserve"> previstas en la Ley y en las demás disposiciones aplicable.  </w:t>
      </w:r>
    </w:p>
    <w:p w:rsidR="00C870A0" w:rsidRDefault="00C870A0">
      <w:pPr>
        <w:spacing w:after="0" w:line="360" w:lineRule="auto"/>
        <w:jc w:val="both"/>
        <w:rPr>
          <w:rFonts w:ascii="Palatino Linotype" w:eastAsia="Palatino Linotype" w:hAnsi="Palatino Linotype" w:cs="Palatino Linotype"/>
        </w:rPr>
      </w:pPr>
    </w:p>
    <w:p w:rsidR="00C870A0" w:rsidRDefault="004E1695">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Establecido lo anterior, debe tomarse en cuenta que la vista a la Dirección General de Datos de este Instituto, no debió incluirse en los resolutivos de la resolución referida, toda vez que,</w:t>
      </w:r>
      <w:r w:rsidR="0086108E">
        <w:rPr>
          <w:rFonts w:ascii="Palatino Linotype" w:eastAsia="Palatino Linotype" w:hAnsi="Palatino Linotype" w:cs="Palatino Linotype"/>
        </w:rPr>
        <w:t xml:space="preserve"> al sobreseerse el asunto,</w:t>
      </w:r>
      <w:bookmarkStart w:id="3" w:name="_GoBack"/>
      <w:bookmarkEnd w:id="3"/>
      <w:r>
        <w:rPr>
          <w:rFonts w:ascii="Palatino Linotype" w:eastAsia="Palatino Linotype" w:hAnsi="Palatino Linotype" w:cs="Palatino Linotype"/>
        </w:rPr>
        <w:t xml:space="preserve"> </w:t>
      </w:r>
      <w:r w:rsidR="00904A0E">
        <w:rPr>
          <w:rFonts w:ascii="Palatino Linotype" w:eastAsia="Palatino Linotype" w:hAnsi="Palatino Linotype" w:cs="Palatino Linotype"/>
        </w:rPr>
        <w:t>la documentación remitida en respuesta no fue analizada de fondo</w:t>
      </w:r>
      <w:r>
        <w:rPr>
          <w:rFonts w:ascii="Palatino Linotype" w:eastAsia="Palatino Linotype" w:hAnsi="Palatino Linotype" w:cs="Palatino Linotype"/>
        </w:rPr>
        <w:t xml:space="preserve"> y por ende la vista a dicha Dirección no forma parte de la litis (por Litis es un vocablo latino que en idioma español se traduce como litigio, significando disputa o controversia judicial; diferencia de intereses entre dos partes, llamadas litigantes, so</w:t>
      </w:r>
      <w:r w:rsidR="00904A0E">
        <w:rPr>
          <w:rFonts w:ascii="Palatino Linotype" w:eastAsia="Palatino Linotype" w:hAnsi="Palatino Linotype" w:cs="Palatino Linotype"/>
        </w:rPr>
        <w:t>metidas a decisión de un Juez.).</w:t>
      </w:r>
    </w:p>
    <w:p w:rsidR="00904A0E" w:rsidRDefault="00904A0E">
      <w:pPr>
        <w:spacing w:after="0" w:line="360" w:lineRule="auto"/>
        <w:jc w:val="both"/>
        <w:rPr>
          <w:rFonts w:ascii="Palatino Linotype" w:eastAsia="Palatino Linotype" w:hAnsi="Palatino Linotype" w:cs="Palatino Linotype"/>
        </w:rPr>
      </w:pPr>
    </w:p>
    <w:p w:rsidR="00C870A0" w:rsidRDefault="004E1695">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expone razones suficientes para la emisión y presentación del presente </w:t>
      </w:r>
      <w:r>
        <w:rPr>
          <w:rFonts w:ascii="Palatino Linotype" w:eastAsia="Palatino Linotype" w:hAnsi="Palatino Linotype" w:cs="Palatino Linotype"/>
          <w:b/>
        </w:rPr>
        <w:t>Voto Particular</w:t>
      </w:r>
      <w:r>
        <w:rPr>
          <w:rFonts w:ascii="Palatino Linotype" w:eastAsia="Palatino Linotype" w:hAnsi="Palatino Linotype" w:cs="Palatino Linotype"/>
        </w:rPr>
        <w:t xml:space="preserve">, relacionado con la resolución del Recurso de Revisión referido. </w:t>
      </w:r>
    </w:p>
    <w:p w:rsidR="00C870A0" w:rsidRDefault="00C870A0">
      <w:pPr>
        <w:spacing w:after="0" w:line="360" w:lineRule="auto"/>
        <w:jc w:val="both"/>
        <w:rPr>
          <w:rFonts w:ascii="Palatino Linotype" w:eastAsia="Palatino Linotype" w:hAnsi="Palatino Linotype" w:cs="Palatino Linotype"/>
        </w:rPr>
      </w:pPr>
    </w:p>
    <w:p w:rsidR="00C870A0" w:rsidRDefault="00C870A0">
      <w:pPr>
        <w:spacing w:after="0" w:line="360" w:lineRule="auto"/>
        <w:jc w:val="both"/>
        <w:rPr>
          <w:rFonts w:ascii="Palatino Linotype" w:eastAsia="Palatino Linotype" w:hAnsi="Palatino Linotype" w:cs="Palatino Linotype"/>
        </w:rPr>
        <w:sectPr w:rsidR="00C870A0">
          <w:headerReference w:type="even" r:id="rId8"/>
          <w:headerReference w:type="default" r:id="rId9"/>
          <w:footerReference w:type="default" r:id="rId10"/>
          <w:pgSz w:w="12240" w:h="15840"/>
          <w:pgMar w:top="1871" w:right="1327" w:bottom="2836" w:left="1985" w:header="709" w:footer="586" w:gutter="0"/>
          <w:pgNumType w:start="1"/>
          <w:cols w:space="720"/>
        </w:sectPr>
      </w:pPr>
    </w:p>
    <w:p w:rsidR="00C870A0" w:rsidRDefault="00C870A0">
      <w:pPr>
        <w:spacing w:before="240" w:after="240" w:line="360" w:lineRule="auto"/>
        <w:ind w:right="423"/>
        <w:jc w:val="both"/>
        <w:rPr>
          <w:rFonts w:ascii="Palatino Linotype" w:eastAsia="Palatino Linotype" w:hAnsi="Palatino Linotype" w:cs="Palatino Linotype"/>
        </w:rPr>
      </w:pPr>
    </w:p>
    <w:sectPr w:rsidR="00C870A0">
      <w:headerReference w:type="default" r:id="rId11"/>
      <w:pgSz w:w="12240" w:h="15840"/>
      <w:pgMar w:top="1871" w:right="1327" w:bottom="2836" w:left="1985" w:header="709" w:footer="58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695" w:rsidRDefault="004E1695">
      <w:pPr>
        <w:spacing w:after="0" w:line="240" w:lineRule="auto"/>
      </w:pPr>
      <w:r>
        <w:separator/>
      </w:r>
    </w:p>
  </w:endnote>
  <w:endnote w:type="continuationSeparator" w:id="0">
    <w:p w:rsidR="004E1695" w:rsidRDefault="004E1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0A0" w:rsidRDefault="004E169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34C62">
      <w:rPr>
        <w:rFonts w:ascii="Arial" w:eastAsia="Arial" w:hAnsi="Arial" w:cs="Arial"/>
        <w:b/>
        <w:noProof/>
        <w:color w:val="000000"/>
        <w:sz w:val="20"/>
        <w:szCs w:val="20"/>
      </w:rPr>
      <w:t>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34C62">
      <w:rPr>
        <w:rFonts w:ascii="Arial" w:eastAsia="Arial" w:hAnsi="Arial" w:cs="Arial"/>
        <w:b/>
        <w:noProof/>
        <w:color w:val="000000"/>
        <w:sz w:val="20"/>
        <w:szCs w:val="20"/>
      </w:rPr>
      <w:t>6</w:t>
    </w:r>
    <w:r>
      <w:rPr>
        <w:rFonts w:ascii="Arial" w:eastAsia="Arial" w:hAnsi="Arial" w:cs="Arial"/>
        <w:b/>
        <w:color w:val="000000"/>
        <w:sz w:val="20"/>
        <w:szCs w:val="20"/>
      </w:rPr>
      <w:fldChar w:fldCharType="end"/>
    </w:r>
  </w:p>
  <w:p w:rsidR="00C870A0" w:rsidRDefault="00C870A0">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695" w:rsidRDefault="004E1695">
      <w:pPr>
        <w:spacing w:after="0" w:line="240" w:lineRule="auto"/>
      </w:pPr>
      <w:r>
        <w:separator/>
      </w:r>
    </w:p>
  </w:footnote>
  <w:footnote w:type="continuationSeparator" w:id="0">
    <w:p w:rsidR="004E1695" w:rsidRDefault="004E1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0A0" w:rsidRDefault="004E1695">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US" w:eastAsia="en-US"/>
      </w:rPr>
      <mc:AlternateContent>
        <mc:Choice Requires="wpg">
          <w:drawing>
            <wp:anchor distT="0" distB="0" distL="0" distR="0" simplePos="0" relativeHeight="251659264" behindDoc="1" locked="0" layoutInCell="1" hidden="0" allowOverlap="1">
              <wp:simplePos x="0" y="0"/>
              <wp:positionH relativeFrom="margin">
                <wp:align>center</wp:align>
              </wp:positionH>
              <wp:positionV relativeFrom="margin">
                <wp:align>center</wp:align>
              </wp:positionV>
              <wp:extent cx="7511550" cy="7511550"/>
              <wp:effectExtent l="0" t="0" r="0" b="0"/>
              <wp:wrapNone/>
              <wp:docPr id="16" name="Rectángulo 16"/>
              <wp:cNvGraphicFramePr/>
              <a:graphic xmlns:a="http://schemas.openxmlformats.org/drawingml/2006/main">
                <a:graphicData uri="http://schemas.microsoft.com/office/word/2010/wordprocessingShape">
                  <wps:wsp>
                    <wps:cNvSpPr/>
                    <wps:spPr>
                      <a:xfrm rot="-2700000">
                        <a:off x="2440875" y="2945610"/>
                        <a:ext cx="5810250" cy="1668780"/>
                      </a:xfrm>
                      <a:prstGeom prst="rect">
                        <a:avLst/>
                      </a:prstGeom>
                      <a:noFill/>
                      <a:ln>
                        <a:noFill/>
                      </a:ln>
                    </wps:spPr>
                    <wps:txbx>
                      <w:txbxContent>
                        <w:p w:rsidR="00C870A0" w:rsidRDefault="004E1695">
                          <w:pPr>
                            <w:spacing w:after="0" w:line="240" w:lineRule="auto"/>
                            <w:jc w:val="center"/>
                            <w:textDirection w:val="btLr"/>
                          </w:pPr>
                          <w:r>
                            <w:rPr>
                              <w:rFonts w:ascii="Arial" w:eastAsia="Arial" w:hAnsi="Arial" w:cs="Arial"/>
                              <w:color w:val="ED7D31"/>
                              <w:sz w:val="144"/>
                            </w:rPr>
                            <w:t>VOTO DISIDENTE</w:t>
                          </w: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511550" cy="7511550"/>
              <wp:effectExtent b="0" l="0" r="0" t="0"/>
              <wp:wrapNone/>
              <wp:docPr id="1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511550" cy="751155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0A0" w:rsidRDefault="004E169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lang w:val="en-US" w:eastAsia="en-US"/>
      </w:rPr>
      <w:drawing>
        <wp:anchor distT="0" distB="0" distL="0" distR="0" simplePos="0" relativeHeight="251658240" behindDoc="1" locked="0" layoutInCell="1" hidden="0" allowOverlap="1">
          <wp:simplePos x="0" y="0"/>
          <wp:positionH relativeFrom="column">
            <wp:posOffset>-1115058</wp:posOffset>
          </wp:positionH>
          <wp:positionV relativeFrom="paragraph">
            <wp:posOffset>-433702</wp:posOffset>
          </wp:positionV>
          <wp:extent cx="7510628" cy="988377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C870A0" w:rsidRDefault="00C870A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C870A0" w:rsidRDefault="00C870A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C870A0" w:rsidRDefault="004E1695">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VOTO PARTICULAR </w:t>
    </w:r>
  </w:p>
  <w:p w:rsidR="00C870A0" w:rsidRDefault="004E1695">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   </w:t>
    </w:r>
    <w:r w:rsidR="004D253D">
      <w:rPr>
        <w:rFonts w:ascii="Palatino Linotype" w:eastAsia="Palatino Linotype" w:hAnsi="Palatino Linotype" w:cs="Palatino Linotype"/>
        <w:b/>
        <w:color w:val="000000"/>
        <w:sz w:val="20"/>
        <w:szCs w:val="20"/>
      </w:rPr>
      <w:t>RECURSOS DE REVISIÓN 02639</w:t>
    </w:r>
    <w:r>
      <w:rPr>
        <w:rFonts w:ascii="Palatino Linotype" w:eastAsia="Palatino Linotype" w:hAnsi="Palatino Linotype" w:cs="Palatino Linotype"/>
        <w:b/>
        <w:color w:val="000000"/>
        <w:sz w:val="20"/>
        <w:szCs w:val="20"/>
      </w:rPr>
      <w:t xml:space="preserve">/INFOEM/IP/RR/2023 </w:t>
    </w:r>
  </w:p>
  <w:p w:rsidR="00C870A0" w:rsidRDefault="00C870A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0A0" w:rsidRDefault="00C870A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C870A0" w:rsidRDefault="00C870A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C870A0" w:rsidRDefault="00C870A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C870A0" w:rsidRDefault="00C870A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05ED3"/>
    <w:multiLevelType w:val="multilevel"/>
    <w:tmpl w:val="1A604BD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650585"/>
    <w:multiLevelType w:val="multilevel"/>
    <w:tmpl w:val="CBB69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314306"/>
    <w:multiLevelType w:val="multilevel"/>
    <w:tmpl w:val="0AEA10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8000C2A"/>
    <w:multiLevelType w:val="multilevel"/>
    <w:tmpl w:val="D19C06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E392D44"/>
    <w:multiLevelType w:val="multilevel"/>
    <w:tmpl w:val="A986F7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0A0"/>
    <w:rsid w:val="00037BF8"/>
    <w:rsid w:val="0026530A"/>
    <w:rsid w:val="0030440D"/>
    <w:rsid w:val="004D253D"/>
    <w:rsid w:val="004E1695"/>
    <w:rsid w:val="00632A58"/>
    <w:rsid w:val="00634C62"/>
    <w:rsid w:val="0086108E"/>
    <w:rsid w:val="00904A0E"/>
    <w:rsid w:val="00C870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7C96F"/>
  <w15:docId w15:val="{798FE887-431D-4F0C-8004-AA1313E0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59"/>
    <w:rsid w:val="00CF5F43"/>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xNBnFqjnlrvL0avcYN8o9vvXhg==">CgMxLjAyCGguZ2pkZ3hzMg1oLnpqMHRzYzRtemV6Mg5oLjJnejNmMXg1MWw4eTIOaC5hYWx4djAxOHJobG0yDmgubjBpZG53ZnNjOWZ2Mg5oLjdqeHRnc2szOGtkdTIOaC4zaGVzdGFjc2c0cHgyDmguNW8xb2lhcmgwZGFxMg5oLmNwMGw1NmV2dWhrdjIOaC5jZDZ1N3pwZjFkbGYyDmgudDR0aXE5cWZzNm5mOAByITFMZDFjSG5NemlzbzZQUlNmU18tejlTX2pGTDhVYU1y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1116</Words>
  <Characters>6363</Characters>
  <Application>Microsoft Office Word</Application>
  <DocSecurity>0</DocSecurity>
  <Lines>53</Lines>
  <Paragraphs>14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NAJERA </cp:lastModifiedBy>
  <cp:revision>7</cp:revision>
  <cp:lastPrinted>2023-08-14T17:37:00Z</cp:lastPrinted>
  <dcterms:created xsi:type="dcterms:W3CDTF">2023-09-15T20:37:00Z</dcterms:created>
  <dcterms:modified xsi:type="dcterms:W3CDTF">2023-09-15T21:14:00Z</dcterms:modified>
</cp:coreProperties>
</file>