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4C" w:rsidRDefault="0088724C">
      <w:pPr>
        <w:pStyle w:val="Encabezado"/>
        <w:tabs>
          <w:tab w:val="clear" w:pos="8504"/>
        </w:tabs>
        <w:spacing w:line="360" w:lineRule="auto"/>
        <w:ind w:right="49"/>
        <w:jc w:val="both"/>
        <w:rPr>
          <w:rFonts w:ascii="Palatino Linotype" w:hAnsi="Palatino Linotype" w:cs="Tahoma"/>
          <w:b/>
        </w:rPr>
      </w:pPr>
    </w:p>
    <w:p w:rsidR="0090039D" w:rsidRDefault="00976AE3">
      <w:pPr>
        <w:pStyle w:val="Encabezado"/>
        <w:tabs>
          <w:tab w:val="clear" w:pos="8504"/>
        </w:tabs>
        <w:spacing w:line="360" w:lineRule="auto"/>
        <w:ind w:right="49"/>
        <w:jc w:val="both"/>
        <w:rPr>
          <w:rFonts w:ascii="Palatino Linotype" w:hAnsi="Palatino Linotype" w:cs="Tahoma"/>
          <w:b/>
        </w:rPr>
      </w:pPr>
      <w:r>
        <w:rPr>
          <w:rFonts w:ascii="Palatino Linotype" w:hAnsi="Palatino Linotype" w:cs="Tahoma"/>
          <w:b/>
        </w:rPr>
        <w:t xml:space="preserve">VOTO PARTICULAR QUE FORMULA EL COMISIONADO LUIS GUSTAVO PARRA NORIEGA, A LA RESOLUCIÓN DEL RECURSO DE REVISIÓN </w:t>
      </w:r>
      <w:r w:rsidR="006638CF" w:rsidRPr="006638CF">
        <w:rPr>
          <w:rFonts w:ascii="Palatino Linotype" w:eastAsia="Palatino Linotype" w:hAnsi="Palatino Linotype" w:cs="Palatino Linotype"/>
          <w:b/>
        </w:rPr>
        <w:t>2705/INFOEM/IP/RR/2023</w:t>
      </w:r>
      <w:r>
        <w:rPr>
          <w:rFonts w:ascii="Palatino Linotype" w:eastAsia="Palatino Linotype" w:hAnsi="Palatino Linotype" w:cs="Palatino Linotype"/>
          <w:b/>
        </w:rPr>
        <w:tab/>
      </w:r>
      <w:r>
        <w:rPr>
          <w:rFonts w:ascii="Palatino Linotype" w:hAnsi="Palatino Linotype" w:cs="Tahoma"/>
          <w:b/>
        </w:rPr>
        <w:t>, PROMOVIDO EN CONTRA DEL AYUNTAMIENTO DE NICOLÁS ROMERO.</w:t>
      </w:r>
    </w:p>
    <w:p w:rsidR="0090039D" w:rsidRDefault="0090039D">
      <w:pPr>
        <w:pStyle w:val="Encabezado"/>
        <w:tabs>
          <w:tab w:val="clear" w:pos="8504"/>
        </w:tabs>
        <w:spacing w:line="360" w:lineRule="auto"/>
        <w:ind w:right="49"/>
        <w:jc w:val="both"/>
        <w:rPr>
          <w:rFonts w:ascii="Palatino Linotype" w:hAnsi="Palatino Linotype" w:cs="Tahoma"/>
        </w:rPr>
      </w:pPr>
    </w:p>
    <w:p w:rsidR="0090039D" w:rsidRDefault="00976AE3">
      <w:pPr>
        <w:tabs>
          <w:tab w:val="left" w:pos="1843"/>
        </w:tabs>
        <w:spacing w:after="0" w:line="360" w:lineRule="auto"/>
        <w:ind w:right="49"/>
        <w:jc w:val="both"/>
        <w:rPr>
          <w:rFonts w:ascii="Palatino Linotype" w:hAnsi="Palatino Linotype" w:cs="Tahoma"/>
          <w:b/>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6638CF" w:rsidRPr="006638CF">
        <w:rPr>
          <w:rFonts w:ascii="Palatino Linotype" w:eastAsia="Palatino Linotype" w:hAnsi="Palatino Linotype" w:cs="Palatino Linotype"/>
          <w:b/>
        </w:rPr>
        <w:t>2705/INFOEM/IP/RR/2023</w:t>
      </w:r>
      <w:r>
        <w:rPr>
          <w:rFonts w:ascii="Palatino Linotype" w:eastAsia="Palatino Linotype" w:hAnsi="Palatino Linotype" w:cs="Palatino Linotype"/>
          <w:b/>
        </w:rPr>
        <w:t xml:space="preserve">. </w:t>
      </w:r>
    </w:p>
    <w:p w:rsidR="0090039D" w:rsidRDefault="0090039D">
      <w:pPr>
        <w:spacing w:after="0" w:line="360" w:lineRule="auto"/>
        <w:ind w:right="49"/>
        <w:jc w:val="both"/>
        <w:rPr>
          <w:rFonts w:ascii="Palatino Linotype" w:hAnsi="Palatino Linotype" w:cs="Tahoma"/>
        </w:rPr>
      </w:pPr>
    </w:p>
    <w:p w:rsidR="0090039D" w:rsidRDefault="00976AE3">
      <w:pPr>
        <w:spacing w:after="0" w:line="360" w:lineRule="auto"/>
        <w:ind w:right="49"/>
        <w:jc w:val="both"/>
        <w:rPr>
          <w:rFonts w:ascii="Palatino Linotype" w:hAnsi="Palatino Linotype" w:cs="Tahoma"/>
        </w:rPr>
      </w:pPr>
      <w:r>
        <w:rPr>
          <w:rFonts w:ascii="Palatino Linotype" w:hAnsi="Palatino Linotype" w:cs="Tahoma"/>
        </w:rPr>
        <w:t xml:space="preserve">Como se desprende de la Resolución en comento, el Particular solicitó </w:t>
      </w:r>
      <w:r w:rsidR="00F1381E">
        <w:rPr>
          <w:rFonts w:ascii="Palatino Linotype" w:hAnsi="Palatino Linotype" w:cs="Tahoma"/>
        </w:rPr>
        <w:t>el nombre</w:t>
      </w:r>
      <w:r w:rsidR="006638CF">
        <w:rPr>
          <w:rFonts w:ascii="Palatino Linotype" w:hAnsi="Palatino Linotype" w:cs="Tahoma"/>
        </w:rPr>
        <w:t xml:space="preserve"> de las personas involucradas con algún procedimiento administrativo en la Contraloría Interna Municipal u organismo descentralizado del primero de enero de dos mil quince al veinticinco de abril de dos mil veintitrés;</w:t>
      </w:r>
      <w:r>
        <w:rPr>
          <w:rFonts w:ascii="Palatino Linotype" w:hAnsi="Palatino Linotype" w:cs="Tahoma"/>
        </w:rPr>
        <w:t xml:space="preserve"> derivado de lo anterior, el Sujeto Obligado precisó que </w:t>
      </w:r>
      <w:r w:rsidR="006638CF">
        <w:rPr>
          <w:rFonts w:ascii="Palatino Linotype" w:hAnsi="Palatino Linotype" w:cs="Tahoma"/>
        </w:rPr>
        <w:t>no podía hacer la entrega, toda vez que se trataba de información clasificada como reservada, hasta en tanto no se emitiera resoluci</w:t>
      </w:r>
      <w:r w:rsidR="00C80348">
        <w:rPr>
          <w:rFonts w:ascii="Palatino Linotype" w:hAnsi="Palatino Linotype" w:cs="Tahoma"/>
        </w:rPr>
        <w:t>ón firme.</w:t>
      </w:r>
    </w:p>
    <w:p w:rsidR="0090039D" w:rsidRDefault="0090039D">
      <w:pPr>
        <w:spacing w:after="0" w:line="360" w:lineRule="auto"/>
        <w:ind w:right="49"/>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 xml:space="preserve">De acuerdo con lo expuesto, emito el presente Voto Particular, en virtud de que considero que para haberse colmado el derecho de acceso a la información del solicitante, se debió realizar una interpretación más amplia de la solicitud de acceso y ordenar la entrega de todos los expedientes concluidos, pues se advierte que requiere todos los del periodo sin </w:t>
      </w:r>
      <w:r w:rsidRPr="00F1381E">
        <w:rPr>
          <w:rFonts w:ascii="Palatino Linotype" w:hAnsi="Palatino Linotype" w:cs="Tahoma"/>
        </w:rPr>
        <w:lastRenderedPageBreak/>
        <w:t>especificar si se encuentran en trámite o concluidos, con base en las siguientes consideraciones:</w:t>
      </w: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 xml:space="preserve">En este sentido, de la lectura de la solitud, considero que la pretensión del Particular es acceder a todas las faltas administrativas sin precisar si requería las concluidas o únicamente aquellas en trámite; toda vez que el Recurrente no es perito en la materia y no se encuentra obligado a identificar con exactitud la documentación a la que quiere tener acceso. </w:t>
      </w: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Sobre lo anterior, cabe traer a colación los artículos 95, 99, 104, 105, 106, 116, 119, 129, 180, 184 y 188 de la Ley de Responsabilidades Administrativas del Estado de México y Municipios, sobre las tres etapas del Procedimiento de Responsabilidad Administrativa, para determinar la falta en la que haya incurrido algún servidor público, a saber, las siguientes:</w:t>
      </w: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Investigación: la cual consiste en lo siguiente:</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 xml:space="preserve">Inicia: </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 xml:space="preserve">- De oficio </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 xml:space="preserve">- Por denuncia </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 xml:space="preserve">- Derivado de auditorías </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Una vez determinada la calificación de la conducta, se incluirá la misma en el Informe de Presunta Responsabilidad Administrativa y éste se presentará ante la autoridad substanciadora a efecto de iniciar el procedimiento de responsabilidad administrativa correspondiente.</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Sustanciación: En este periodo se puede realizar lo siguiente:</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Se califican los hechos como faltas administrativas graves o no graves</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La autoridad substanciadora podrá admitir el informe de presunta responsabilidad administrativa.</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Las partes, pueden presentar las pruebas o alegatos que consideren pertinentes,</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lastRenderedPageBreak/>
        <w:t>Resolución:</w:t>
      </w: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Se emite resolución y se notifica a las partes.</w:t>
      </w: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r>
        <w:rPr>
          <w:rFonts w:ascii="Palatino Linotype" w:hAnsi="Palatino Linotype" w:cs="Tahoma"/>
        </w:rPr>
        <w:t>Así</w:t>
      </w:r>
      <w:r w:rsidRPr="00F1381E">
        <w:rPr>
          <w:rFonts w:ascii="Palatino Linotype" w:hAnsi="Palatino Linotype" w:cs="Tahoma"/>
        </w:rPr>
        <w:t>, se advierte que de la Contraloría Municipal recibe para iniciar la investigación por alguna presunta responsabilidad de falta administrativa quejas o denuncias de las cuales realiza su investigación correspondiente a efecto de determinar si son faltas graves o no graves, así como si procede sancionar al servidor público o bien decreta que no existieron elementos suficientes para continuar a la etapa de sustanciación.</w:t>
      </w: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 xml:space="preserve">Bajo esas líneas argumentativas, se debió ordenar la entrega de los expedientes cuya naturaleza fuera pública, durante el periodo señalado en la solicitud, es decir del primero de enero de dos mil dieciséis al trece de febrero de dos mil veintitrés, bajo los siguientes supuestos: </w:t>
      </w: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 xml:space="preserve">Conforme a </w:t>
      </w:r>
      <w:r>
        <w:rPr>
          <w:rFonts w:ascii="Palatino Linotype" w:hAnsi="Palatino Linotype" w:cs="Tahoma"/>
        </w:rPr>
        <w:t>ello</w:t>
      </w:r>
      <w:r w:rsidRPr="00F1381E">
        <w:rPr>
          <w:rFonts w:ascii="Palatino Linotype" w:hAnsi="Palatino Linotype" w:cs="Tahoma"/>
        </w:rPr>
        <w:t>, toda vez que únicamente se analizó y determinó la procedencia de la entrega de aquellas responsabilidades administrativas que se encontraban en proceso y desde mi perspectiva también se debieron contemplar dentro de la solicitud, aquellas concluidas y entregar las faltas administrativas graves por ser información pública.</w:t>
      </w:r>
    </w:p>
    <w:p w:rsidR="00F1381E" w:rsidRPr="00F1381E" w:rsidRDefault="00F1381E" w:rsidP="00F1381E">
      <w:pPr>
        <w:spacing w:after="0" w:line="360" w:lineRule="auto"/>
        <w:contextualSpacing/>
        <w:jc w:val="both"/>
        <w:rPr>
          <w:rFonts w:ascii="Palatino Linotype" w:hAnsi="Palatino Linotype" w:cs="Tahoma"/>
        </w:rPr>
      </w:pPr>
      <w:bookmarkStart w:id="0" w:name="_GoBack"/>
      <w:bookmarkEnd w:id="0"/>
    </w:p>
    <w:p w:rsidR="00F1381E" w:rsidRPr="00F1381E" w:rsidRDefault="00F1381E" w:rsidP="00F1381E">
      <w:pPr>
        <w:spacing w:after="0" w:line="360" w:lineRule="auto"/>
        <w:contextualSpacing/>
        <w:jc w:val="both"/>
        <w:rPr>
          <w:rFonts w:ascii="Palatino Linotype" w:hAnsi="Palatino Linotype" w:cs="Tahoma"/>
        </w:rPr>
      </w:pPr>
      <w:r w:rsidRPr="00F1381E">
        <w:rPr>
          <w:rFonts w:ascii="Palatino Linotype" w:hAnsi="Palatino Linotype" w:cs="Tahoma"/>
        </w:rPr>
        <w:t>Así, con base en los razonamientos expuestos, se emite el presente Voto Particular. --------------------------------------------------------------------------------------------------------------------------------</w:t>
      </w: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F1381E" w:rsidRPr="00F1381E" w:rsidRDefault="00F1381E" w:rsidP="00F1381E">
      <w:pPr>
        <w:spacing w:after="0" w:line="360" w:lineRule="auto"/>
        <w:contextualSpacing/>
        <w:jc w:val="both"/>
        <w:rPr>
          <w:rFonts w:ascii="Palatino Linotype" w:hAnsi="Palatino Linotype" w:cs="Tahoma"/>
        </w:rPr>
      </w:pPr>
    </w:p>
    <w:p w:rsidR="0090039D" w:rsidRDefault="0090039D" w:rsidP="00F1381E">
      <w:pPr>
        <w:spacing w:after="0" w:line="360" w:lineRule="auto"/>
        <w:contextualSpacing/>
        <w:jc w:val="both"/>
      </w:pPr>
    </w:p>
    <w:sectPr w:rsidR="0090039D">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B70" w:rsidRDefault="00B35B70">
      <w:pPr>
        <w:spacing w:after="0" w:line="240" w:lineRule="auto"/>
      </w:pPr>
      <w:r>
        <w:separator/>
      </w:r>
    </w:p>
  </w:endnote>
  <w:endnote w:type="continuationSeparator" w:id="0">
    <w:p w:rsidR="00B35B70" w:rsidRDefault="00B3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9D" w:rsidRDefault="00976AE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1381E">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1381E">
      <w:rPr>
        <w:b/>
        <w:bCs/>
        <w:noProof/>
      </w:rPr>
      <w:t>4</w:t>
    </w:r>
    <w:r>
      <w:rPr>
        <w:b/>
        <w:bCs/>
        <w:sz w:val="24"/>
        <w:szCs w:val="24"/>
      </w:rPr>
      <w:fldChar w:fldCharType="end"/>
    </w:r>
  </w:p>
  <w:p w:rsidR="0090039D" w:rsidRDefault="009003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B70" w:rsidRDefault="00B35B70">
      <w:pPr>
        <w:spacing w:after="0" w:line="240" w:lineRule="auto"/>
      </w:pPr>
      <w:r>
        <w:separator/>
      </w:r>
    </w:p>
  </w:footnote>
  <w:footnote w:type="continuationSeparator" w:id="0">
    <w:p w:rsidR="00B35B70" w:rsidRDefault="00B35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7087"/>
    </w:tblGrid>
    <w:tr w:rsidR="0090039D" w:rsidTr="0009149B">
      <w:trPr>
        <w:trHeight w:val="1782"/>
      </w:trPr>
      <w:tc>
        <w:tcPr>
          <w:tcW w:w="3544" w:type="dxa"/>
          <w:vAlign w:val="bottom"/>
        </w:tcPr>
        <w:p w:rsidR="0090039D" w:rsidRDefault="00976AE3" w:rsidP="0009149B">
          <w:pPr>
            <w:pStyle w:val="Encabezado"/>
            <w:tabs>
              <w:tab w:val="clear" w:pos="4252"/>
              <w:tab w:val="clear" w:pos="8504"/>
              <w:tab w:val="right" w:pos="3328"/>
            </w:tabs>
            <w:ind w:left="-255"/>
          </w:pPr>
          <w:r>
            <w:rPr>
              <w:noProof/>
              <w:sz w:val="10"/>
              <w:szCs w:val="10"/>
              <w:lang w:val="es-MX" w:eastAsia="es-MX"/>
            </w:rPr>
            <w:drawing>
              <wp:anchor distT="0" distB="0" distL="0" distR="0" simplePos="0" relativeHeight="2" behindDoc="0" locked="0" layoutInCell="1" allowOverlap="1">
                <wp:simplePos x="0" y="0"/>
                <wp:positionH relativeFrom="column">
                  <wp:posOffset>-243840</wp:posOffset>
                </wp:positionH>
                <wp:positionV relativeFrom="paragraph">
                  <wp:posOffset>-856614</wp:posOffset>
                </wp:positionV>
                <wp:extent cx="1873250" cy="1126490"/>
                <wp:effectExtent l="0" t="0" r="0" b="0"/>
                <wp:wrapNone/>
                <wp:docPr id="4097" name="Imagen 1187269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87269643"/>
                        <pic:cNvPicPr/>
                      </pic:nvPicPr>
                      <pic:blipFill>
                        <a:blip r:embed="rId1" cstate="print"/>
                        <a:src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90039D" w:rsidRDefault="0090039D">
          <w:pPr>
            <w:pStyle w:val="Encabezado"/>
            <w:tabs>
              <w:tab w:val="clear" w:pos="4252"/>
            </w:tabs>
            <w:ind w:left="-255"/>
          </w:pPr>
        </w:p>
      </w:tc>
      <w:tc>
        <w:tcPr>
          <w:tcW w:w="7087" w:type="dxa"/>
          <w:vAlign w:val="center"/>
        </w:tcPr>
        <w:p w:rsidR="0090039D" w:rsidRDefault="00976AE3">
          <w:pPr>
            <w:pStyle w:val="Encabezado"/>
            <w:tabs>
              <w:tab w:val="left" w:pos="4890"/>
            </w:tabs>
            <w:ind w:left="-108" w:right="-250"/>
            <w:jc w:val="both"/>
            <w:rPr>
              <w:rFonts w:ascii="Palatino Linotype" w:hAnsi="Palatino Linotype" w:cs="Tahoma"/>
              <w:b/>
            </w:rPr>
          </w:pPr>
          <w:r>
            <w:rPr>
              <w:rFonts w:ascii="Palatino Linotype" w:hAnsi="Palatino Linotype" w:cs="Tahoma"/>
              <w:b/>
            </w:rPr>
            <w:t>Voto Particular</w:t>
          </w:r>
        </w:p>
        <w:p w:rsidR="0090039D" w:rsidRDefault="00976AE3">
          <w:pPr>
            <w:pStyle w:val="Encabezado"/>
            <w:tabs>
              <w:tab w:val="left" w:pos="4890"/>
            </w:tabs>
            <w:ind w:left="-108" w:right="1313"/>
            <w:jc w:val="both"/>
            <w:rPr>
              <w:rFonts w:ascii="Palatino Linotype" w:hAnsi="Palatino Linotype"/>
              <w:lang w:val="es-MX"/>
            </w:rPr>
          </w:pPr>
          <w:r>
            <w:rPr>
              <w:rFonts w:ascii="Palatino Linotype" w:hAnsi="Palatino Linotype" w:cs="Tahoma"/>
              <w:b/>
            </w:rPr>
            <w:t xml:space="preserve">Recurso de Revisión: </w:t>
          </w:r>
          <w:r w:rsidR="006638CF" w:rsidRPr="006638CF">
            <w:rPr>
              <w:rFonts w:ascii="Palatino Linotype" w:hAnsi="Palatino Linotype"/>
              <w:lang w:val="es-MX"/>
            </w:rPr>
            <w:t>2705/INFOEM/IP/RR/2023</w:t>
          </w:r>
        </w:p>
        <w:p w:rsidR="0090039D" w:rsidRDefault="00976AE3">
          <w:pPr>
            <w:pStyle w:val="Encabezado"/>
            <w:tabs>
              <w:tab w:val="left" w:pos="4890"/>
            </w:tabs>
            <w:ind w:left="-108" w:right="1313"/>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Pr>
              <w:rFonts w:ascii="Palatino Linotype" w:hAnsi="Palatino Linotype"/>
              <w:bCs/>
            </w:rPr>
            <w:t>Ayuntamiento de Nicolás Romero</w:t>
          </w:r>
        </w:p>
        <w:p w:rsidR="0090039D" w:rsidRDefault="00976AE3">
          <w:pPr>
            <w:pStyle w:val="Encabezado"/>
            <w:tabs>
              <w:tab w:val="left" w:pos="4713"/>
            </w:tabs>
            <w:ind w:left="174" w:right="1313" w:hanging="282"/>
            <w:jc w:val="both"/>
            <w:rPr>
              <w:rFonts w:ascii="Palatino Linotype" w:hAnsi="Palatino Linotype" w:cs="Arial"/>
              <w:szCs w:val="20"/>
            </w:rPr>
          </w:pPr>
          <w:r>
            <w:rPr>
              <w:rFonts w:ascii="Palatino Linotype" w:hAnsi="Palatino Linotype" w:cs="Tahoma"/>
              <w:b/>
            </w:rPr>
            <w:t xml:space="preserve">Comisionada Ponente: </w:t>
          </w:r>
          <w:r w:rsidR="006638CF" w:rsidRPr="006638CF">
            <w:rPr>
              <w:rFonts w:ascii="Palatino Linotype" w:hAnsi="Palatino Linotype" w:cs="Arial"/>
              <w:szCs w:val="20"/>
            </w:rPr>
            <w:t>José Martínez Vilchis</w:t>
          </w:r>
        </w:p>
        <w:p w:rsidR="0090039D" w:rsidRDefault="0090039D">
          <w:pPr>
            <w:pStyle w:val="Encabezado"/>
            <w:ind w:left="-108" w:right="-250"/>
            <w:jc w:val="both"/>
            <w:rPr>
              <w:rFonts w:ascii="Palatino Linotype" w:hAnsi="Palatino Linotype"/>
              <w:bCs/>
              <w:lang w:val="es-ES_tradnl"/>
            </w:rPr>
          </w:pPr>
        </w:p>
      </w:tc>
    </w:tr>
  </w:tbl>
  <w:p w:rsidR="0090039D" w:rsidRDefault="0090039D">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AE0A8C8"/>
    <w:lvl w:ilvl="0" w:tplc="F0742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000002"/>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C0F876D0"/>
    <w:lvl w:ilvl="0" w:tplc="25103E34">
      <w:start w:val="1"/>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0000006"/>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00000007"/>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AB042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3C0261E0"/>
    <w:lvl w:ilvl="0" w:tplc="7198445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0000000B"/>
    <w:multiLevelType w:val="hybridMultilevel"/>
    <w:tmpl w:val="3482B4E2"/>
    <w:lvl w:ilvl="0" w:tplc="2D8A62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000000C"/>
    <w:multiLevelType w:val="hybridMultilevel"/>
    <w:tmpl w:val="5562F9F8"/>
    <w:lvl w:ilvl="0" w:tplc="D8864494">
      <w:start w:val="1"/>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8C0521"/>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98700E6"/>
    <w:multiLevelType w:val="hybridMultilevel"/>
    <w:tmpl w:val="70668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1"/>
  </w:num>
  <w:num w:numId="5">
    <w:abstractNumId w:val="6"/>
  </w:num>
  <w:num w:numId="6">
    <w:abstractNumId w:val="1"/>
  </w:num>
  <w:num w:numId="7">
    <w:abstractNumId w:val="7"/>
  </w:num>
  <w:num w:numId="8">
    <w:abstractNumId w:val="10"/>
  </w:num>
  <w:num w:numId="9">
    <w:abstractNumId w:val="0"/>
  </w:num>
  <w:num w:numId="10">
    <w:abstractNumId w:val="9"/>
  </w:num>
  <w:num w:numId="11">
    <w:abstractNumId w:val="12"/>
  </w:num>
  <w:num w:numId="12">
    <w:abstractNumId w:val="4"/>
  </w:num>
  <w:num w:numId="13">
    <w:abstractNumId w:val="5"/>
  </w:num>
  <w:num w:numId="14">
    <w:abstractNumId w:val="13"/>
  </w:num>
  <w:num w:numId="15">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9D"/>
    <w:rsid w:val="0009149B"/>
    <w:rsid w:val="00283B27"/>
    <w:rsid w:val="003870D4"/>
    <w:rsid w:val="0044453B"/>
    <w:rsid w:val="004E58CC"/>
    <w:rsid w:val="005129D7"/>
    <w:rsid w:val="00526744"/>
    <w:rsid w:val="006638CF"/>
    <w:rsid w:val="00726F2E"/>
    <w:rsid w:val="0088724C"/>
    <w:rsid w:val="0090039D"/>
    <w:rsid w:val="00976AE3"/>
    <w:rsid w:val="00AF2621"/>
    <w:rsid w:val="00B35B70"/>
    <w:rsid w:val="00C80348"/>
    <w:rsid w:val="00D97911"/>
    <w:rsid w:val="00DF10B8"/>
    <w:rsid w:val="00E15CBF"/>
    <w:rsid w:val="00E469E3"/>
    <w:rsid w:val="00F13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B2D588-B206-460C-9815-47507CE5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ES"/>
    </w:rPr>
  </w:style>
  <w:style w:type="table" w:styleId="Tablaconcuadrcula">
    <w:name w:val="Table Grid"/>
    <w:basedOn w:val="Tablanormal"/>
    <w:uiPriority w:val="5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Pr>
      <w:b/>
      <w:bC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rPr>
  </w:style>
  <w:style w:type="character" w:styleId="Hipervnculo">
    <w:name w:val="Hyperlink"/>
    <w:basedOn w:val="Fuentedeprrafopredeter"/>
    <w:uiPriority w:val="99"/>
    <w:rPr>
      <w:color w:val="0563C1"/>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link w:val="PrrafodelistaCar"/>
    <w:uiPriority w:val="34"/>
    <w:qFormat/>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link w:val="Prrafodelista"/>
    <w:uiPriority w:val="34"/>
    <w:qFormat/>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54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3</cp:revision>
  <cp:lastPrinted>2023-03-27T16:52:00Z</cp:lastPrinted>
  <dcterms:created xsi:type="dcterms:W3CDTF">2023-10-17T17:38:00Z</dcterms:created>
  <dcterms:modified xsi:type="dcterms:W3CDTF">2023-10-17T17:40:00Z</dcterms:modified>
</cp:coreProperties>
</file>