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57E02" w14:textId="7A322686" w:rsidR="00F06350" w:rsidRDefault="00F06350" w:rsidP="00F0635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DE4ED5" w:rsidRPr="00DE4ED5">
        <w:rPr>
          <w:rFonts w:ascii="Palatino Linotype" w:hAnsi="Palatino Linotype" w:cs="Arial"/>
          <w:b/>
          <w:lang w:val="es-MX"/>
        </w:rPr>
        <w:t>00985/INFOEM/IP/RR/2023</w:t>
      </w:r>
      <w:r w:rsidRPr="00807C88">
        <w:rPr>
          <w:rFonts w:ascii="Palatino Linotype" w:hAnsi="Palatino Linotype" w:cs="Tahoma"/>
          <w:b/>
        </w:rPr>
        <w:t>, PROMOVIDO EN CONTRA DE</w:t>
      </w:r>
      <w:r w:rsidR="00DE4ED5">
        <w:rPr>
          <w:rFonts w:ascii="Palatino Linotype" w:hAnsi="Palatino Linotype" w:cs="Tahoma"/>
          <w:b/>
        </w:rPr>
        <w:t xml:space="preserve"> </w:t>
      </w:r>
      <w:r w:rsidRPr="00807C88">
        <w:rPr>
          <w:rFonts w:ascii="Palatino Linotype" w:hAnsi="Palatino Linotype" w:cs="Tahoma"/>
          <w:b/>
        </w:rPr>
        <w:t>L</w:t>
      </w:r>
      <w:r w:rsidR="00DE4ED5">
        <w:rPr>
          <w:rFonts w:ascii="Palatino Linotype" w:hAnsi="Palatino Linotype" w:cs="Tahoma"/>
          <w:b/>
        </w:rPr>
        <w:t>A</w:t>
      </w:r>
      <w:r w:rsidRPr="00807C88">
        <w:rPr>
          <w:rFonts w:ascii="Palatino Linotype" w:hAnsi="Palatino Linotype" w:cs="Tahoma"/>
          <w:b/>
        </w:rPr>
        <w:t xml:space="preserve"> </w:t>
      </w:r>
      <w:r w:rsidR="00DE4ED5" w:rsidRPr="00DE4ED5">
        <w:rPr>
          <w:rFonts w:ascii="Palatino Linotype" w:eastAsia="Times New Roman" w:hAnsi="Palatino Linotype" w:cs="Arial"/>
          <w:b/>
          <w:color w:val="000000" w:themeColor="text1"/>
        </w:rPr>
        <w:t>SECRETARÍA DE LA CONTRALORÍA</w:t>
      </w:r>
      <w:r w:rsidR="00DE4ED5">
        <w:rPr>
          <w:rFonts w:ascii="Palatino Linotype" w:eastAsia="Times New Roman" w:hAnsi="Palatino Linotype" w:cs="Arial"/>
          <w:b/>
          <w:color w:val="000000" w:themeColor="text1"/>
        </w:rPr>
        <w:t>.</w:t>
      </w:r>
    </w:p>
    <w:p w14:paraId="6A766AC9" w14:textId="77777777" w:rsidR="00DE4ED5" w:rsidRPr="00807C88" w:rsidRDefault="00DE4ED5" w:rsidP="00F06350">
      <w:pPr>
        <w:spacing w:after="0" w:line="360" w:lineRule="auto"/>
        <w:ind w:right="49"/>
        <w:jc w:val="both"/>
        <w:rPr>
          <w:rFonts w:ascii="Palatino Linotype" w:hAnsi="Palatino Linotype" w:cs="Tahoma"/>
        </w:rPr>
      </w:pPr>
    </w:p>
    <w:p w14:paraId="625FEDB0" w14:textId="65887046" w:rsidR="00F06350" w:rsidRPr="00807C88" w:rsidRDefault="00F06350" w:rsidP="00F06350">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DE4ED5" w:rsidRPr="00DE4ED5">
        <w:rPr>
          <w:rFonts w:ascii="Palatino Linotype" w:hAnsi="Palatino Linotype" w:cs="Arial"/>
          <w:b/>
          <w:lang w:val="es-MX"/>
        </w:rPr>
        <w:t>00985/INFOEM/IP/RR/2023</w:t>
      </w:r>
      <w:r w:rsidR="00C6239F">
        <w:rPr>
          <w:rFonts w:ascii="Palatino Linotype" w:hAnsi="Palatino Linotype" w:cs="Arial"/>
          <w:b/>
          <w:lang w:val="es-MX"/>
        </w:rPr>
        <w:t>.</w:t>
      </w:r>
    </w:p>
    <w:p w14:paraId="152E6669" w14:textId="77777777" w:rsidR="00F06350" w:rsidRPr="00807C88" w:rsidRDefault="00F06350" w:rsidP="00F06350">
      <w:pPr>
        <w:spacing w:after="0" w:line="360" w:lineRule="auto"/>
        <w:ind w:right="49"/>
        <w:jc w:val="both"/>
        <w:rPr>
          <w:rFonts w:ascii="Palatino Linotype" w:hAnsi="Palatino Linotype" w:cs="Tahoma"/>
        </w:rPr>
      </w:pPr>
    </w:p>
    <w:p w14:paraId="1DE76B21" w14:textId="521D7464" w:rsidR="00B8747C" w:rsidRP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 </w:t>
      </w:r>
      <w:r w:rsidR="00B92457">
        <w:rPr>
          <w:rFonts w:ascii="Palatino Linotype" w:hAnsi="Palatino Linotype" w:cs="Tahoma"/>
        </w:rPr>
        <w:t xml:space="preserve">entre otras cosas </w:t>
      </w:r>
      <w:r w:rsidR="00DE4ED5">
        <w:rPr>
          <w:rFonts w:ascii="Palatino Linotype" w:hAnsi="Palatino Linotype" w:cs="Tahoma"/>
        </w:rPr>
        <w:t xml:space="preserve">oficios, denuncias o expedientes dirigidos a los Órgano Internos de Control de la Secretaría del Trabajo y del </w:t>
      </w:r>
      <w:r w:rsidR="00DF240A" w:rsidRPr="00DF240A">
        <w:rPr>
          <w:rFonts w:ascii="Palatino Linotype" w:hAnsi="Palatino Linotype" w:cs="Tahoma"/>
        </w:rPr>
        <w:t>Instituto de Políticas Públicas del Estado de México y sus Municipios</w:t>
      </w:r>
      <w:r w:rsidR="00B92457">
        <w:rPr>
          <w:rFonts w:ascii="Palatino Linotype" w:hAnsi="Palatino Linotype" w:cs="Tahoma"/>
        </w:rPr>
        <w:t xml:space="preserve">, </w:t>
      </w:r>
      <w:r>
        <w:rPr>
          <w:rFonts w:ascii="Palatino Linotype" w:hAnsi="Palatino Linotype" w:cs="Tahoma"/>
        </w:rPr>
        <w:t xml:space="preserve"> derivado del estudio</w:t>
      </w:r>
      <w:r w:rsidRPr="00B46E3B">
        <w:rPr>
          <w:rFonts w:ascii="Palatino Linotype" w:hAnsi="Palatino Linotype" w:cs="Tahoma"/>
        </w:rPr>
        <w:t xml:space="preserve"> la Ponencia Resolutora determinó </w:t>
      </w:r>
      <w:r>
        <w:rPr>
          <w:rFonts w:ascii="Palatino Linotype" w:hAnsi="Palatino Linotype" w:cs="Tahoma"/>
        </w:rPr>
        <w:t xml:space="preserve">que la información solicitada puede estar relacionada </w:t>
      </w:r>
      <w:r w:rsidRPr="00B8747C">
        <w:rPr>
          <w:rFonts w:ascii="Palatino Linotype" w:hAnsi="Palatino Linotype" w:cs="Tahoma"/>
        </w:rPr>
        <w:t xml:space="preserve">con los procedimientos administrativos de responsabilidades, </w:t>
      </w:r>
      <w:r w:rsidR="00B523E0" w:rsidRPr="00B523E0">
        <w:rPr>
          <w:rFonts w:ascii="Palatino Linotype" w:hAnsi="Palatino Linotype" w:cs="Tahoma"/>
        </w:rPr>
        <w:t xml:space="preserve">por lo que de ser el caso se debe emitir el acuerdo de clasificación en donde se reserve la información solicitada </w:t>
      </w:r>
      <w:r w:rsidR="00B523E0">
        <w:rPr>
          <w:rFonts w:ascii="Palatino Linotype" w:hAnsi="Palatino Linotype" w:cs="Tahoma"/>
        </w:rPr>
        <w:t xml:space="preserve">y </w:t>
      </w:r>
      <w:r w:rsidRPr="00B8747C">
        <w:rPr>
          <w:rFonts w:ascii="Palatino Linotype" w:hAnsi="Palatino Linotype" w:cs="Tahoma"/>
        </w:rPr>
        <w:t>en aquellos casos en donde se tratara de resoluciones absolutorias</w:t>
      </w:r>
      <w:r>
        <w:rPr>
          <w:rFonts w:ascii="Palatino Linotype" w:hAnsi="Palatino Linotype" w:cs="Tahoma"/>
        </w:rPr>
        <w:t>,</w:t>
      </w:r>
      <w:r w:rsidR="00B523E0" w:rsidRPr="00B523E0">
        <w:t xml:space="preserve"> </w:t>
      </w:r>
      <w:r w:rsidR="00B523E0" w:rsidRPr="00B523E0">
        <w:rPr>
          <w:rFonts w:ascii="Palatino Linotype" w:hAnsi="Palatino Linotype" w:cs="Tahoma"/>
        </w:rPr>
        <w:t>el nombre de los servid</w:t>
      </w:r>
      <w:r w:rsidR="00DF240A">
        <w:rPr>
          <w:rFonts w:ascii="Palatino Linotype" w:hAnsi="Palatino Linotype" w:cs="Tahoma"/>
        </w:rPr>
        <w:t>ores públicos será confidencial</w:t>
      </w:r>
      <w:r w:rsidR="00B523E0">
        <w:rPr>
          <w:rFonts w:ascii="Palatino Linotype" w:hAnsi="Palatino Linotype" w:cs="Tahoma"/>
        </w:rPr>
        <w:t>,</w:t>
      </w:r>
      <w:r w:rsidR="00DF240A">
        <w:rPr>
          <w:rFonts w:ascii="Palatino Linotype" w:hAnsi="Palatino Linotype" w:cs="Tahoma"/>
        </w:rPr>
        <w:t xml:space="preserve"> por lo que de ser el caso </w:t>
      </w:r>
      <w:r w:rsidR="00011E2B" w:rsidRPr="00011E2B">
        <w:rPr>
          <w:rFonts w:ascii="Palatino Linotype" w:hAnsi="Palatino Linotype" w:cs="Tahoma"/>
        </w:rPr>
        <w:t xml:space="preserve"> emitir el acuerdo de clasificación en donde </w:t>
      </w:r>
      <w:r w:rsidR="00DF240A">
        <w:rPr>
          <w:rFonts w:ascii="Palatino Linotype" w:hAnsi="Palatino Linotype" w:cs="Tahoma"/>
        </w:rPr>
        <w:t>clasifique la</w:t>
      </w:r>
      <w:r w:rsidR="00011E2B" w:rsidRPr="00011E2B">
        <w:rPr>
          <w:rFonts w:ascii="Palatino Linotype" w:hAnsi="Palatino Linotype" w:cs="Tahoma"/>
        </w:rPr>
        <w:t xml:space="preserve"> información solicitada</w:t>
      </w:r>
      <w:r>
        <w:rPr>
          <w:rFonts w:ascii="Palatino Linotype" w:hAnsi="Palatino Linotype" w:cs="Tahoma"/>
        </w:rPr>
        <w:t xml:space="preserve"> al respecto, emito el presente voto Particular por las dos siguientes consideraciones:</w:t>
      </w:r>
    </w:p>
    <w:p w14:paraId="10E44559" w14:textId="77777777" w:rsidR="00B8747C" w:rsidRDefault="00B8747C" w:rsidP="00B8747C">
      <w:pPr>
        <w:spacing w:after="0" w:line="360" w:lineRule="auto"/>
        <w:ind w:right="49"/>
        <w:jc w:val="both"/>
        <w:rPr>
          <w:rFonts w:ascii="Palatino Linotype" w:hAnsi="Palatino Linotype" w:cs="Tahoma"/>
        </w:rPr>
      </w:pPr>
    </w:p>
    <w:p w14:paraId="20453449" w14:textId="61D7461B"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 xml:space="preserve">En </w:t>
      </w:r>
      <w:r w:rsidR="00DE4ED5">
        <w:rPr>
          <w:rFonts w:ascii="Palatino Linotype" w:hAnsi="Palatino Linotype" w:cs="Tahoma"/>
        </w:rPr>
        <w:t>principio</w:t>
      </w:r>
      <w:r>
        <w:rPr>
          <w:rFonts w:ascii="Palatino Linotype" w:hAnsi="Palatino Linotype" w:cs="Tahoma"/>
        </w:rPr>
        <w:t xml:space="preserv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19F39CE7" w14:textId="77777777" w:rsidR="00B8747C" w:rsidRDefault="00B8747C" w:rsidP="00B8747C">
      <w:pPr>
        <w:spacing w:after="0" w:line="360" w:lineRule="auto"/>
        <w:ind w:right="49"/>
        <w:jc w:val="both"/>
        <w:rPr>
          <w:rFonts w:ascii="Palatino Linotype" w:hAnsi="Palatino Linotype" w:cs="Tahoma"/>
        </w:rPr>
      </w:pPr>
    </w:p>
    <w:p w14:paraId="31D70F3A"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226FFE96" w14:textId="77777777" w:rsidR="00B8747C" w:rsidRPr="008B7FC0" w:rsidRDefault="00B8747C" w:rsidP="00B8747C">
      <w:pPr>
        <w:spacing w:after="0" w:line="360" w:lineRule="auto"/>
        <w:ind w:right="49"/>
        <w:jc w:val="both"/>
        <w:rPr>
          <w:rFonts w:ascii="Palatino Linotype" w:hAnsi="Palatino Linotype" w:cs="Tahoma"/>
        </w:rPr>
      </w:pPr>
    </w:p>
    <w:p w14:paraId="3D868427" w14:textId="77777777" w:rsidR="00B8747C" w:rsidRPr="00885189" w:rsidRDefault="00B8747C" w:rsidP="00B8747C">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C88A6D4" w14:textId="77777777" w:rsidR="00B8747C" w:rsidRPr="00885189" w:rsidRDefault="00B8747C" w:rsidP="00B8747C">
      <w:pPr>
        <w:spacing w:after="0" w:line="360" w:lineRule="auto"/>
        <w:ind w:right="49"/>
        <w:jc w:val="both"/>
        <w:rPr>
          <w:rFonts w:ascii="Palatino Linotype" w:hAnsi="Palatino Linotype" w:cs="Tahoma"/>
        </w:rPr>
      </w:pPr>
    </w:p>
    <w:p w14:paraId="51750AFA" w14:textId="77777777" w:rsidR="00B8747C" w:rsidRPr="00885189"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232EB52" w14:textId="77777777" w:rsidR="00B8747C" w:rsidRPr="00885189" w:rsidRDefault="00B8747C" w:rsidP="00B8747C">
      <w:pPr>
        <w:spacing w:after="0" w:line="360" w:lineRule="auto"/>
        <w:ind w:right="49"/>
        <w:jc w:val="both"/>
        <w:rPr>
          <w:rFonts w:ascii="Palatino Linotype" w:hAnsi="Palatino Linotype" w:cs="Tahoma"/>
        </w:rPr>
      </w:pPr>
    </w:p>
    <w:p w14:paraId="467A5BBE"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5F1E4F47" w14:textId="77777777" w:rsidR="00B8747C" w:rsidRPr="00885189" w:rsidRDefault="00B8747C" w:rsidP="00B8747C">
      <w:pPr>
        <w:spacing w:after="0" w:line="360" w:lineRule="auto"/>
        <w:ind w:right="49"/>
        <w:jc w:val="both"/>
        <w:rPr>
          <w:rFonts w:ascii="Palatino Linotype" w:hAnsi="Palatino Linotype" w:cs="Tahoma"/>
        </w:rPr>
      </w:pPr>
    </w:p>
    <w:p w14:paraId="28D44D08" w14:textId="77777777" w:rsidR="00B8747C" w:rsidRDefault="00B8747C" w:rsidP="00B8747C">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739BF782" w14:textId="77777777" w:rsidR="00B8747C" w:rsidRDefault="00B8747C" w:rsidP="00B8747C">
      <w:pPr>
        <w:spacing w:after="0" w:line="360" w:lineRule="auto"/>
        <w:ind w:right="49"/>
        <w:jc w:val="both"/>
        <w:rPr>
          <w:rFonts w:ascii="Palatino Linotype" w:hAnsi="Palatino Linotype" w:cs="Tahoma"/>
        </w:rPr>
      </w:pPr>
    </w:p>
    <w:p w14:paraId="41731AA1" w14:textId="77777777" w:rsidR="00B8747C" w:rsidRDefault="00B8747C" w:rsidP="00B8747C">
      <w:pPr>
        <w:spacing w:after="0" w:line="360" w:lineRule="auto"/>
        <w:ind w:right="49"/>
        <w:jc w:val="both"/>
        <w:rPr>
          <w:rFonts w:ascii="Palatino Linotype" w:hAnsi="Palatino Linotype" w:cs="Tahoma"/>
        </w:rPr>
      </w:pPr>
      <w:r w:rsidRPr="00885189">
        <w:rPr>
          <w:rFonts w:ascii="Palatino Linotype" w:hAnsi="Palatino Linotype" w:cs="Tahoma"/>
        </w:rPr>
        <w:lastRenderedPageBreak/>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7D17B9C" w14:textId="0DA06E42" w:rsidR="00B8747C" w:rsidRDefault="00B8747C" w:rsidP="00B8747C">
      <w:pPr>
        <w:spacing w:after="0" w:line="360" w:lineRule="auto"/>
        <w:ind w:right="49"/>
        <w:jc w:val="both"/>
        <w:rPr>
          <w:rFonts w:ascii="Palatino Linotype" w:hAnsi="Palatino Linotype" w:cs="Tahoma"/>
        </w:rPr>
      </w:pPr>
    </w:p>
    <w:p w14:paraId="7C8DB7D6" w14:textId="226E6418" w:rsidR="00B527E3" w:rsidRPr="00B527E3" w:rsidRDefault="00B527E3" w:rsidP="00B527E3">
      <w:pPr>
        <w:spacing w:after="0" w:line="360" w:lineRule="auto"/>
        <w:ind w:right="49"/>
        <w:jc w:val="both"/>
        <w:rPr>
          <w:rFonts w:ascii="Palatino Linotype" w:hAnsi="Palatino Linotype" w:cs="Tahoma"/>
        </w:rPr>
      </w:pPr>
      <w:r>
        <w:rPr>
          <w:rFonts w:ascii="Palatino Linotype" w:hAnsi="Palatino Linotype" w:cs="Tahoma"/>
        </w:rPr>
        <w:t xml:space="preserve">En segundo lugar, </w:t>
      </w:r>
      <w:r w:rsidRPr="006F0B86">
        <w:rPr>
          <w:rFonts w:ascii="Palatino Linotype" w:eastAsia="Calibri" w:hAnsi="Palatino Linotype" w:cs="Tahoma"/>
        </w:rPr>
        <w:t xml:space="preserve">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63D2836D" w14:textId="77777777" w:rsidR="00B527E3" w:rsidRPr="006F0B86" w:rsidRDefault="00B527E3" w:rsidP="00B527E3">
      <w:pPr>
        <w:spacing w:after="0" w:line="360" w:lineRule="auto"/>
        <w:contextualSpacing/>
        <w:jc w:val="both"/>
        <w:rPr>
          <w:rFonts w:ascii="Palatino Linotype" w:eastAsia="Calibri" w:hAnsi="Palatino Linotype" w:cs="Tahoma"/>
        </w:rPr>
      </w:pPr>
    </w:p>
    <w:p w14:paraId="1E08E203"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55D358C4" w14:textId="77777777" w:rsidR="00B527E3" w:rsidRPr="006F0B86" w:rsidRDefault="00B527E3" w:rsidP="00B527E3">
      <w:pPr>
        <w:spacing w:after="0" w:line="360" w:lineRule="auto"/>
        <w:contextualSpacing/>
        <w:jc w:val="both"/>
        <w:rPr>
          <w:rFonts w:ascii="Palatino Linotype" w:eastAsia="Calibri" w:hAnsi="Palatino Linotype" w:cs="Tahoma"/>
        </w:rPr>
      </w:pPr>
    </w:p>
    <w:p w14:paraId="2801429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 xml:space="preserve">“LIBERTAD DE EXPRESIÓN Y DERECHO AL HONOR. EXPRESIONES QUE SE ENCUENTRAN </w:t>
      </w:r>
      <w:r w:rsidRPr="006F0B86">
        <w:rPr>
          <w:rFonts w:ascii="Palatino Linotype" w:eastAsia="Calibri" w:hAnsi="Palatino Linotype" w:cs="Tahoma"/>
          <w:b/>
          <w:i/>
        </w:rPr>
        <w:lastRenderedPageBreak/>
        <w:t>PROTEGIDAS CONSTITUCIONALMENTE”</w:t>
      </w:r>
      <w:r w:rsidRPr="006F0B86">
        <w:rPr>
          <w:rFonts w:ascii="Palatino Linotype" w:eastAsia="Calibri" w:hAnsi="Palatino Linotype" w:cs="Tahoma"/>
        </w:rPr>
        <w:t>,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5363E668" w14:textId="77777777" w:rsidR="00B527E3" w:rsidRPr="006F0B86" w:rsidRDefault="00B527E3" w:rsidP="00B527E3">
      <w:pPr>
        <w:spacing w:after="0" w:line="360" w:lineRule="auto"/>
        <w:contextualSpacing/>
        <w:jc w:val="both"/>
        <w:rPr>
          <w:rFonts w:ascii="Palatino Linotype" w:eastAsia="Calibri" w:hAnsi="Palatino Linotype" w:cs="Tahoma"/>
        </w:rPr>
      </w:pPr>
    </w:p>
    <w:p w14:paraId="3A8AF7ED"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00561844" w14:textId="77777777" w:rsidR="00B527E3" w:rsidRPr="006F0B86" w:rsidRDefault="00B527E3" w:rsidP="00B527E3">
      <w:pPr>
        <w:spacing w:after="0" w:line="360" w:lineRule="auto"/>
        <w:contextualSpacing/>
        <w:jc w:val="both"/>
        <w:rPr>
          <w:rFonts w:ascii="Palatino Linotype" w:eastAsia="Calibri" w:hAnsi="Palatino Linotype" w:cs="Tahoma"/>
        </w:rPr>
      </w:pPr>
    </w:p>
    <w:p w14:paraId="01EDA207"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w:t>
      </w:r>
      <w:r w:rsidRPr="006F0B86">
        <w:rPr>
          <w:rFonts w:ascii="Palatino Linotype" w:eastAsia="Calibri" w:hAnsi="Palatino Linotype" w:cs="Tahoma"/>
        </w:rPr>
        <w:lastRenderedPageBreak/>
        <w:t>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146D984D" w14:textId="77777777" w:rsidR="00B527E3" w:rsidRDefault="00B527E3" w:rsidP="00B527E3">
      <w:pPr>
        <w:spacing w:after="0" w:line="360" w:lineRule="auto"/>
        <w:contextualSpacing/>
        <w:jc w:val="both"/>
        <w:rPr>
          <w:rFonts w:ascii="Palatino Linotype" w:eastAsia="Calibri" w:hAnsi="Palatino Linotype" w:cs="Tahoma"/>
        </w:rPr>
      </w:pPr>
    </w:p>
    <w:p w14:paraId="4B7874D6"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67271C81" w14:textId="77777777" w:rsidR="00B527E3" w:rsidRPr="006F0B86" w:rsidRDefault="00B527E3" w:rsidP="00B527E3">
      <w:pPr>
        <w:spacing w:after="0" w:line="360" w:lineRule="auto"/>
        <w:contextualSpacing/>
        <w:jc w:val="both"/>
        <w:rPr>
          <w:rFonts w:ascii="Palatino Linotype" w:eastAsia="Calibri" w:hAnsi="Palatino Linotype" w:cs="Tahoma"/>
        </w:rPr>
      </w:pPr>
    </w:p>
    <w:p w14:paraId="627D7274" w14:textId="77777777" w:rsidR="00B527E3" w:rsidRPr="006F0B86" w:rsidRDefault="00B527E3" w:rsidP="00B527E3">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019CB412" w14:textId="77777777" w:rsidR="00B527E3" w:rsidRPr="006F0B86" w:rsidRDefault="00B527E3" w:rsidP="00B527E3">
      <w:pPr>
        <w:spacing w:after="0" w:line="360" w:lineRule="auto"/>
        <w:contextualSpacing/>
        <w:jc w:val="both"/>
        <w:rPr>
          <w:rFonts w:ascii="Palatino Linotype" w:eastAsia="Calibri" w:hAnsi="Palatino Linotype" w:cs="Tahoma"/>
        </w:rPr>
      </w:pPr>
    </w:p>
    <w:p w14:paraId="73B4C78A" w14:textId="77777777" w:rsidR="00B527E3" w:rsidRPr="006F0B86" w:rsidRDefault="00B527E3" w:rsidP="00B527E3">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w:t>
      </w:r>
      <w:r w:rsidRPr="006F0B86">
        <w:rPr>
          <w:rFonts w:ascii="Palatino Linotype" w:eastAsia="Calibri" w:hAnsi="Palatino Linotype" w:cs="Tahoma"/>
          <w:b/>
          <w:bCs/>
        </w:rPr>
        <w:lastRenderedPageBreak/>
        <w:t xml:space="preserve">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DD4833D" w14:textId="77777777" w:rsidR="00B527E3" w:rsidRPr="006F0B86" w:rsidRDefault="00B527E3" w:rsidP="00B527E3">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resolver el recurso de revisión, se debe aplicar una prueba de interés público con base en elementos de idoneidad, necesidad y proporcionalidad. Para estos efectos, se entenderá por: </w:t>
      </w:r>
    </w:p>
    <w:p w14:paraId="1CBB8305" w14:textId="77777777" w:rsidR="00B527E3" w:rsidRPr="006F0B86" w:rsidRDefault="00B527E3" w:rsidP="00B527E3">
      <w:pPr>
        <w:spacing w:line="360" w:lineRule="auto"/>
        <w:ind w:right="49"/>
        <w:contextualSpacing/>
        <w:jc w:val="both"/>
        <w:rPr>
          <w:rFonts w:ascii="Palatino Linotype" w:eastAsia="Calibri" w:hAnsi="Palatino Linotype" w:cs="Tahoma"/>
          <w:bCs/>
          <w:iCs/>
        </w:rPr>
      </w:pPr>
    </w:p>
    <w:p w14:paraId="609E11B5" w14:textId="77777777" w:rsidR="00B527E3"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1150B446" w14:textId="77777777" w:rsidR="00DF240A" w:rsidRPr="006F0B86" w:rsidRDefault="00DF240A" w:rsidP="00DF240A">
      <w:pPr>
        <w:spacing w:after="0" w:line="360" w:lineRule="auto"/>
        <w:ind w:left="426" w:right="49"/>
        <w:contextualSpacing/>
        <w:jc w:val="both"/>
        <w:rPr>
          <w:rFonts w:ascii="Palatino Linotype" w:eastAsia="Calibri" w:hAnsi="Palatino Linotype" w:cs="Tahoma"/>
          <w:bCs/>
          <w:iCs/>
        </w:rPr>
      </w:pPr>
    </w:p>
    <w:p w14:paraId="2B1A441E" w14:textId="77777777" w:rsidR="00B527E3"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5B738BAB" w14:textId="77777777" w:rsidR="00DF240A" w:rsidRDefault="00DF240A" w:rsidP="00DF240A">
      <w:pPr>
        <w:pStyle w:val="Prrafodelista"/>
        <w:rPr>
          <w:rFonts w:ascii="Palatino Linotype" w:eastAsia="Calibri" w:hAnsi="Palatino Linotype" w:cs="Tahoma"/>
          <w:bCs/>
          <w:iCs/>
        </w:rPr>
      </w:pPr>
    </w:p>
    <w:p w14:paraId="29B3F3F0" w14:textId="77777777" w:rsidR="00B527E3" w:rsidRPr="006F0B86" w:rsidRDefault="00B527E3" w:rsidP="00B527E3">
      <w:pPr>
        <w:numPr>
          <w:ilvl w:val="0"/>
          <w:numId w:val="2"/>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77A20B23" w14:textId="77777777" w:rsidR="00B527E3" w:rsidRPr="006F0B86" w:rsidRDefault="00B527E3" w:rsidP="00B527E3">
      <w:pPr>
        <w:spacing w:line="360" w:lineRule="auto"/>
        <w:ind w:right="-93"/>
        <w:contextualSpacing/>
        <w:jc w:val="both"/>
        <w:rPr>
          <w:rFonts w:ascii="Palatino Linotype" w:eastAsia="Calibri" w:hAnsi="Palatino Linotype" w:cs="Tahoma"/>
          <w:bCs/>
        </w:rPr>
      </w:pPr>
    </w:p>
    <w:p w14:paraId="1E922C76" w14:textId="77777777" w:rsidR="00B527E3" w:rsidRPr="006F0B86" w:rsidRDefault="00B527E3" w:rsidP="00B527E3">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68C07053" w14:textId="77777777" w:rsidR="00B527E3" w:rsidRPr="006F0B86" w:rsidRDefault="00B527E3" w:rsidP="00B527E3">
      <w:pPr>
        <w:spacing w:line="360" w:lineRule="auto"/>
        <w:ind w:right="-1"/>
        <w:contextualSpacing/>
        <w:jc w:val="both"/>
        <w:rPr>
          <w:rFonts w:ascii="Palatino Linotype" w:eastAsia="Calibri" w:hAnsi="Palatino Linotype" w:cs="Tahoma"/>
        </w:rPr>
      </w:pPr>
    </w:p>
    <w:p w14:paraId="39A2089A"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830DDB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25B703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7920A519"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46AA604"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3A6FE40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18CEFFC"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Ahora bien, respecto al derecho al honor y a la privacidad, es establecido que cuando se hace referencia a servidores públicos, el umbral de protección del derecho a su honor debe permitir el más amplio control ciudadano sobre el ejercicio de sus funciones, porque el </w:t>
      </w:r>
      <w:r w:rsidRPr="006F0B86">
        <w:rPr>
          <w:rFonts w:ascii="Palatino Linotype" w:eastAsia="Calibri" w:hAnsi="Palatino Linotype" w:cs="Tahoma"/>
          <w:iCs/>
          <w:lang w:eastAsia="es-ES_tradnl"/>
        </w:rPr>
        <w:lastRenderedPageBreak/>
        <w:t>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46DF7CE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6C7623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A0EB517"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145EB2E"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425C03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5F0108C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xml:space="preserve">, a fin de que los ciudadanos identifiquen el tipo de desempeño efectuado por el trabajador, en el ejercicio de sus atribuciones, con la finalidad de calificar su actuar, ello con independencia de que el funcionario también revista </w:t>
      </w:r>
      <w:r w:rsidRPr="006F0B86">
        <w:rPr>
          <w:rFonts w:ascii="Palatino Linotype" w:eastAsia="Calibri" w:hAnsi="Palatino Linotype" w:cs="Tahoma"/>
          <w:iCs/>
          <w:lang w:eastAsia="es-ES_tradnl"/>
        </w:rPr>
        <w:lastRenderedPageBreak/>
        <w:t>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45BA5185"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17D640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11883CC6"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32902C02"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5FF5056B" w14:textId="77777777" w:rsidR="00B527E3" w:rsidRPr="006F0B86" w:rsidRDefault="00B527E3" w:rsidP="00B527E3">
      <w:pPr>
        <w:spacing w:line="360" w:lineRule="auto"/>
        <w:contextualSpacing/>
        <w:jc w:val="both"/>
        <w:rPr>
          <w:rFonts w:ascii="Palatino Linotype" w:eastAsia="Calibri" w:hAnsi="Palatino Linotype" w:cs="Tahoma"/>
          <w:b/>
          <w:iCs/>
          <w:lang w:eastAsia="es-ES_tradnl"/>
        </w:rPr>
      </w:pPr>
    </w:p>
    <w:p w14:paraId="55DDB8A8"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3601D64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F85518D"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De esta manera, se logra un mayor beneficio en proporción del otro derecho que se verá restringido, logrando publicitar información que es de interés público, por lo que, se </w:t>
      </w:r>
      <w:r w:rsidRPr="006F0B86">
        <w:rPr>
          <w:rFonts w:ascii="Palatino Linotype" w:eastAsia="Calibri" w:hAnsi="Palatino Linotype" w:cs="Tahoma"/>
          <w:iCs/>
          <w:lang w:eastAsia="es-ES_tradnl"/>
        </w:rPr>
        <w:lastRenderedPageBreak/>
        <w:t>advierte que el daño que se causaría con su difusión es menor a aquél que se causaría con su resguardo.</w:t>
      </w:r>
    </w:p>
    <w:p w14:paraId="38969B8A"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04D9C6CB" w14:textId="77777777" w:rsidR="00B527E3" w:rsidRPr="006F0B86" w:rsidRDefault="00B527E3" w:rsidP="00B527E3">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1ABFC11"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2DF1D2FF"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31384AAB" w14:textId="77777777" w:rsidR="00B527E3" w:rsidRPr="006F0B86" w:rsidRDefault="00B527E3" w:rsidP="00B527E3">
      <w:pPr>
        <w:spacing w:line="360" w:lineRule="auto"/>
        <w:contextualSpacing/>
        <w:jc w:val="both"/>
        <w:rPr>
          <w:rFonts w:ascii="Palatino Linotype" w:eastAsia="Calibri" w:hAnsi="Palatino Linotype" w:cs="Tahoma"/>
          <w:iCs/>
          <w:lang w:eastAsia="es-ES_tradnl"/>
        </w:rPr>
      </w:pPr>
    </w:p>
    <w:p w14:paraId="7335D1F4" w14:textId="09A4754F" w:rsidR="00DF240A" w:rsidRDefault="00B527E3" w:rsidP="00DF240A">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r w:rsidR="00DF240A">
        <w:rPr>
          <w:rFonts w:ascii="Palatino Linotype" w:eastAsia="Calibri" w:hAnsi="Palatino Linotype" w:cs="Tahoma"/>
          <w:b/>
          <w:iCs/>
          <w:lang w:eastAsia="es-ES_tradnl"/>
        </w:rPr>
        <w:t xml:space="preserve"> </w:t>
      </w:r>
      <w:r w:rsidRPr="006F0B86">
        <w:rPr>
          <w:rFonts w:ascii="Palatino Linotype" w:eastAsia="Calibri" w:hAnsi="Palatino Linotype" w:cs="Tahoma"/>
          <w:iCs/>
          <w:lang w:eastAsia="es-ES_tradnl"/>
        </w:rPr>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w:t>
      </w:r>
      <w:r w:rsidR="00DF240A">
        <w:rPr>
          <w:rFonts w:ascii="Palatino Linotype" w:eastAsia="Calibri" w:hAnsi="Palatino Linotype" w:cs="Tahoma"/>
          <w:iCs/>
          <w:lang w:val="es-ES_tradnl" w:eastAsia="es-ES_tradnl"/>
        </w:rPr>
        <w:t>,</w:t>
      </w:r>
      <w:r w:rsidRPr="006F0B86">
        <w:rPr>
          <w:rFonts w:ascii="Palatino Linotype" w:eastAsia="Calibri" w:hAnsi="Palatino Linotype" w:cs="Tahoma"/>
          <w:iCs/>
          <w:lang w:val="es-ES_tradnl" w:eastAsia="es-ES_tradnl"/>
        </w:rPr>
        <w:t xml:space="preserve"> de la Ley de la materia.</w:t>
      </w:r>
      <w:r w:rsidR="00DF240A">
        <w:rPr>
          <w:rFonts w:ascii="Palatino Linotype" w:eastAsia="Calibri" w:hAnsi="Palatino Linotype" w:cs="Tahoma"/>
          <w:iCs/>
          <w:lang w:val="es-ES_tradnl" w:eastAsia="es-ES_tradnl"/>
        </w:rPr>
        <w:t xml:space="preserve"> </w:t>
      </w:r>
    </w:p>
    <w:p w14:paraId="76508252" w14:textId="77777777" w:rsidR="00DF240A" w:rsidRDefault="00DF240A" w:rsidP="00DF240A">
      <w:pPr>
        <w:spacing w:line="360" w:lineRule="auto"/>
        <w:contextualSpacing/>
        <w:jc w:val="both"/>
        <w:rPr>
          <w:rFonts w:ascii="Palatino Linotype" w:eastAsia="Calibri" w:hAnsi="Palatino Linotype" w:cs="Tahoma"/>
          <w:iCs/>
          <w:lang w:val="es-ES_tradnl" w:eastAsia="es-ES_tradnl"/>
        </w:rPr>
      </w:pPr>
    </w:p>
    <w:p w14:paraId="1D9C2AB2" w14:textId="0535125F" w:rsidR="00B527E3" w:rsidRDefault="00B527E3" w:rsidP="00DF240A">
      <w:pPr>
        <w:spacing w:line="360" w:lineRule="auto"/>
        <w:contextualSpacing/>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xml:space="preserve">. </w:t>
      </w:r>
      <w:r>
        <w:rPr>
          <w:rFonts w:ascii="Palatino Linotype" w:eastAsia="Calibri" w:hAnsi="Palatino Linotype" w:cs="Tahoma"/>
        </w:rPr>
        <w:t>------------------------------------</w:t>
      </w:r>
      <w:r w:rsidR="00DF240A">
        <w:rPr>
          <w:rFonts w:ascii="Palatino Linotype" w:eastAsia="Calibri" w:hAnsi="Palatino Linotype" w:cs="Tahoma"/>
        </w:rPr>
        <w:t>----------------------------------------------------------------------------------------------</w:t>
      </w:r>
    </w:p>
    <w:p w14:paraId="6E1BFE54" w14:textId="77777777" w:rsidR="00B8747C" w:rsidRDefault="00B8747C" w:rsidP="00B8747C">
      <w:pPr>
        <w:spacing w:after="0" w:line="360" w:lineRule="auto"/>
        <w:ind w:right="49"/>
        <w:jc w:val="both"/>
        <w:rPr>
          <w:rFonts w:ascii="Palatino Linotype" w:hAnsi="Palatino Linotype" w:cs="Tahoma"/>
        </w:rPr>
      </w:pP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57B3DD2A" w14:textId="77777777" w:rsidR="00B8747C" w:rsidRDefault="00B8747C" w:rsidP="00B8747C">
      <w:pPr>
        <w:spacing w:after="0" w:line="360" w:lineRule="auto"/>
        <w:ind w:right="49"/>
        <w:jc w:val="both"/>
        <w:rPr>
          <w:rFonts w:ascii="Palatino Linotype" w:hAnsi="Palatino Linotype" w:cs="Tahoma"/>
        </w:rPr>
      </w:pPr>
    </w:p>
    <w:p w14:paraId="725EA2F7" w14:textId="6FA6AEF1" w:rsidR="000973BC" w:rsidRPr="00F06350" w:rsidRDefault="000973BC">
      <w:pPr>
        <w:rPr>
          <w:lang w:val="es-MX"/>
        </w:rPr>
      </w:pPr>
      <w:bookmarkStart w:id="0" w:name="_GoBack"/>
      <w:bookmarkEnd w:id="0"/>
    </w:p>
    <w:sectPr w:rsidR="000973BC" w:rsidRPr="00F06350" w:rsidSect="00DF240A">
      <w:headerReference w:type="default" r:id="rId7"/>
      <w:footerReference w:type="default" r:id="rId8"/>
      <w:pgSz w:w="12240" w:h="15840" w:code="1"/>
      <w:pgMar w:top="545" w:right="1701" w:bottom="2127" w:left="1701" w:header="0"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87F46" w14:textId="77777777" w:rsidR="009B1263" w:rsidRDefault="009B1263" w:rsidP="00F06350">
      <w:pPr>
        <w:spacing w:after="0" w:line="240" w:lineRule="auto"/>
      </w:pPr>
      <w:r>
        <w:separator/>
      </w:r>
    </w:p>
  </w:endnote>
  <w:endnote w:type="continuationSeparator" w:id="0">
    <w:p w14:paraId="54846E87" w14:textId="77777777" w:rsidR="009B1263" w:rsidRDefault="009B1263"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F240A">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F240A">
              <w:rPr>
                <w:b/>
                <w:bCs/>
                <w:noProof/>
              </w:rPr>
              <w:t>12</w:t>
            </w:r>
            <w:r>
              <w:rPr>
                <w:b/>
                <w:bCs/>
                <w:sz w:val="24"/>
                <w:szCs w:val="24"/>
              </w:rPr>
              <w:fldChar w:fldCharType="end"/>
            </w:r>
          </w:p>
        </w:sdtContent>
      </w:sdt>
    </w:sdtContent>
  </w:sdt>
  <w:p w14:paraId="1E19CBAA" w14:textId="77777777" w:rsidR="003212EB" w:rsidRDefault="009B12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03ADE" w14:textId="77777777" w:rsidR="009B1263" w:rsidRDefault="009B1263" w:rsidP="00F06350">
      <w:pPr>
        <w:spacing w:after="0" w:line="240" w:lineRule="auto"/>
      </w:pPr>
      <w:r>
        <w:separator/>
      </w:r>
    </w:p>
  </w:footnote>
  <w:footnote w:type="continuationSeparator" w:id="0">
    <w:p w14:paraId="1DC8CA38" w14:textId="77777777" w:rsidR="009B1263" w:rsidRDefault="009B1263" w:rsidP="00F0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962"/>
    </w:tblGrid>
    <w:tr w:rsidR="003212EB" w:rsidRPr="001106EA" w14:paraId="5F6EB822" w14:textId="77777777" w:rsidTr="00DE4ED5">
      <w:trPr>
        <w:trHeight w:val="1782"/>
      </w:trPr>
      <w:tc>
        <w:tcPr>
          <w:tcW w:w="3828"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3F82F34C">
                <wp:simplePos x="0" y="0"/>
                <wp:positionH relativeFrom="column">
                  <wp:posOffset>-320040</wp:posOffset>
                </wp:positionH>
                <wp:positionV relativeFrom="paragraph">
                  <wp:posOffset>-969645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9B1263" w:rsidP="00285C7B">
          <w:pPr>
            <w:pStyle w:val="Encabezado"/>
            <w:tabs>
              <w:tab w:val="clear" w:pos="4252"/>
              <w:tab w:val="center" w:pos="2614"/>
            </w:tabs>
            <w:ind w:left="-255"/>
          </w:pPr>
        </w:p>
      </w:tc>
      <w:tc>
        <w:tcPr>
          <w:tcW w:w="4962" w:type="dxa"/>
          <w:vAlign w:val="center"/>
        </w:tcPr>
        <w:p w14:paraId="614B6CEA" w14:textId="77777777" w:rsidR="00C608FE" w:rsidRDefault="009B1263" w:rsidP="00C608FE">
          <w:pPr>
            <w:pStyle w:val="Encabezado"/>
            <w:spacing w:line="360" w:lineRule="auto"/>
            <w:ind w:left="-108" w:right="-250"/>
            <w:jc w:val="both"/>
            <w:rPr>
              <w:rFonts w:ascii="Palatino Linotype" w:hAnsi="Palatino Linotype" w:cs="Tahoma"/>
              <w:b/>
            </w:rPr>
          </w:pPr>
        </w:p>
        <w:p w14:paraId="259E30E4" w14:textId="77777777" w:rsidR="00C608FE" w:rsidRDefault="009B1263"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2C48E140"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DE4ED5" w:rsidRPr="00DE4ED5">
            <w:rPr>
              <w:rFonts w:ascii="Palatino Linotype" w:hAnsi="Palatino Linotype"/>
            </w:rPr>
            <w:t>00985/INFOEM/IP/RR/2023</w:t>
          </w:r>
        </w:p>
        <w:p w14:paraId="0B6A8103" w14:textId="318A0B56" w:rsidR="00CE6B9C" w:rsidRDefault="00F06350" w:rsidP="00F06350">
          <w:pPr>
            <w:pStyle w:val="Encabezado"/>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DE4ED5" w:rsidRPr="00DE4ED5">
            <w:rPr>
              <w:rFonts w:ascii="Palatino Linotype" w:hAnsi="Palatino Linotype"/>
              <w:lang w:val="es-ES_tradnl"/>
            </w:rPr>
            <w:t>Secretaría de la Contraloría</w:t>
          </w:r>
        </w:p>
        <w:p w14:paraId="0FE4104F" w14:textId="15E34586" w:rsidR="00AE2EE7" w:rsidRDefault="00F06350" w:rsidP="00B8747C">
          <w:pPr>
            <w:pStyle w:val="Encabezado"/>
            <w:tabs>
              <w:tab w:val="left" w:pos="75"/>
              <w:tab w:val="left" w:pos="4709"/>
            </w:tabs>
            <w:ind w:left="-108" w:right="316"/>
            <w:jc w:val="both"/>
            <w:rPr>
              <w:rFonts w:ascii="Palatino Linotype" w:hAnsi="Palatino Linotype" w:cs="Arial"/>
              <w:bCs/>
              <w:szCs w:val="20"/>
              <w:lang w:val="es-ES_tradnl"/>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B8747C" w:rsidRPr="00B8747C">
            <w:rPr>
              <w:rFonts w:ascii="Palatino Linotype" w:hAnsi="Palatino Linotype" w:cs="Arial"/>
              <w:bCs/>
              <w:szCs w:val="20"/>
              <w:lang w:val="es-ES_tradnl"/>
            </w:rPr>
            <w:t>José Martínez Vilchis</w:t>
          </w:r>
        </w:p>
        <w:p w14:paraId="1E2E1B15" w14:textId="77777777" w:rsidR="00DF240A" w:rsidRDefault="00DF240A" w:rsidP="00B8747C">
          <w:pPr>
            <w:pStyle w:val="Encabezado"/>
            <w:tabs>
              <w:tab w:val="left" w:pos="75"/>
              <w:tab w:val="left" w:pos="4709"/>
            </w:tabs>
            <w:ind w:left="-108" w:right="316"/>
            <w:jc w:val="both"/>
            <w:rPr>
              <w:rFonts w:ascii="Palatino Linotype" w:hAnsi="Palatino Linotype" w:cs="Arial"/>
              <w:szCs w:val="20"/>
            </w:rPr>
          </w:pPr>
        </w:p>
        <w:p w14:paraId="3B524D5D" w14:textId="77777777" w:rsidR="009A041C" w:rsidRPr="009A041C" w:rsidRDefault="009B1263" w:rsidP="009A041C">
          <w:pPr>
            <w:pStyle w:val="Encabezado"/>
            <w:ind w:left="-108"/>
            <w:jc w:val="both"/>
            <w:rPr>
              <w:rFonts w:ascii="Palatino Linotype" w:hAnsi="Palatino Linotype" w:cs="Arial"/>
              <w:szCs w:val="20"/>
            </w:rPr>
          </w:pPr>
        </w:p>
      </w:tc>
    </w:tr>
  </w:tbl>
  <w:p w14:paraId="359AD7E7" w14:textId="77777777" w:rsidR="003212EB" w:rsidRPr="001106EA" w:rsidRDefault="009B1263">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0"/>
    <w:rsid w:val="00011E2B"/>
    <w:rsid w:val="000973BC"/>
    <w:rsid w:val="000A4595"/>
    <w:rsid w:val="000A7B05"/>
    <w:rsid w:val="0022549E"/>
    <w:rsid w:val="003626C6"/>
    <w:rsid w:val="00702CF2"/>
    <w:rsid w:val="009B1263"/>
    <w:rsid w:val="00B523E0"/>
    <w:rsid w:val="00B527E3"/>
    <w:rsid w:val="00B8747C"/>
    <w:rsid w:val="00B92457"/>
    <w:rsid w:val="00C6239F"/>
    <w:rsid w:val="00DE4ED5"/>
    <w:rsid w:val="00DF240A"/>
    <w:rsid w:val="00E36F53"/>
    <w:rsid w:val="00F06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3041</Words>
  <Characters>16731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USUARIO</cp:lastModifiedBy>
  <cp:revision>3</cp:revision>
  <dcterms:created xsi:type="dcterms:W3CDTF">2023-06-30T22:44:00Z</dcterms:created>
  <dcterms:modified xsi:type="dcterms:W3CDTF">2023-07-03T22:35:00Z</dcterms:modified>
</cp:coreProperties>
</file>