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6A9" w14:textId="18666A98" w:rsidR="00E97758" w:rsidRDefault="00E97758" w:rsidP="00E97758">
      <w:pPr>
        <w:spacing w:after="0" w:line="360" w:lineRule="auto"/>
        <w:jc w:val="both"/>
        <w:rPr>
          <w:rFonts w:ascii="Palatino Linotype" w:hAnsi="Palatino Linotype" w:cs="Arial"/>
          <w:b/>
          <w:sz w:val="24"/>
          <w:szCs w:val="24"/>
        </w:rPr>
      </w:pPr>
      <w:r w:rsidRPr="00FB6D9A">
        <w:rPr>
          <w:rFonts w:ascii="Palatino Linotype" w:hAnsi="Palatino Linotype" w:cs="Arial"/>
          <w:b/>
          <w:sz w:val="24"/>
          <w:szCs w:val="24"/>
        </w:rPr>
        <w:t xml:space="preserve">VOTO </w:t>
      </w:r>
      <w:r w:rsidR="00367EB2">
        <w:rPr>
          <w:rFonts w:ascii="Palatino Linotype" w:hAnsi="Palatino Linotype" w:cs="Arial"/>
          <w:b/>
          <w:sz w:val="24"/>
          <w:szCs w:val="24"/>
        </w:rPr>
        <w:t>PARTICULAR</w:t>
      </w:r>
      <w:r w:rsidR="001A1ECB">
        <w:rPr>
          <w:rFonts w:ascii="Palatino Linotype" w:hAnsi="Palatino Linotype" w:cs="Arial"/>
          <w:b/>
          <w:sz w:val="24"/>
          <w:szCs w:val="24"/>
        </w:rPr>
        <w:t xml:space="preserve"> DE LA COMISIONADA</w:t>
      </w:r>
      <w:r w:rsidRPr="00FB6D9A">
        <w:rPr>
          <w:rFonts w:ascii="Palatino Linotype" w:hAnsi="Palatino Linotype" w:cs="Arial"/>
          <w:b/>
          <w:sz w:val="24"/>
          <w:szCs w:val="24"/>
        </w:rPr>
        <w:t xml:space="preserve"> </w:t>
      </w:r>
      <w:r w:rsidR="001A1ECB">
        <w:rPr>
          <w:rFonts w:ascii="Palatino Linotype" w:hAnsi="Palatino Linotype" w:cs="Arial"/>
          <w:b/>
          <w:sz w:val="24"/>
          <w:szCs w:val="24"/>
        </w:rPr>
        <w:t>MARÍA DEL ROSARIO MEJIA AYALA</w:t>
      </w:r>
      <w:r w:rsidR="00627742">
        <w:rPr>
          <w:rFonts w:ascii="Palatino Linotype" w:hAnsi="Palatino Linotype" w:cs="Arial"/>
          <w:b/>
          <w:sz w:val="24"/>
          <w:szCs w:val="24"/>
        </w:rPr>
        <w:t xml:space="preserve"> EN EL RECURSO DE REVISIÓN </w:t>
      </w:r>
      <w:r w:rsidR="00A142B0">
        <w:rPr>
          <w:rFonts w:ascii="Palatino Linotype" w:hAnsi="Palatino Linotype" w:cs="Arial"/>
          <w:b/>
          <w:sz w:val="24"/>
          <w:szCs w:val="24"/>
        </w:rPr>
        <w:t>14349</w:t>
      </w:r>
      <w:r w:rsidRPr="00020546">
        <w:rPr>
          <w:rFonts w:ascii="Palatino Linotype" w:hAnsi="Palatino Linotype" w:cs="Arial"/>
          <w:b/>
          <w:sz w:val="24"/>
          <w:szCs w:val="24"/>
        </w:rPr>
        <w:t>/INFOEM/</w:t>
      </w:r>
      <w:r w:rsidR="0032435A" w:rsidRPr="00020546">
        <w:rPr>
          <w:rFonts w:ascii="Palatino Linotype" w:hAnsi="Palatino Linotype" w:cs="Arial"/>
          <w:b/>
          <w:sz w:val="24"/>
          <w:szCs w:val="24"/>
        </w:rPr>
        <w:t>IP</w:t>
      </w:r>
      <w:r w:rsidRPr="00020546">
        <w:rPr>
          <w:rFonts w:ascii="Palatino Linotype" w:hAnsi="Palatino Linotype" w:cs="Arial"/>
          <w:b/>
          <w:sz w:val="24"/>
          <w:szCs w:val="24"/>
        </w:rPr>
        <w:t>/RR/20</w:t>
      </w:r>
      <w:r w:rsidR="00627742" w:rsidRPr="00020546">
        <w:rPr>
          <w:rFonts w:ascii="Palatino Linotype" w:hAnsi="Palatino Linotype" w:cs="Arial"/>
          <w:b/>
          <w:sz w:val="24"/>
          <w:szCs w:val="24"/>
        </w:rPr>
        <w:t>22</w:t>
      </w:r>
      <w:r w:rsidR="00A142B0">
        <w:rPr>
          <w:rFonts w:ascii="Palatino Linotype" w:hAnsi="Palatino Linotype" w:cs="Arial"/>
          <w:b/>
          <w:sz w:val="24"/>
          <w:szCs w:val="24"/>
        </w:rPr>
        <w:t>.</w:t>
      </w:r>
    </w:p>
    <w:p w14:paraId="691C36E9" w14:textId="77777777" w:rsidR="00026588" w:rsidRDefault="00026588" w:rsidP="00E97758">
      <w:pPr>
        <w:spacing w:after="0" w:line="360" w:lineRule="auto"/>
        <w:jc w:val="both"/>
        <w:rPr>
          <w:rFonts w:ascii="Palatino Linotype" w:hAnsi="Palatino Linotype" w:cs="Arial"/>
          <w:b/>
          <w:sz w:val="24"/>
          <w:szCs w:val="24"/>
        </w:rPr>
      </w:pPr>
    </w:p>
    <w:p w14:paraId="030020FA" w14:textId="0668ECA5" w:rsidR="00E97758" w:rsidRPr="002A43BC" w:rsidRDefault="00367EB2" w:rsidP="00367EB2">
      <w:pPr>
        <w:keepNext/>
        <w:keepLines/>
        <w:pBdr>
          <w:top w:val="nil"/>
          <w:left w:val="nil"/>
          <w:bottom w:val="nil"/>
          <w:right w:val="nil"/>
          <w:between w:val="nil"/>
          <w:bar w:val="nil"/>
        </w:pBdr>
        <w:tabs>
          <w:tab w:val="center" w:pos="4419"/>
          <w:tab w:val="left" w:pos="7237"/>
        </w:tabs>
        <w:spacing w:after="0" w:line="360" w:lineRule="auto"/>
        <w:outlineLvl w:val="0"/>
        <w:rPr>
          <w:rFonts w:ascii="Palatino Linotype" w:eastAsiaTheme="majorEastAsia" w:hAnsi="Palatino Linotype" w:cstheme="majorBidi"/>
          <w:b/>
          <w:sz w:val="24"/>
          <w:szCs w:val="24"/>
          <w:bdr w:val="nil"/>
        </w:rPr>
      </w:pPr>
      <w:bookmarkStart w:id="0" w:name="_Toc9873529"/>
      <w:bookmarkStart w:id="1" w:name="_Toc21366012"/>
      <w:r>
        <w:rPr>
          <w:rFonts w:ascii="Palatino Linotype" w:eastAsiaTheme="majorEastAsia" w:hAnsi="Palatino Linotype" w:cstheme="majorBidi"/>
          <w:b/>
          <w:sz w:val="24"/>
          <w:szCs w:val="24"/>
          <w:bdr w:val="nil"/>
        </w:rPr>
        <w:tab/>
      </w:r>
      <w:r w:rsidR="00E97758" w:rsidRPr="002A43BC">
        <w:rPr>
          <w:rFonts w:ascii="Palatino Linotype" w:eastAsiaTheme="majorEastAsia" w:hAnsi="Palatino Linotype" w:cstheme="majorBidi"/>
          <w:b/>
          <w:sz w:val="24"/>
          <w:szCs w:val="24"/>
          <w:bdr w:val="nil"/>
        </w:rPr>
        <w:t>Consideraciones Generales.</w:t>
      </w:r>
      <w:bookmarkEnd w:id="0"/>
      <w:bookmarkEnd w:id="1"/>
      <w:r>
        <w:rPr>
          <w:rFonts w:ascii="Palatino Linotype" w:eastAsiaTheme="majorEastAsia" w:hAnsi="Palatino Linotype" w:cstheme="majorBidi"/>
          <w:b/>
          <w:sz w:val="24"/>
          <w:szCs w:val="24"/>
          <w:bdr w:val="nil"/>
        </w:rPr>
        <w:tab/>
      </w:r>
    </w:p>
    <w:p w14:paraId="36FDBD56" w14:textId="3085FCB3" w:rsidR="00E97758" w:rsidRPr="00DF6B35" w:rsidRDefault="00196054" w:rsidP="00E97758">
      <w:pPr>
        <w:spacing w:after="0" w:line="360" w:lineRule="auto"/>
        <w:rPr>
          <w:b/>
          <w:bCs/>
        </w:rPr>
      </w:pPr>
      <w:r>
        <w:rPr>
          <w:b/>
          <w:bCs/>
        </w:rPr>
        <w:t xml:space="preserve"> </w:t>
      </w:r>
    </w:p>
    <w:p w14:paraId="6FCFE9F9" w14:textId="0AF49C58" w:rsidR="00213603" w:rsidRPr="00A142B0" w:rsidRDefault="001A1ECB" w:rsidP="00DF03C8">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sidRPr="00A142B0">
        <w:rPr>
          <w:rFonts w:ascii="Palatino Linotype" w:eastAsia="Times New Roman" w:hAnsi="Palatino Linotype" w:cs="Arial"/>
          <w:color w:val="000000" w:themeColor="text1"/>
          <w:sz w:val="24"/>
          <w:szCs w:val="24"/>
          <w:bdr w:val="nil"/>
          <w:lang w:val="es-ES_tradnl"/>
        </w:rPr>
        <w:t>S</w:t>
      </w:r>
      <w:r w:rsidR="00E97758" w:rsidRPr="00A142B0">
        <w:rPr>
          <w:rFonts w:ascii="Palatino Linotype" w:eastAsia="Times New Roman" w:hAnsi="Palatino Linotype" w:cs="Arial"/>
          <w:color w:val="000000" w:themeColor="text1"/>
          <w:sz w:val="24"/>
          <w:szCs w:val="24"/>
          <w:bdr w:val="nil"/>
          <w:lang w:val="es-ES_tradnl"/>
        </w:rPr>
        <w:t xml:space="preserve">e </w:t>
      </w:r>
      <w:r w:rsidRPr="00A142B0">
        <w:rPr>
          <w:rFonts w:ascii="Palatino Linotype" w:eastAsia="Times New Roman" w:hAnsi="Palatino Linotype" w:cs="Arial"/>
          <w:color w:val="000000" w:themeColor="text1"/>
          <w:sz w:val="24"/>
          <w:szCs w:val="24"/>
          <w:bdr w:val="nil"/>
          <w:lang w:val="es-ES_tradnl"/>
        </w:rPr>
        <w:t xml:space="preserve">emite el </w:t>
      </w:r>
      <w:r w:rsidR="00E97758" w:rsidRPr="00A142B0">
        <w:rPr>
          <w:rFonts w:ascii="Palatino Linotype" w:eastAsia="Times New Roman" w:hAnsi="Palatino Linotype" w:cs="Arial"/>
          <w:color w:val="000000" w:themeColor="text1"/>
          <w:sz w:val="24"/>
          <w:szCs w:val="24"/>
          <w:bdr w:val="nil"/>
          <w:lang w:val="es-ES_tradnl"/>
        </w:rPr>
        <w:t xml:space="preserve"> voto </w:t>
      </w:r>
      <w:r w:rsidR="00367EB2" w:rsidRPr="00A142B0">
        <w:rPr>
          <w:rFonts w:ascii="Palatino Linotype" w:eastAsia="Times New Roman" w:hAnsi="Palatino Linotype" w:cs="Arial"/>
          <w:color w:val="000000" w:themeColor="text1"/>
          <w:sz w:val="24"/>
          <w:szCs w:val="24"/>
          <w:bdr w:val="nil"/>
          <w:lang w:val="es-ES_tradnl"/>
        </w:rPr>
        <w:t>particular</w:t>
      </w:r>
      <w:r w:rsidR="00E97758" w:rsidRPr="00A142B0">
        <w:rPr>
          <w:rFonts w:ascii="Palatino Linotype" w:eastAsia="Times New Roman" w:hAnsi="Palatino Linotype" w:cs="Arial"/>
          <w:color w:val="000000" w:themeColor="text1"/>
          <w:sz w:val="24"/>
          <w:szCs w:val="24"/>
          <w:bdr w:val="nil"/>
          <w:lang w:val="es-ES_tradnl"/>
        </w:rPr>
        <w:t xml:space="preserve"> de la presente resolución </w:t>
      </w:r>
      <w:r w:rsidR="00213603" w:rsidRPr="00A142B0">
        <w:rPr>
          <w:rFonts w:ascii="Palatino Linotype" w:eastAsia="Times New Roman" w:hAnsi="Palatino Linotype" w:cs="Arial"/>
          <w:color w:val="000000" w:themeColor="text1"/>
          <w:sz w:val="24"/>
          <w:szCs w:val="24"/>
          <w:bdr w:val="nil"/>
          <w:lang w:val="es-ES_tradnl"/>
        </w:rPr>
        <w:t xml:space="preserve"> aprobada por mayoría de votos</w:t>
      </w:r>
      <w:r w:rsidR="00E97758" w:rsidRPr="00A142B0">
        <w:rPr>
          <w:rFonts w:ascii="Palatino Linotype" w:eastAsia="Times New Roman" w:hAnsi="Palatino Linotype" w:cs="Arial"/>
          <w:color w:val="000000" w:themeColor="text1"/>
          <w:sz w:val="24"/>
          <w:szCs w:val="24"/>
          <w:bdr w:val="nil"/>
          <w:lang w:val="es-ES_tradnl"/>
        </w:rPr>
        <w:t xml:space="preserve"> </w:t>
      </w:r>
      <w:r w:rsidR="00E97758" w:rsidRPr="00A142B0">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A142B0">
        <w:rPr>
          <w:rFonts w:ascii="Palatino Linotype" w:eastAsia="Arial Unicode MS" w:hAnsi="Palatino Linotype" w:cs="Arial"/>
          <w:color w:val="000000" w:themeColor="text1"/>
          <w:sz w:val="24"/>
          <w:szCs w:val="24"/>
          <w:bdr w:val="nil"/>
        </w:rPr>
        <w:t>Trigésima Segunda</w:t>
      </w:r>
      <w:r w:rsidR="00E97758" w:rsidRPr="00A142B0">
        <w:rPr>
          <w:rFonts w:ascii="Palatino Linotype" w:eastAsia="Arial Unicode MS" w:hAnsi="Palatino Linotype" w:cs="Arial"/>
          <w:color w:val="000000" w:themeColor="text1"/>
          <w:sz w:val="24"/>
          <w:szCs w:val="24"/>
          <w:bdr w:val="nil"/>
        </w:rPr>
        <w:t xml:space="preserve"> </w:t>
      </w:r>
      <w:r w:rsidRPr="00A142B0">
        <w:rPr>
          <w:rFonts w:ascii="Palatino Linotype" w:eastAsia="Arial Unicode MS" w:hAnsi="Palatino Linotype" w:cs="Arial"/>
          <w:color w:val="000000" w:themeColor="text1"/>
          <w:sz w:val="24"/>
          <w:szCs w:val="24"/>
          <w:bdr w:val="nil"/>
        </w:rPr>
        <w:t>S</w:t>
      </w:r>
      <w:r w:rsidR="00E97758" w:rsidRPr="00A142B0">
        <w:rPr>
          <w:rFonts w:ascii="Palatino Linotype" w:eastAsia="Arial Unicode MS" w:hAnsi="Palatino Linotype" w:cs="Arial"/>
          <w:color w:val="000000" w:themeColor="text1"/>
          <w:sz w:val="24"/>
          <w:szCs w:val="24"/>
          <w:bdr w:val="nil"/>
        </w:rPr>
        <w:t xml:space="preserve">esión Ordinaria de fecha </w:t>
      </w:r>
      <w:r w:rsidR="00A142B0">
        <w:rPr>
          <w:rFonts w:ascii="Palatino Linotype" w:eastAsia="Arial Unicode MS" w:hAnsi="Palatino Linotype" w:cs="Arial"/>
          <w:color w:val="000000" w:themeColor="text1"/>
          <w:sz w:val="24"/>
          <w:szCs w:val="24"/>
          <w:bdr w:val="nil"/>
        </w:rPr>
        <w:t>cinco</w:t>
      </w:r>
      <w:r w:rsidRPr="00A142B0">
        <w:rPr>
          <w:rFonts w:ascii="Palatino Linotype" w:eastAsia="Arial Unicode MS" w:hAnsi="Palatino Linotype" w:cs="Arial"/>
          <w:color w:val="000000" w:themeColor="text1"/>
          <w:sz w:val="24"/>
          <w:szCs w:val="24"/>
          <w:bdr w:val="nil"/>
        </w:rPr>
        <w:t xml:space="preserve"> </w:t>
      </w:r>
      <w:r w:rsidR="00E97758" w:rsidRPr="00A142B0">
        <w:rPr>
          <w:rFonts w:ascii="Palatino Linotype" w:eastAsia="Times New Roman" w:hAnsi="Palatino Linotype" w:cs="Arial"/>
          <w:color w:val="000000"/>
          <w:sz w:val="24"/>
          <w:szCs w:val="24"/>
          <w:bdr w:val="nil"/>
          <w:lang w:eastAsia="es-MX"/>
        </w:rPr>
        <w:t>(</w:t>
      </w:r>
      <w:r w:rsidR="00A142B0">
        <w:rPr>
          <w:rFonts w:ascii="Palatino Linotype" w:eastAsia="Times New Roman" w:hAnsi="Palatino Linotype" w:cs="Arial"/>
          <w:color w:val="000000"/>
          <w:sz w:val="24"/>
          <w:szCs w:val="24"/>
          <w:bdr w:val="nil"/>
          <w:lang w:eastAsia="es-MX"/>
        </w:rPr>
        <w:t>5</w:t>
      </w:r>
      <w:r w:rsidR="00E97758" w:rsidRPr="00A142B0">
        <w:rPr>
          <w:rFonts w:ascii="Palatino Linotype" w:eastAsia="Times New Roman" w:hAnsi="Palatino Linotype" w:cs="Arial"/>
          <w:color w:val="000000"/>
          <w:sz w:val="24"/>
          <w:szCs w:val="24"/>
          <w:bdr w:val="nil"/>
          <w:lang w:eastAsia="es-MX"/>
        </w:rPr>
        <w:t xml:space="preserve">) de </w:t>
      </w:r>
      <w:r w:rsidR="00A142B0">
        <w:rPr>
          <w:rFonts w:ascii="Palatino Linotype" w:eastAsia="Times New Roman" w:hAnsi="Palatino Linotype" w:cs="Arial"/>
          <w:color w:val="000000"/>
          <w:sz w:val="24"/>
          <w:szCs w:val="24"/>
          <w:bdr w:val="nil"/>
          <w:lang w:eastAsia="es-MX"/>
        </w:rPr>
        <w:t>septiembre</w:t>
      </w:r>
      <w:r w:rsidR="00E97758" w:rsidRPr="00A142B0">
        <w:rPr>
          <w:rFonts w:ascii="Palatino Linotype" w:eastAsia="Times New Roman" w:hAnsi="Palatino Linotype" w:cs="Arial"/>
          <w:color w:val="000000"/>
          <w:sz w:val="24"/>
          <w:szCs w:val="24"/>
          <w:bdr w:val="nil"/>
          <w:lang w:eastAsia="es-MX"/>
        </w:rPr>
        <w:t xml:space="preserve"> de dos mil </w:t>
      </w:r>
      <w:r w:rsidRPr="00A142B0">
        <w:rPr>
          <w:rFonts w:ascii="Palatino Linotype" w:eastAsia="Times New Roman" w:hAnsi="Palatino Linotype" w:cs="Arial"/>
          <w:color w:val="000000"/>
          <w:sz w:val="24"/>
          <w:szCs w:val="24"/>
          <w:bdr w:val="nil"/>
          <w:lang w:eastAsia="es-MX"/>
        </w:rPr>
        <w:t>veinti</w:t>
      </w:r>
      <w:r w:rsidR="00627742" w:rsidRPr="00A142B0">
        <w:rPr>
          <w:rFonts w:ascii="Palatino Linotype" w:eastAsia="Times New Roman" w:hAnsi="Palatino Linotype" w:cs="Arial"/>
          <w:color w:val="000000"/>
          <w:sz w:val="24"/>
          <w:szCs w:val="24"/>
          <w:bdr w:val="nil"/>
          <w:lang w:eastAsia="es-MX"/>
        </w:rPr>
        <w:t>trés</w:t>
      </w:r>
      <w:r w:rsidR="00E97758" w:rsidRPr="00A142B0">
        <w:rPr>
          <w:rFonts w:ascii="Palatino Linotype" w:eastAsia="Arial Unicode MS" w:hAnsi="Palatino Linotype" w:cs="Arial"/>
          <w:color w:val="000000" w:themeColor="text1"/>
          <w:sz w:val="24"/>
          <w:szCs w:val="24"/>
          <w:bdr w:val="nil"/>
        </w:rPr>
        <w:t>, en el recurso de revisión</w:t>
      </w:r>
      <w:r w:rsidRPr="00A142B0">
        <w:rPr>
          <w:rFonts w:ascii="Palatino Linotype" w:eastAsia="Arial Unicode MS" w:hAnsi="Palatino Linotype" w:cs="Arial"/>
          <w:b/>
          <w:color w:val="000000" w:themeColor="text1"/>
          <w:sz w:val="24"/>
          <w:szCs w:val="24"/>
          <w:bdr w:val="nil"/>
        </w:rPr>
        <w:t>,</w:t>
      </w:r>
      <w:r w:rsidRPr="00A142B0">
        <w:rPr>
          <w:rFonts w:ascii="Palatino Linotype" w:eastAsia="Arial Unicode MS" w:hAnsi="Palatino Linotype" w:cs="Arial"/>
          <w:color w:val="000000" w:themeColor="text1"/>
          <w:sz w:val="24"/>
          <w:szCs w:val="24"/>
          <w:bdr w:val="nil"/>
        </w:rPr>
        <w:t xml:space="preserve"> </w:t>
      </w:r>
      <w:r w:rsidR="00E97758" w:rsidRPr="00A142B0">
        <w:rPr>
          <w:rFonts w:ascii="Palatino Linotype" w:eastAsia="Arial Unicode MS" w:hAnsi="Palatino Linotype" w:cs="Times New Roman"/>
          <w:sz w:val="24"/>
          <w:szCs w:val="24"/>
          <w:bdr w:val="nil"/>
        </w:rPr>
        <w:t>en contra de</w:t>
      </w:r>
      <w:r w:rsidR="00A142B0">
        <w:rPr>
          <w:rFonts w:ascii="Palatino Linotype" w:eastAsia="Arial Unicode MS" w:hAnsi="Palatino Linotype" w:cs="Times New Roman"/>
          <w:sz w:val="24"/>
          <w:szCs w:val="24"/>
          <w:bdr w:val="nil"/>
        </w:rPr>
        <w:t xml:space="preserve"> la</w:t>
      </w:r>
      <w:r w:rsidR="00E97758" w:rsidRPr="00A142B0">
        <w:rPr>
          <w:rFonts w:ascii="Palatino Linotype" w:eastAsia="Arial Unicode MS" w:hAnsi="Palatino Linotype" w:cs="Times New Roman"/>
          <w:sz w:val="24"/>
          <w:szCs w:val="24"/>
          <w:bdr w:val="nil"/>
        </w:rPr>
        <w:t xml:space="preserve"> </w:t>
      </w:r>
      <w:r w:rsidR="00A142B0" w:rsidRPr="00A142B0">
        <w:rPr>
          <w:rFonts w:ascii="Palatino Linotype" w:eastAsia="Arial Unicode MS" w:hAnsi="Palatino Linotype" w:cs="Times New Roman"/>
          <w:b/>
          <w:sz w:val="24"/>
          <w:szCs w:val="24"/>
          <w:bdr w:val="nil"/>
        </w:rPr>
        <w:t>Universidad Autónoma del Estado de México</w:t>
      </w:r>
      <w:r w:rsidR="00E97758" w:rsidRPr="00A142B0">
        <w:rPr>
          <w:rFonts w:ascii="Palatino Linotype" w:eastAsia="Arial Unicode MS" w:hAnsi="Palatino Linotype" w:cs="Times New Roman"/>
          <w:sz w:val="24"/>
          <w:szCs w:val="24"/>
          <w:bdr w:val="nil"/>
        </w:rPr>
        <w:t xml:space="preserve"> </w:t>
      </w:r>
      <w:r w:rsidR="00E97758" w:rsidRPr="00A142B0">
        <w:rPr>
          <w:rFonts w:ascii="Palatino Linotype" w:eastAsia="Arial Unicode MS" w:hAnsi="Palatino Linotype" w:cs="Arial"/>
          <w:color w:val="000000" w:themeColor="text1"/>
          <w:sz w:val="24"/>
          <w:szCs w:val="24"/>
          <w:bdr w:val="nil"/>
        </w:rPr>
        <w:t xml:space="preserve">procedimiento al que se le asignó el número de expediente </w:t>
      </w:r>
      <w:r w:rsidR="00A142B0" w:rsidRPr="00A142B0">
        <w:rPr>
          <w:rFonts w:ascii="Palatino Linotype" w:eastAsia="Arial Unicode MS" w:hAnsi="Palatino Linotype" w:cs="Arial"/>
          <w:b/>
          <w:color w:val="000000" w:themeColor="text1"/>
          <w:sz w:val="24"/>
          <w:szCs w:val="24"/>
          <w:bdr w:val="nil"/>
        </w:rPr>
        <w:t>14349</w:t>
      </w:r>
      <w:r w:rsidR="00627742" w:rsidRPr="00A142B0">
        <w:rPr>
          <w:rFonts w:ascii="Palatino Linotype" w:hAnsi="Palatino Linotype" w:cs="Arial"/>
          <w:b/>
          <w:sz w:val="24"/>
          <w:szCs w:val="24"/>
        </w:rPr>
        <w:t>/INFOEM/IP/RR/20</w:t>
      </w:r>
      <w:r w:rsidR="00A142B0">
        <w:rPr>
          <w:rFonts w:ascii="Palatino Linotype" w:hAnsi="Palatino Linotype" w:cs="Arial"/>
          <w:b/>
          <w:sz w:val="24"/>
          <w:szCs w:val="24"/>
        </w:rPr>
        <w:t>22</w:t>
      </w:r>
      <w:r w:rsidR="00C05CD5">
        <w:rPr>
          <w:rFonts w:ascii="Palatino Linotype" w:hAnsi="Palatino Linotype" w:cs="Arial"/>
          <w:b/>
          <w:sz w:val="24"/>
          <w:szCs w:val="24"/>
        </w:rPr>
        <w:t>.</w:t>
      </w:r>
    </w:p>
    <w:p w14:paraId="1186C908" w14:textId="77777777" w:rsidR="00A142B0" w:rsidRPr="00A142B0" w:rsidRDefault="00A142B0" w:rsidP="00A142B0">
      <w:pPr>
        <w:spacing w:after="0" w:line="360" w:lineRule="auto"/>
        <w:contextualSpacing/>
        <w:jc w:val="both"/>
        <w:rPr>
          <w:rFonts w:ascii="Palatino Linotype" w:eastAsia="Calibri" w:hAnsi="Palatino Linotype" w:cs="Arial"/>
          <w:sz w:val="24"/>
          <w:szCs w:val="24"/>
          <w:lang w:val="es-ES" w:eastAsia="es-ES"/>
        </w:rPr>
      </w:pPr>
    </w:p>
    <w:p w14:paraId="5EEEA895" w14:textId="78F970ED" w:rsidR="00A142B0" w:rsidRDefault="00213603" w:rsidP="00CF5295">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La resolución aprobada </w:t>
      </w:r>
      <w:r w:rsidR="00A142B0">
        <w:rPr>
          <w:rFonts w:ascii="Palatino Linotype" w:eastAsia="Calibri" w:hAnsi="Palatino Linotype" w:cs="Arial"/>
          <w:sz w:val="24"/>
          <w:szCs w:val="24"/>
          <w:lang w:val="es-ES" w:eastAsia="es-ES"/>
        </w:rPr>
        <w:t>por el</w:t>
      </w:r>
      <w:r>
        <w:rPr>
          <w:rFonts w:ascii="Palatino Linotype" w:eastAsia="Calibri" w:hAnsi="Palatino Linotype" w:cs="Arial"/>
          <w:sz w:val="24"/>
          <w:szCs w:val="24"/>
          <w:lang w:val="es-ES" w:eastAsia="es-ES"/>
        </w:rPr>
        <w:t xml:space="preserve"> Pleno de este Órgano Garante determin</w:t>
      </w:r>
      <w:r w:rsidR="00502CAF">
        <w:rPr>
          <w:rFonts w:ascii="Palatino Linotype" w:eastAsia="Calibri" w:hAnsi="Palatino Linotype" w:cs="Arial"/>
          <w:sz w:val="24"/>
          <w:szCs w:val="24"/>
          <w:lang w:val="es-ES" w:eastAsia="es-ES"/>
        </w:rPr>
        <w:t xml:space="preserve">ó procedente </w:t>
      </w:r>
      <w:r w:rsidR="00A142B0">
        <w:rPr>
          <w:rFonts w:ascii="Palatino Linotype" w:eastAsia="Calibri" w:hAnsi="Palatino Linotype" w:cs="Arial"/>
          <w:sz w:val="24"/>
          <w:szCs w:val="24"/>
          <w:lang w:val="es-ES" w:eastAsia="es-ES"/>
        </w:rPr>
        <w:t>SOBRESEER por improcedente el recurso de revisión por el hecho de no haber acreditado debidamente su identidad para continuar con el procedimiento de acceso a datos personales.</w:t>
      </w:r>
    </w:p>
    <w:p w14:paraId="47B74739" w14:textId="77777777" w:rsidR="00A142B0" w:rsidRDefault="00A142B0" w:rsidP="00A142B0">
      <w:pPr>
        <w:pStyle w:val="Prrafodelista"/>
        <w:rPr>
          <w:rFonts w:ascii="Palatino Linotype" w:eastAsia="Calibri" w:hAnsi="Palatino Linotype" w:cs="Arial"/>
          <w:b/>
          <w:sz w:val="24"/>
          <w:szCs w:val="24"/>
          <w:lang w:val="es-ES" w:eastAsia="es-ES"/>
        </w:rPr>
      </w:pPr>
    </w:p>
    <w:p w14:paraId="0033C8EB" w14:textId="21116623" w:rsidR="00A142B0" w:rsidRDefault="00A142B0" w:rsidP="00CF5295">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voto particular se formula porque se considera que no debió ser procedente realizar la reconducción de vía, para dar trámite a la solicitud a través del procedimiento de acceso a datos personales, en el mismo sentido, porque la naturaleza de la información requerida no puede se</w:t>
      </w:r>
      <w:r w:rsidR="0020295A">
        <w:rPr>
          <w:rFonts w:ascii="Palatino Linotype" w:eastAsia="Calibri" w:hAnsi="Palatino Linotype" w:cs="Arial"/>
          <w:sz w:val="24"/>
          <w:szCs w:val="24"/>
          <w:lang w:val="es-ES" w:eastAsia="es-ES"/>
        </w:rPr>
        <w:t>r proporcionada hasta en tanto no sea notificado al interesado.</w:t>
      </w:r>
    </w:p>
    <w:p w14:paraId="04250DF8" w14:textId="77777777" w:rsidR="00026588" w:rsidRDefault="00026588" w:rsidP="00026588">
      <w:pPr>
        <w:pStyle w:val="Prrafodelista"/>
        <w:rPr>
          <w:rFonts w:ascii="Palatino Linotype" w:eastAsia="Calibri" w:hAnsi="Palatino Linotype" w:cs="Arial"/>
          <w:sz w:val="24"/>
          <w:szCs w:val="24"/>
          <w:lang w:val="es-ES" w:eastAsia="es-ES"/>
        </w:rPr>
      </w:pPr>
    </w:p>
    <w:p w14:paraId="18C9EB35" w14:textId="1CF74B87" w:rsidR="00964C1E" w:rsidRDefault="00964C1E"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2" w:name="_Toc21366013"/>
      <w:r>
        <w:rPr>
          <w:rFonts w:ascii="Palatino Linotype" w:eastAsiaTheme="majorEastAsia" w:hAnsi="Palatino Linotype" w:cstheme="majorBidi"/>
          <w:b/>
          <w:sz w:val="24"/>
          <w:szCs w:val="24"/>
          <w:bdr w:val="nil"/>
        </w:rPr>
        <w:t>I.</w:t>
      </w:r>
      <w:bookmarkStart w:id="3" w:name="_Toc21366014"/>
      <w:bookmarkEnd w:id="2"/>
      <w:r w:rsidR="001A1ECB">
        <w:rPr>
          <w:rFonts w:ascii="Palatino Linotype" w:eastAsiaTheme="majorEastAsia" w:hAnsi="Palatino Linotype" w:cstheme="majorBidi"/>
          <w:b/>
          <w:sz w:val="24"/>
          <w:szCs w:val="24"/>
          <w:bdr w:val="nil"/>
        </w:rPr>
        <w:t xml:space="preserve"> </w:t>
      </w:r>
      <w:r w:rsidR="0020295A">
        <w:rPr>
          <w:rFonts w:ascii="Palatino Linotype" w:eastAsiaTheme="majorEastAsia" w:hAnsi="Palatino Linotype" w:cstheme="majorBidi"/>
          <w:b/>
          <w:sz w:val="24"/>
          <w:szCs w:val="24"/>
          <w:bdr w:val="nil"/>
        </w:rPr>
        <w:t>De la reconducción</w:t>
      </w:r>
      <w:bookmarkEnd w:id="3"/>
      <w:r w:rsidR="0020295A">
        <w:rPr>
          <w:rFonts w:ascii="Palatino Linotype" w:eastAsiaTheme="majorEastAsia" w:hAnsi="Palatino Linotype" w:cstheme="majorBidi"/>
          <w:b/>
          <w:sz w:val="24"/>
          <w:szCs w:val="24"/>
          <w:bdr w:val="nil"/>
        </w:rPr>
        <w:t xml:space="preserve"> de vía</w:t>
      </w:r>
      <w:r>
        <w:rPr>
          <w:rFonts w:ascii="Palatino Linotype" w:eastAsiaTheme="majorEastAsia" w:hAnsi="Palatino Linotype" w:cstheme="majorBidi"/>
          <w:b/>
          <w:sz w:val="24"/>
          <w:szCs w:val="24"/>
          <w:bdr w:val="nil"/>
        </w:rPr>
        <w:t xml:space="preserve"> </w:t>
      </w:r>
    </w:p>
    <w:p w14:paraId="1C9582B7" w14:textId="77777777" w:rsidR="00026588" w:rsidRPr="002A43BC" w:rsidRDefault="00026588"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p>
    <w:p w14:paraId="1DE33E8F" w14:textId="4B6DE716" w:rsidR="0020295A" w:rsidRDefault="0020295A" w:rsidP="0020295A">
      <w:pPr>
        <w:numPr>
          <w:ilvl w:val="0"/>
          <w:numId w:val="9"/>
        </w:numPr>
        <w:spacing w:after="0" w:line="360" w:lineRule="auto"/>
        <w:ind w:left="0" w:right="49" w:firstLine="0"/>
        <w:contextualSpacing/>
        <w:jc w:val="both"/>
        <w:rPr>
          <w:rFonts w:ascii="Palatino Linotype" w:hAnsi="Palatino Linotype"/>
          <w:lang w:val="es-ES"/>
        </w:rPr>
      </w:pPr>
      <w:r w:rsidRPr="003D6403">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ya que estas herramientas tecnológicas permiten que la atención de estos</w:t>
      </w:r>
      <w:r>
        <w:rPr>
          <w:rFonts w:ascii="Palatino Linotype" w:hAnsi="Palatino Linotype"/>
          <w:lang w:val="es-ES"/>
        </w:rPr>
        <w:t xml:space="preserve"> procedimientos sea compatible y accesible para la ciudadanía en general.</w:t>
      </w:r>
    </w:p>
    <w:p w14:paraId="31E3B510" w14:textId="77777777" w:rsidR="0020295A" w:rsidRDefault="0020295A" w:rsidP="0020295A">
      <w:pPr>
        <w:pStyle w:val="Prrafodelista"/>
        <w:rPr>
          <w:rFonts w:ascii="Palatino Linotype" w:hAnsi="Palatino Linotype"/>
          <w:lang w:val="es-ES"/>
        </w:rPr>
      </w:pPr>
    </w:p>
    <w:p w14:paraId="1D28B4AA" w14:textId="77777777" w:rsidR="0020295A" w:rsidRPr="0035759B" w:rsidRDefault="0020295A" w:rsidP="0020295A">
      <w:pPr>
        <w:pStyle w:val="Prrafodelista"/>
        <w:numPr>
          <w:ilvl w:val="0"/>
          <w:numId w:val="9"/>
        </w:numPr>
        <w:spacing w:line="360" w:lineRule="auto"/>
        <w:ind w:left="0" w:firstLine="0"/>
        <w:jc w:val="both"/>
        <w:rPr>
          <w:rFonts w:ascii="Palatino Linotype" w:hAnsi="Palatino Linotype"/>
          <w:b/>
        </w:rPr>
      </w:pPr>
      <w:r w:rsidRPr="0035759B">
        <w:rPr>
          <w:rFonts w:ascii="Palatino Linotype" w:hAnsi="Palatino Linotype"/>
        </w:rPr>
        <w:t xml:space="preserve">Debemos recordar que tanto el derecho de acceso a la información como el derecho de acceso a datos personales comparten un aspecto toral, contemplado en los artículos 152 y 178 ambos de la </w:t>
      </w:r>
      <w:r w:rsidRPr="0035759B">
        <w:rPr>
          <w:rFonts w:ascii="Palatino Linotype" w:hAnsi="Palatino Linotype" w:cs="Arial"/>
        </w:rPr>
        <w:t>Ley de Transparencia y Acceso a la Información Pública del Estado de México y Municipios que disponen lo siguiente:</w:t>
      </w:r>
    </w:p>
    <w:p w14:paraId="3DA79CD9" w14:textId="77777777" w:rsidR="0020295A" w:rsidRPr="00923781" w:rsidRDefault="0020295A" w:rsidP="0020295A">
      <w:pPr>
        <w:pStyle w:val="Prrafodelista"/>
        <w:rPr>
          <w:rFonts w:ascii="Palatino Linotype" w:hAnsi="Palatino Linotype"/>
        </w:rPr>
      </w:pPr>
    </w:p>
    <w:p w14:paraId="6239086C"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Bookman Old Style"/>
          <w:i/>
          <w:szCs w:val="20"/>
        </w:rPr>
      </w:pPr>
      <w:r w:rsidRPr="0035759B">
        <w:rPr>
          <w:rFonts w:ascii="Palatino Linotype" w:hAnsi="Palatino Linotype" w:cs="Bookman Old Style,Bold"/>
          <w:b/>
          <w:bCs/>
          <w:i/>
          <w:szCs w:val="20"/>
        </w:rPr>
        <w:t xml:space="preserve">Artículo 152. </w:t>
      </w:r>
      <w:r w:rsidRPr="0035759B">
        <w:rPr>
          <w:rFonts w:ascii="Palatino Linotype" w:hAnsi="Palatino Linotype" w:cs="Bookman Old Style"/>
          <w:b/>
          <w:i/>
          <w:szCs w:val="20"/>
          <w:u w:val="single"/>
        </w:rPr>
        <w:t>Cualquier persona por sí misma o a través de su representante, podrá presentar solicitud de acceso a información</w:t>
      </w:r>
      <w:r w:rsidRPr="0035759B">
        <w:rPr>
          <w:rFonts w:ascii="Palatino Linotype" w:hAnsi="Palatino Linotype" w:cs="Bookman Old Style"/>
          <w:i/>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4104FE09"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i/>
        </w:rPr>
      </w:pPr>
      <w:r w:rsidRPr="0035759B">
        <w:rPr>
          <w:rFonts w:ascii="Palatino Linotype" w:hAnsi="Palatino Linotype" w:cs="Bookman Old Style,Bold"/>
          <w:b/>
          <w:bCs/>
          <w:i/>
          <w:szCs w:val="20"/>
        </w:rPr>
        <w:lastRenderedPageBreak/>
        <w:t>…</w:t>
      </w:r>
    </w:p>
    <w:p w14:paraId="77928133" w14:textId="77777777" w:rsidR="0020295A" w:rsidRPr="0035759B" w:rsidRDefault="0020295A" w:rsidP="0020295A">
      <w:pPr>
        <w:pStyle w:val="Prrafodelista"/>
        <w:spacing w:line="360" w:lineRule="auto"/>
        <w:ind w:left="567" w:right="567"/>
        <w:jc w:val="both"/>
        <w:rPr>
          <w:rFonts w:ascii="Palatino Linotype" w:hAnsi="Palatino Linotype" w:cs="Arial"/>
          <w:i/>
          <w:color w:val="000000" w:themeColor="text1"/>
          <w:highlight w:val="yellow"/>
          <w:lang w:val="es-ES"/>
        </w:rPr>
      </w:pPr>
      <w:r w:rsidRPr="0035759B">
        <w:rPr>
          <w:rFonts w:ascii="Palatino Linotype" w:hAnsi="Palatino Linotype"/>
          <w:i/>
        </w:rPr>
        <w:t>Artículo 178.</w:t>
      </w:r>
      <w:r w:rsidRPr="0035759B">
        <w:rPr>
          <w:rFonts w:ascii="Palatino Linotype" w:hAnsi="Palatino Linotype"/>
          <w:b/>
          <w:i/>
        </w:rPr>
        <w:t xml:space="preserve"> </w:t>
      </w:r>
      <w:r w:rsidRPr="0035759B">
        <w:rPr>
          <w:rFonts w:ascii="Palatino Linotype" w:hAnsi="Palatino Linotype"/>
          <w:b/>
          <w:i/>
          <w:u w:val="single"/>
        </w:rPr>
        <w:t>El solicitante podrá interponer, por sí mismo</w:t>
      </w:r>
      <w:r w:rsidRPr="0035759B">
        <w:rPr>
          <w:rFonts w:ascii="Palatino Linotype" w:hAnsi="Palatino Linotype"/>
          <w:i/>
          <w:u w:val="single"/>
        </w:rPr>
        <w:t xml:space="preserve"> </w:t>
      </w:r>
      <w:r w:rsidRPr="0035759B">
        <w:rPr>
          <w:rFonts w:ascii="Palatino Linotype" w:hAnsi="Palatino Linotype"/>
          <w:b/>
          <w:i/>
          <w:u w:val="single"/>
        </w:rPr>
        <w:t>o a través de su representante, de manera directa o por medios electrónicos, recurso de revisión</w:t>
      </w:r>
      <w:r w:rsidRPr="0035759B">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4A736AE0" w14:textId="77777777" w:rsidR="0020295A" w:rsidRPr="00DF2E6C" w:rsidRDefault="0020295A" w:rsidP="0020295A">
      <w:pPr>
        <w:pStyle w:val="Prrafodelista"/>
        <w:rPr>
          <w:rFonts w:ascii="Palatino Linotype" w:hAnsi="Palatino Linotype" w:cs="Arial"/>
        </w:rPr>
      </w:pPr>
    </w:p>
    <w:p w14:paraId="48D7FC33" w14:textId="77777777" w:rsidR="0020295A" w:rsidRPr="0035759B" w:rsidRDefault="0020295A" w:rsidP="0020295A">
      <w:pPr>
        <w:pStyle w:val="Prrafodelista"/>
        <w:numPr>
          <w:ilvl w:val="0"/>
          <w:numId w:val="9"/>
        </w:numPr>
        <w:spacing w:before="240" w:after="240" w:line="360" w:lineRule="auto"/>
        <w:ind w:left="0" w:right="49" w:firstLine="0"/>
        <w:jc w:val="both"/>
        <w:rPr>
          <w:rFonts w:ascii="Palatino Linotype" w:hAnsi="Palatino Linotype" w:cs="Arial"/>
        </w:rPr>
      </w:pPr>
      <w:r w:rsidRPr="0035759B">
        <w:rPr>
          <w:rFonts w:ascii="Palatino Linotype" w:hAnsi="Palatino Linotype" w:cs="Arial"/>
        </w:rPr>
        <w:t>Mientras que la Ley de Protección de Datos Personales en Posesión de los Sujetos Obligados del Estado de México y Municipios en su artículos 109 fracciones I, II y III y 128 primer párrafo establecen lo siguiente:</w:t>
      </w:r>
    </w:p>
    <w:p w14:paraId="20F30ECA"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i/>
          <w:szCs w:val="18"/>
        </w:rPr>
      </w:pPr>
      <w:r w:rsidRPr="0035759B">
        <w:rPr>
          <w:rFonts w:ascii="Palatino Linotype" w:hAnsi="Palatino Linotype" w:cs="Arial"/>
          <w:b/>
          <w:bCs/>
          <w:i/>
          <w:szCs w:val="18"/>
        </w:rPr>
        <w:t xml:space="preserve">Artículo 109. </w:t>
      </w:r>
      <w:r w:rsidRPr="0035759B">
        <w:rPr>
          <w:rFonts w:ascii="Palatino Linotype" w:hAnsi="Palatino Linotype" w:cs="Arial"/>
          <w:i/>
          <w:szCs w:val="18"/>
        </w:rPr>
        <w:t>La presentación de las solicitudes de acceso, rectificación, cancelación u oposición de datos personales se podrá realizar en cualquiera de las modalidades siguientes:</w:t>
      </w:r>
    </w:p>
    <w:p w14:paraId="278B2231"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i/>
          <w:szCs w:val="18"/>
        </w:rPr>
      </w:pPr>
      <w:r w:rsidRPr="0035759B">
        <w:rPr>
          <w:rFonts w:ascii="Palatino Linotype" w:hAnsi="Palatino Linotype" w:cs="Arial"/>
          <w:b/>
          <w:bCs/>
          <w:i/>
          <w:szCs w:val="18"/>
        </w:rPr>
        <w:t xml:space="preserve">I. </w:t>
      </w:r>
      <w:r w:rsidRPr="0035759B">
        <w:rPr>
          <w:rFonts w:ascii="Palatino Linotype" w:hAnsi="Palatino Linotype" w:cs="Arial"/>
          <w:i/>
          <w:szCs w:val="18"/>
        </w:rPr>
        <w:t>Por escrito libre presentado personalmente por el titular o su representante legal en la Unidad de Transparencia, o bien, en los formatos establecidos para tal efecto, o bien a través de correo ordinario, correo certificado o servicio de mensajería.</w:t>
      </w:r>
    </w:p>
    <w:p w14:paraId="1FAB7E3B"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i/>
          <w:szCs w:val="18"/>
        </w:rPr>
      </w:pPr>
      <w:r w:rsidRPr="0035759B">
        <w:rPr>
          <w:rFonts w:ascii="Palatino Linotype" w:hAnsi="Palatino Linotype" w:cs="Arial"/>
          <w:b/>
          <w:bCs/>
          <w:i/>
          <w:szCs w:val="18"/>
        </w:rPr>
        <w:t xml:space="preserve">II. </w:t>
      </w:r>
      <w:r w:rsidRPr="0035759B">
        <w:rPr>
          <w:rFonts w:ascii="Palatino Linotype" w:hAnsi="Palatino Linotype" w:cs="Arial"/>
          <w:i/>
          <w:szCs w:val="18"/>
        </w:rPr>
        <w:t>Verbalmente por el titular o su representante legal en la Unidad de Transparencia, la cual deberá ser capturada por el responsable en el formato respectivo.</w:t>
      </w:r>
    </w:p>
    <w:p w14:paraId="11165B67" w14:textId="77777777" w:rsidR="0020295A" w:rsidRPr="0035759B" w:rsidRDefault="0020295A" w:rsidP="0020295A">
      <w:pPr>
        <w:spacing w:before="240" w:after="240" w:line="360" w:lineRule="auto"/>
        <w:ind w:left="567" w:right="567"/>
        <w:jc w:val="both"/>
        <w:rPr>
          <w:rFonts w:ascii="Palatino Linotype" w:hAnsi="Palatino Linotype" w:cs="Arial"/>
          <w:i/>
          <w:szCs w:val="18"/>
        </w:rPr>
      </w:pPr>
      <w:r w:rsidRPr="0035759B">
        <w:rPr>
          <w:rFonts w:ascii="Palatino Linotype" w:hAnsi="Palatino Linotype" w:cs="Arial"/>
          <w:b/>
          <w:bCs/>
          <w:i/>
          <w:szCs w:val="18"/>
        </w:rPr>
        <w:t xml:space="preserve">III. </w:t>
      </w:r>
      <w:r w:rsidRPr="0035759B">
        <w:rPr>
          <w:rFonts w:ascii="Palatino Linotype" w:hAnsi="Palatino Linotype" w:cs="Arial"/>
          <w:i/>
          <w:szCs w:val="18"/>
        </w:rPr>
        <w:t>Por el sistema electrónico que el Instituto o la normatividad aplicable establezca para tal efecto.</w:t>
      </w:r>
    </w:p>
    <w:p w14:paraId="21BD3A37" w14:textId="77777777" w:rsidR="0020295A" w:rsidRPr="0035759B" w:rsidRDefault="0020295A" w:rsidP="0020295A">
      <w:pPr>
        <w:spacing w:before="240" w:after="240" w:line="360" w:lineRule="auto"/>
        <w:ind w:left="567" w:right="567"/>
        <w:jc w:val="both"/>
        <w:rPr>
          <w:rFonts w:ascii="Palatino Linotype" w:hAnsi="Palatino Linotype" w:cs="Arial"/>
          <w:i/>
          <w:sz w:val="28"/>
        </w:rPr>
      </w:pPr>
      <w:r w:rsidRPr="0035759B">
        <w:rPr>
          <w:rFonts w:ascii="Palatino Linotype" w:hAnsi="Palatino Linotype" w:cs="Arial"/>
          <w:b/>
          <w:bCs/>
          <w:i/>
          <w:szCs w:val="18"/>
        </w:rPr>
        <w:t>…</w:t>
      </w:r>
    </w:p>
    <w:p w14:paraId="736F0181"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i/>
          <w:szCs w:val="18"/>
        </w:rPr>
      </w:pPr>
      <w:r w:rsidRPr="0035759B">
        <w:rPr>
          <w:rFonts w:ascii="Palatino Linotype" w:hAnsi="Palatino Linotype" w:cs="Arial"/>
          <w:b/>
          <w:bCs/>
          <w:i/>
          <w:szCs w:val="18"/>
        </w:rPr>
        <w:t xml:space="preserve">Artículo 128. </w:t>
      </w:r>
      <w:r w:rsidRPr="0035759B">
        <w:rPr>
          <w:rFonts w:ascii="Palatino Linotype" w:hAnsi="Palatino Linotype" w:cs="Arial"/>
          <w:i/>
          <w:szCs w:val="18"/>
        </w:rPr>
        <w:t xml:space="preserve">El titular, por sí mismo o a través de su representante, podrán interponer un recurso de revisión ante el Instituto o la Unidad de Transparencia del responsable </w:t>
      </w:r>
      <w:r w:rsidRPr="0035759B">
        <w:rPr>
          <w:rFonts w:ascii="Palatino Linotype" w:hAnsi="Palatino Linotype" w:cs="Arial"/>
          <w:i/>
          <w:szCs w:val="18"/>
        </w:rPr>
        <w:lastRenderedPageBreak/>
        <w:t>que haya conocido de la solicitud para el ejercicio de los derechos ARCO, dentro de un plazo que no podrá exceder de quince días contados a partir del siguiente a la fecha de la notificación de la respuesta.</w:t>
      </w:r>
    </w:p>
    <w:p w14:paraId="0499B48B" w14:textId="77777777" w:rsidR="0020295A" w:rsidRPr="0035759B" w:rsidRDefault="0020295A" w:rsidP="0020295A">
      <w:pPr>
        <w:autoSpaceDE w:val="0"/>
        <w:autoSpaceDN w:val="0"/>
        <w:adjustRightInd w:val="0"/>
        <w:spacing w:line="360" w:lineRule="auto"/>
        <w:ind w:left="567" w:right="567"/>
        <w:jc w:val="both"/>
        <w:rPr>
          <w:rFonts w:ascii="Palatino Linotype" w:hAnsi="Palatino Linotype" w:cs="Arial"/>
        </w:rPr>
      </w:pPr>
      <w:r w:rsidRPr="0035759B">
        <w:rPr>
          <w:rFonts w:ascii="Palatino Linotype" w:hAnsi="Palatino Linotype" w:cs="Arial"/>
          <w:b/>
          <w:bCs/>
          <w:i/>
          <w:szCs w:val="18"/>
        </w:rPr>
        <w:t>…</w:t>
      </w:r>
    </w:p>
    <w:p w14:paraId="17AFE395" w14:textId="4C225699" w:rsidR="0020295A" w:rsidRPr="0035759B" w:rsidRDefault="0020295A" w:rsidP="0020295A">
      <w:pPr>
        <w:pStyle w:val="Prrafodelista"/>
        <w:numPr>
          <w:ilvl w:val="0"/>
          <w:numId w:val="9"/>
        </w:numPr>
        <w:spacing w:before="240" w:after="240" w:line="360" w:lineRule="auto"/>
        <w:ind w:left="0" w:right="49" w:firstLine="0"/>
        <w:jc w:val="both"/>
        <w:rPr>
          <w:rFonts w:ascii="Palatino Linotype" w:hAnsi="Palatino Linotype" w:cs="Arial"/>
        </w:rPr>
      </w:pPr>
      <w:r w:rsidRPr="002B4887">
        <w:rPr>
          <w:rFonts w:ascii="Palatino Linotype" w:hAnsi="Palatino Linotype" w:cs="Arial"/>
        </w:rPr>
        <w:t xml:space="preserve">De la interpretación de los preceptos legales en cito, se deduce que ambas legislaciones coinciden en que los particulares pueden interponer la solicitud y posteriormente recurso de revisión </w:t>
      </w:r>
      <w:r w:rsidRPr="002B4887">
        <w:rPr>
          <w:rFonts w:ascii="Palatino Linotype" w:hAnsi="Palatino Linotype" w:cs="Arial"/>
          <w:b/>
        </w:rPr>
        <w:t xml:space="preserve">por sí mismos o a través de un representante; </w:t>
      </w:r>
      <w:r w:rsidRPr="002B4887">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2B4887">
        <w:rPr>
          <w:rFonts w:ascii="Palatino Linotype" w:hAnsi="Palatino Linotype" w:cs="Arial"/>
          <w:color w:val="000000" w:themeColor="text1"/>
          <w:lang w:val="es-ES"/>
        </w:rPr>
        <w:t>los derechos que les asisten.</w:t>
      </w:r>
    </w:p>
    <w:p w14:paraId="51BA8F9D" w14:textId="77777777" w:rsidR="0020295A" w:rsidRPr="0035759B" w:rsidRDefault="0020295A" w:rsidP="0020295A">
      <w:pPr>
        <w:pStyle w:val="Prrafodelista"/>
        <w:spacing w:before="240" w:after="240" w:line="360" w:lineRule="auto"/>
        <w:ind w:left="0" w:right="49"/>
        <w:jc w:val="both"/>
        <w:rPr>
          <w:rFonts w:ascii="Palatino Linotype" w:hAnsi="Palatino Linotype" w:cs="Arial"/>
        </w:rPr>
      </w:pPr>
    </w:p>
    <w:p w14:paraId="2C26EAA8" w14:textId="77777777" w:rsidR="0020295A" w:rsidRPr="0035759B" w:rsidRDefault="0020295A" w:rsidP="0020295A">
      <w:pPr>
        <w:pStyle w:val="Prrafodelista"/>
        <w:numPr>
          <w:ilvl w:val="0"/>
          <w:numId w:val="9"/>
        </w:numPr>
        <w:spacing w:before="240" w:after="240" w:line="360" w:lineRule="auto"/>
        <w:ind w:left="0" w:right="49" w:firstLine="0"/>
        <w:jc w:val="both"/>
        <w:rPr>
          <w:rFonts w:ascii="Palatino Linotype" w:hAnsi="Palatino Linotype" w:cs="Arial"/>
        </w:rPr>
      </w:pPr>
      <w:r w:rsidRPr="0035759B">
        <w:rPr>
          <w:rFonts w:ascii="Palatino Linotype" w:hAnsi="Palatino Linotype" w:cs="Arial"/>
          <w:color w:val="000000" w:themeColor="text1"/>
          <w:lang w:val="es-ES"/>
        </w:rPr>
        <w:t>Por tal motivo, cabe hacer referencia que uno de los principios que rigen a este Órgano Garante es la eficacia</w:t>
      </w:r>
      <w:r w:rsidRPr="002B4887">
        <w:rPr>
          <w:rStyle w:val="Refdenotaalpie"/>
          <w:rFonts w:ascii="Palatino Linotype" w:hAnsi="Palatino Linotype" w:cs="Arial"/>
          <w:color w:val="000000" w:themeColor="text1"/>
          <w:lang w:val="es-ES"/>
        </w:rPr>
        <w:footnoteReference w:id="1"/>
      </w:r>
      <w:r w:rsidRPr="0035759B">
        <w:rPr>
          <w:rFonts w:ascii="Palatino Linotype" w:hAnsi="Palatino Linotype" w:cs="Arial"/>
          <w:color w:val="000000" w:themeColor="text1"/>
          <w:lang w:val="es-ES"/>
        </w:rPr>
        <w:t>; por lo tanto tomando en cuenta lo antes referido, que los particulares pueden no ser expertos en la materia y desconocer los derechos que les asisten, en este caso, se presume que el particular desconoce la vía idónea para formular sus requerimientos, por lo tanto, el Sujeto Obligado como este Instituto deben suplir la deficiencia y dar curso a la solicitud.</w:t>
      </w:r>
    </w:p>
    <w:p w14:paraId="6C050113" w14:textId="77777777" w:rsidR="0020295A" w:rsidRPr="0035759B" w:rsidRDefault="0020295A" w:rsidP="0020295A">
      <w:pPr>
        <w:pStyle w:val="Prrafodelista"/>
        <w:rPr>
          <w:rFonts w:ascii="Palatino Linotype" w:hAnsi="Palatino Linotype" w:cs="Arial"/>
        </w:rPr>
      </w:pPr>
    </w:p>
    <w:p w14:paraId="756B1643" w14:textId="77777777" w:rsidR="00E46D5E" w:rsidRPr="00E46D5E" w:rsidRDefault="00E46D5E" w:rsidP="0020295A">
      <w:pPr>
        <w:pStyle w:val="Prrafodelista"/>
        <w:numPr>
          <w:ilvl w:val="0"/>
          <w:numId w:val="9"/>
        </w:numPr>
        <w:spacing w:before="240" w:after="240" w:line="360" w:lineRule="auto"/>
        <w:ind w:left="0" w:right="49" w:firstLine="0"/>
        <w:jc w:val="both"/>
        <w:rPr>
          <w:rFonts w:ascii="Palatino Linotype" w:hAnsi="Palatino Linotype" w:cs="Arial"/>
        </w:rPr>
      </w:pPr>
      <w:r>
        <w:rPr>
          <w:rFonts w:ascii="Palatino Linotype" w:hAnsi="Palatino Linotype"/>
        </w:rPr>
        <w:t xml:space="preserve">La </w:t>
      </w:r>
      <w:r w:rsidR="0020295A" w:rsidRPr="0035759B">
        <w:rPr>
          <w:rFonts w:ascii="Palatino Linotype" w:hAnsi="Palatino Linotype"/>
        </w:rPr>
        <w:t>Ley de Transparencia y Acceso a la Información Pública del Estado de México y Municipios en su artículo 2, fracción II establece que se debe p</w:t>
      </w:r>
      <w:r w:rsidR="0020295A" w:rsidRPr="0035759B">
        <w:rPr>
          <w:rFonts w:ascii="Palatino Linotype" w:hAnsi="Palatino Linotype" w:cs="Arial"/>
        </w:rPr>
        <w:t xml:space="preserve">roveer lo necesario para garantizar a toda persona el derecho de acceso a la información pública, a través de </w:t>
      </w:r>
      <w:r w:rsidR="0020295A" w:rsidRPr="0035759B">
        <w:rPr>
          <w:rFonts w:ascii="Palatino Linotype" w:hAnsi="Palatino Linotype" w:cs="Arial"/>
        </w:rPr>
        <w:lastRenderedPageBreak/>
        <w:t>procedimientos sencillos, expeditos, oportunos y gratuitos, determinando las bases mínimas sobre las cuales se regirán los mismos</w:t>
      </w:r>
      <w:r>
        <w:rPr>
          <w:rFonts w:ascii="Palatino Linotype" w:hAnsi="Palatino Linotype"/>
        </w:rPr>
        <w:t>.</w:t>
      </w:r>
    </w:p>
    <w:p w14:paraId="08B60997" w14:textId="77777777" w:rsidR="00E46D5E" w:rsidRPr="00E46D5E" w:rsidRDefault="00E46D5E" w:rsidP="00E46D5E">
      <w:pPr>
        <w:pStyle w:val="Prrafodelista"/>
        <w:rPr>
          <w:rFonts w:ascii="Palatino Linotype" w:hAnsi="Palatino Linotype"/>
        </w:rPr>
      </w:pPr>
    </w:p>
    <w:p w14:paraId="17073223" w14:textId="09B76F2F" w:rsidR="0020295A" w:rsidRPr="00E46D5E" w:rsidRDefault="00E46D5E" w:rsidP="00E46D5E">
      <w:pPr>
        <w:pStyle w:val="Prrafodelista"/>
        <w:numPr>
          <w:ilvl w:val="0"/>
          <w:numId w:val="9"/>
        </w:numPr>
        <w:spacing w:before="240" w:after="240" w:line="360" w:lineRule="auto"/>
        <w:ind w:left="0" w:right="49" w:firstLine="0"/>
        <w:jc w:val="both"/>
        <w:rPr>
          <w:rFonts w:ascii="Palatino Linotype" w:hAnsi="Palatino Linotype" w:cs="Arial"/>
        </w:rPr>
      </w:pPr>
      <w:r w:rsidRPr="00E46D5E">
        <w:rPr>
          <w:rFonts w:ascii="Palatino Linotype" w:hAnsi="Palatino Linotype" w:cs="Arial"/>
        </w:rPr>
        <w:t xml:space="preserve">Cuando se cuente con elementos irrefutables que permitan identificar que alguna solicitud se presentó por la vía errónea, </w:t>
      </w:r>
      <w:r w:rsidR="0020295A" w:rsidRPr="00E46D5E">
        <w:rPr>
          <w:rFonts w:ascii="Palatino Linotype" w:hAnsi="Palatino Linotype"/>
        </w:rPr>
        <w:t xml:space="preserve">este Órgano Garante con fundamento en el artículo 13 y 181 de la Ley de Trasparencia y Acceso a la Información Pública del Estado de México y Municipios, y con el objeto de garantizar </w:t>
      </w:r>
      <w:r>
        <w:rPr>
          <w:rFonts w:ascii="Palatino Linotype" w:hAnsi="Palatino Linotype"/>
        </w:rPr>
        <w:t>los derechos de los particulares debe suplir la deficiencia de la queja a favor de los particulares , dando curso a las solicitudes</w:t>
      </w:r>
      <w:r w:rsidR="0020295A" w:rsidRPr="00E46D5E">
        <w:rPr>
          <w:rFonts w:ascii="Palatino Linotype" w:hAnsi="Palatino Linotype"/>
        </w:rPr>
        <w:t xml:space="preserve">,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14:paraId="0A1B227D" w14:textId="77777777" w:rsidR="0020295A" w:rsidRPr="0035759B" w:rsidRDefault="0020295A" w:rsidP="0020295A">
      <w:pPr>
        <w:spacing w:before="240" w:after="360" w:line="360" w:lineRule="auto"/>
        <w:ind w:left="567" w:right="567"/>
        <w:jc w:val="both"/>
        <w:rPr>
          <w:rFonts w:ascii="Palatino Linotype" w:hAnsi="Palatino Linotype"/>
          <w:b/>
          <w:i/>
        </w:rPr>
      </w:pPr>
      <w:r w:rsidRPr="0035759B">
        <w:rPr>
          <w:rFonts w:ascii="Palatino Linotype" w:hAnsi="Palatino Linotype"/>
          <w:b/>
          <w:i/>
        </w:rPr>
        <w:t xml:space="preserve">“CRITERIO 008/2009. </w:t>
      </w:r>
      <w:r w:rsidRPr="0035759B">
        <w:rPr>
          <w:rFonts w:ascii="Palatino Linotype" w:hAnsi="Palatino Linotype"/>
          <w:b/>
          <w:i/>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35759B">
        <w:rPr>
          <w:rFonts w:ascii="Palatino Linotype" w:hAnsi="Palatino Linotype"/>
          <w:i/>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w:t>
      </w:r>
      <w:r w:rsidRPr="0035759B">
        <w:rPr>
          <w:rFonts w:ascii="Palatino Linotype" w:hAnsi="Palatino Linotype"/>
          <w:i/>
        </w:rPr>
        <w:lastRenderedPageBreak/>
        <w:t>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4E06CA9C" w14:textId="77777777" w:rsidR="0020295A" w:rsidRPr="0035759B" w:rsidRDefault="0020295A" w:rsidP="0020295A">
      <w:pPr>
        <w:spacing w:before="120" w:after="120"/>
        <w:ind w:left="567" w:right="567"/>
        <w:jc w:val="both"/>
        <w:rPr>
          <w:rFonts w:ascii="Palatino Linotype" w:hAnsi="Palatino Linotype"/>
          <w:i/>
        </w:rPr>
      </w:pPr>
      <w:r w:rsidRPr="0035759B">
        <w:rPr>
          <w:rFonts w:ascii="Palatino Linotype" w:hAnsi="Palatino Linotype"/>
          <w:i/>
        </w:rPr>
        <w:t>Expedientes:</w:t>
      </w:r>
    </w:p>
    <w:p w14:paraId="75979B29" w14:textId="77777777" w:rsidR="0020295A" w:rsidRPr="0035759B" w:rsidRDefault="0020295A" w:rsidP="0020295A">
      <w:pPr>
        <w:spacing w:before="120" w:after="120"/>
        <w:ind w:left="567" w:right="567"/>
        <w:jc w:val="both"/>
        <w:rPr>
          <w:rFonts w:ascii="Palatino Linotype" w:hAnsi="Palatino Linotype"/>
          <w:i/>
        </w:rPr>
      </w:pPr>
      <w:r w:rsidRPr="0035759B">
        <w:rPr>
          <w:rFonts w:ascii="Palatino Linotype" w:hAnsi="Palatino Linotype"/>
          <w:i/>
        </w:rPr>
        <w:t>1620/07 Secretaría de la Función Pública - Alonso Lujambio Irazábal</w:t>
      </w:r>
    </w:p>
    <w:p w14:paraId="54286197" w14:textId="77777777" w:rsidR="0020295A" w:rsidRPr="0035759B" w:rsidRDefault="0020295A" w:rsidP="0020295A">
      <w:pPr>
        <w:spacing w:before="120" w:after="120"/>
        <w:ind w:left="567" w:right="567"/>
        <w:jc w:val="both"/>
        <w:rPr>
          <w:rFonts w:ascii="Palatino Linotype" w:hAnsi="Palatino Linotype"/>
          <w:i/>
        </w:rPr>
      </w:pPr>
      <w:r w:rsidRPr="0035759B">
        <w:rPr>
          <w:rFonts w:ascii="Palatino Linotype" w:hAnsi="Palatino Linotype"/>
          <w:i/>
        </w:rPr>
        <w:t>2350/07 Secretaría de la Función Pública - Alonso Lujambio Irazábal</w:t>
      </w:r>
    </w:p>
    <w:p w14:paraId="2C34B4B3" w14:textId="77777777" w:rsidR="0020295A" w:rsidRPr="0035759B" w:rsidRDefault="0020295A" w:rsidP="0020295A">
      <w:pPr>
        <w:spacing w:before="120" w:after="120"/>
        <w:ind w:left="567" w:right="567"/>
        <w:jc w:val="both"/>
        <w:rPr>
          <w:rFonts w:ascii="Palatino Linotype" w:hAnsi="Palatino Linotype"/>
          <w:i/>
        </w:rPr>
      </w:pPr>
      <w:r w:rsidRPr="0035759B">
        <w:rPr>
          <w:rFonts w:ascii="Palatino Linotype" w:hAnsi="Palatino Linotype"/>
          <w:i/>
        </w:rPr>
        <w:t>1856/08 Pemex Refinación – Alonso Gómez-Robledo V.</w:t>
      </w:r>
    </w:p>
    <w:p w14:paraId="7D04FE81" w14:textId="77777777" w:rsidR="0020295A" w:rsidRPr="0035759B" w:rsidRDefault="0020295A" w:rsidP="0020295A">
      <w:pPr>
        <w:spacing w:before="120" w:after="120"/>
        <w:ind w:left="567" w:right="567"/>
        <w:jc w:val="both"/>
        <w:rPr>
          <w:rFonts w:ascii="Palatino Linotype" w:hAnsi="Palatino Linotype"/>
          <w:i/>
        </w:rPr>
      </w:pPr>
      <w:r w:rsidRPr="0035759B">
        <w:rPr>
          <w:rFonts w:ascii="Palatino Linotype" w:hAnsi="Palatino Linotype"/>
          <w:i/>
        </w:rPr>
        <w:t>4585/08 Instituto Mexicano del Seguro Social – Jacqueline Peschard Mariscal</w:t>
      </w:r>
    </w:p>
    <w:p w14:paraId="43A4A601" w14:textId="77777777" w:rsidR="0020295A" w:rsidRPr="0035759B" w:rsidRDefault="0020295A" w:rsidP="0020295A">
      <w:pPr>
        <w:ind w:left="567" w:right="567"/>
        <w:jc w:val="both"/>
        <w:rPr>
          <w:rFonts w:ascii="Palatino Linotype" w:hAnsi="Palatino Linotype"/>
          <w:i/>
        </w:rPr>
      </w:pPr>
      <w:r w:rsidRPr="0035759B">
        <w:rPr>
          <w:rFonts w:ascii="Palatino Linotype" w:hAnsi="Palatino Linotype"/>
          <w:i/>
        </w:rPr>
        <w:t>2593/09 Instituto Mexicano del Seguro Social – Alonso Gómez-Robledo V.</w:t>
      </w:r>
    </w:p>
    <w:p w14:paraId="1E815A0B" w14:textId="58601D94" w:rsidR="0020295A" w:rsidRPr="00A078B9" w:rsidRDefault="0020295A" w:rsidP="0020295A">
      <w:pPr>
        <w:pStyle w:val="Prrafodelista"/>
        <w:numPr>
          <w:ilvl w:val="0"/>
          <w:numId w:val="9"/>
        </w:numPr>
        <w:spacing w:before="240" w:after="240" w:line="360" w:lineRule="auto"/>
        <w:ind w:left="0" w:right="49" w:firstLine="0"/>
        <w:jc w:val="both"/>
        <w:rPr>
          <w:rFonts w:ascii="Palatino Linotype" w:hAnsi="Palatino Linotype" w:cs="Arial"/>
        </w:rPr>
      </w:pPr>
      <w:r w:rsidRPr="002B4887">
        <w:rPr>
          <w:rFonts w:ascii="Palatino Linotype" w:hAnsi="Palatino Linotype" w:cs="Arial"/>
        </w:rPr>
        <w:t xml:space="preserve">En los casos en que los particulares formulen solicitud de acceso a la información y ésta corresponda a derechos ARCO o viceversa, los Sujetos Obligados deben dar curso a la </w:t>
      </w:r>
      <w:r w:rsidRPr="002B4887">
        <w:rPr>
          <w:rFonts w:ascii="Palatino Linotype" w:hAnsi="Palatino Linotype" w:cs="Arial"/>
        </w:rPr>
        <w:lastRenderedPageBreak/>
        <w:t>solicitud, siempre y cuando cuenten con facultades, competencias y atribuciones para atenderla y dar cumplimiento, aú</w:t>
      </w:r>
      <w:r w:rsidR="00E46D5E">
        <w:rPr>
          <w:rFonts w:ascii="Palatino Linotype" w:hAnsi="Palatino Linotype" w:cs="Arial"/>
        </w:rPr>
        <w:t xml:space="preserve">n y cuando no sea la vía idónea, siempre que se cuente con </w:t>
      </w:r>
      <w:r w:rsidR="00E46D5E" w:rsidRPr="00A078B9">
        <w:rPr>
          <w:rFonts w:ascii="Palatino Linotype" w:hAnsi="Palatino Linotype" w:cs="Arial"/>
        </w:rPr>
        <w:t xml:space="preserve">elementos de convicción que permitan realizar esta reconducción. </w:t>
      </w:r>
    </w:p>
    <w:p w14:paraId="63681E21" w14:textId="77777777" w:rsidR="0020295A" w:rsidRPr="00A078B9" w:rsidRDefault="0020295A" w:rsidP="0020295A">
      <w:pPr>
        <w:pStyle w:val="Prrafodelista"/>
        <w:spacing w:before="240" w:after="240" w:line="360" w:lineRule="auto"/>
        <w:ind w:left="0" w:right="49"/>
        <w:jc w:val="both"/>
        <w:rPr>
          <w:rFonts w:ascii="Palatino Linotype" w:hAnsi="Palatino Linotype" w:cs="Arial"/>
        </w:rPr>
      </w:pPr>
    </w:p>
    <w:p w14:paraId="4E4A5A69" w14:textId="5084E0EF" w:rsidR="00E46D5E" w:rsidRPr="00AA008E" w:rsidRDefault="00E46D5E"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A078B9">
        <w:rPr>
          <w:rFonts w:ascii="Palatino Linotype" w:eastAsia="Calibri" w:hAnsi="Palatino Linotype" w:cs="Arial"/>
          <w:sz w:val="24"/>
          <w:szCs w:val="24"/>
          <w:lang w:val="es-ES" w:eastAsia="es-ES"/>
        </w:rPr>
        <w:t xml:space="preserve">En este caso en particular, </w:t>
      </w:r>
      <w:r w:rsidRPr="00A078B9">
        <w:rPr>
          <w:rFonts w:ascii="Palatino Linotype" w:hAnsi="Palatino Linotype" w:cs="Arial"/>
        </w:rPr>
        <w:t>se aprecia que la solicitud de mérito se basa en el requerimiento de una contestación a un oficio que presentó un docente a la</w:t>
      </w:r>
      <w:r w:rsidR="005B2181" w:rsidRPr="00A078B9">
        <w:rPr>
          <w:rFonts w:ascii="Palatino Linotype" w:hAnsi="Palatino Linotype" w:cs="Arial"/>
        </w:rPr>
        <w:t xml:space="preserve"> Dirección de Arquitectura en el que plasma una serie de quejas e incluso acoso dentro de su relación laboral con la institución.</w:t>
      </w:r>
    </w:p>
    <w:p w14:paraId="5D422F45" w14:textId="77777777" w:rsidR="00AA008E" w:rsidRPr="00AA008E" w:rsidRDefault="00AA008E" w:rsidP="00AA008E">
      <w:pPr>
        <w:pStyle w:val="Prrafodelista"/>
        <w:rPr>
          <w:rFonts w:ascii="Palatino Linotype" w:eastAsia="Calibri" w:hAnsi="Palatino Linotype" w:cs="Arial"/>
          <w:sz w:val="24"/>
          <w:szCs w:val="24"/>
          <w:lang w:val="es-ES" w:eastAsia="es-ES"/>
        </w:rPr>
      </w:pPr>
    </w:p>
    <w:p w14:paraId="012400E0" w14:textId="4CDDC48B" w:rsidR="00AA008E" w:rsidRDefault="00AA008E"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 la lectura del oficio en mención, se advierte medularmente que el Docente se duele porque le fue retirada una plaza sin notificación previa, además, existe acoso de alumnos en sus demás clases que no pertenecen a las mismas. En otras palabras, el Docente se está inconformando porque, a su dicho, le están violentando sus derechos laborales.</w:t>
      </w:r>
    </w:p>
    <w:p w14:paraId="4719621C" w14:textId="77777777" w:rsidR="00AA008E" w:rsidRPr="00AA008E" w:rsidRDefault="00AA008E" w:rsidP="00AA008E">
      <w:pPr>
        <w:pStyle w:val="Prrafodelista"/>
        <w:rPr>
          <w:rFonts w:ascii="Palatino Linotype" w:eastAsia="Calibri" w:hAnsi="Palatino Linotype" w:cs="Arial"/>
          <w:sz w:val="24"/>
          <w:szCs w:val="24"/>
          <w:lang w:val="es-ES" w:eastAsia="es-ES"/>
        </w:rPr>
      </w:pPr>
    </w:p>
    <w:p w14:paraId="72C9E9C0" w14:textId="7E5F9A94" w:rsidR="00AA008E" w:rsidRDefault="00AA008E"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Dicha controversia no sólo radica en la existencia de oficios</w:t>
      </w:r>
      <w:r w:rsidR="00704CA4">
        <w:rPr>
          <w:rFonts w:ascii="Palatino Linotype" w:eastAsia="Calibri" w:hAnsi="Palatino Linotype" w:cs="Arial"/>
          <w:sz w:val="24"/>
          <w:szCs w:val="24"/>
          <w:lang w:val="es-ES" w:eastAsia="es-ES"/>
        </w:rPr>
        <w:t>, sino que se trata de un derecho de petición a la autoridad Educativa para que se le garanticen sus derechos laborales. Por tal motivo es necesario traer a contexto el artículo tercero, fracción VII y 123</w:t>
      </w:r>
    </w:p>
    <w:p w14:paraId="3712B4E9" w14:textId="77777777" w:rsidR="00704CA4" w:rsidRPr="00704CA4" w:rsidRDefault="00704CA4" w:rsidP="00704CA4">
      <w:pPr>
        <w:pStyle w:val="Prrafodelista"/>
        <w:rPr>
          <w:rFonts w:ascii="Palatino Linotype" w:eastAsia="Calibri" w:hAnsi="Palatino Linotype" w:cs="Arial"/>
          <w:sz w:val="24"/>
          <w:szCs w:val="24"/>
          <w:lang w:val="es-ES" w:eastAsia="es-ES"/>
        </w:rPr>
      </w:pPr>
    </w:p>
    <w:p w14:paraId="77815123" w14:textId="17E7E218" w:rsidR="00704CA4" w:rsidRPr="00704CA4"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704CA4">
        <w:rPr>
          <w:rFonts w:ascii="Palatino Linotype" w:hAnsi="Palatino Linotype"/>
          <w:i/>
        </w:rPr>
        <w:t xml:space="preserve">Artículo 3o. 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w:t>
      </w:r>
      <w:r w:rsidRPr="00704CA4">
        <w:rPr>
          <w:rFonts w:ascii="Palatino Linotype" w:hAnsi="Palatino Linotype"/>
          <w:i/>
        </w:rPr>
        <w:lastRenderedPageBreak/>
        <w:t>superior serán obligatorias, la educación superior lo será en términos de la fracción X del presente artículo. La educación inicial es un derecho de la niñez y será responsabilidad del Estado concientizar sobre su importancia</w:t>
      </w:r>
    </w:p>
    <w:p w14:paraId="35D96F90" w14:textId="6ABC7412" w:rsidR="00704CA4" w:rsidRPr="00704CA4" w:rsidRDefault="00704CA4" w:rsidP="00704CA4">
      <w:pPr>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704CA4">
        <w:rPr>
          <w:rFonts w:ascii="Palatino Linotype" w:hAnsi="Palatino Linotype"/>
          <w:i/>
        </w:rPr>
        <w:t>…</w:t>
      </w:r>
    </w:p>
    <w:p w14:paraId="2894CA03" w14:textId="31700ADD" w:rsidR="00704CA4"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704CA4">
        <w:rPr>
          <w:rFonts w:ascii="Palatino Linotype" w:hAnsi="Palatino Linotype"/>
          <w:i/>
        </w:rPr>
        <w:t>VII. 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14:paraId="0E74EA84" w14:textId="77777777" w:rsidR="00704CA4"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p>
    <w:p w14:paraId="36558047" w14:textId="29FC1482"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0577F1">
        <w:rPr>
          <w:rFonts w:ascii="Palatino Linotype" w:hAnsi="Palatino Linotype"/>
          <w:i/>
        </w:rPr>
        <w:t>Artículo 123. Toda persona tiene derecho al trabajo digno y socialmente útil; al efecto, se promoverán la creación de empleos y la organización social de trabajo, conforme a la ley.</w:t>
      </w:r>
    </w:p>
    <w:p w14:paraId="46AB92EC" w14:textId="2DADD04F"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0577F1">
        <w:rPr>
          <w:rFonts w:ascii="Palatino Linotype" w:hAnsi="Palatino Linotype"/>
          <w:i/>
        </w:rPr>
        <w:t>…</w:t>
      </w:r>
    </w:p>
    <w:p w14:paraId="001D2053" w14:textId="2D2EF802"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0577F1">
        <w:rPr>
          <w:rFonts w:ascii="Palatino Linotype" w:hAnsi="Palatino Linotype"/>
          <w:i/>
        </w:rPr>
        <w:t xml:space="preserve">XX. 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w:t>
      </w:r>
      <w:r w:rsidRPr="000577F1">
        <w:rPr>
          <w:rFonts w:ascii="Palatino Linotype" w:hAnsi="Palatino Linotype"/>
          <w:i/>
        </w:rPr>
        <w:lastRenderedPageBreak/>
        <w:t>según corresponda, y deberán contar con capacidad y experiencia en materia laboral. Sus sentencias y resoluciones deberán observar los principios de legalidad, imparcialidad, transparencia, autonomía e independencia.</w:t>
      </w:r>
    </w:p>
    <w:p w14:paraId="7DED3F16" w14:textId="77777777"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p>
    <w:p w14:paraId="35E279EA" w14:textId="77777777"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r w:rsidRPr="000577F1">
        <w:rPr>
          <w:rFonts w:ascii="Palatino Linotype" w:hAnsi="Palatino Linotype"/>
          <w:i/>
        </w:rPr>
        <w:t xml:space="preserve">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 </w:t>
      </w:r>
    </w:p>
    <w:p w14:paraId="60A2A313" w14:textId="77777777"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hAnsi="Palatino Linotype"/>
          <w:i/>
        </w:rPr>
      </w:pPr>
    </w:p>
    <w:p w14:paraId="119A3172" w14:textId="4C6BDA4D" w:rsidR="00704CA4" w:rsidRPr="000577F1" w:rsidRDefault="00704CA4" w:rsidP="00704CA4">
      <w:pPr>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0577F1">
        <w:rPr>
          <w:rFonts w:ascii="Palatino Linotype" w:hAnsi="Palatino Linotype"/>
          <w:i/>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14:paraId="07A6E466" w14:textId="77777777" w:rsidR="00704CA4" w:rsidRDefault="00704CA4" w:rsidP="00704CA4">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2AAA567E" w14:textId="77777777" w:rsidR="00026588" w:rsidRPr="00026588" w:rsidRDefault="00704CA4" w:rsidP="00026588">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Es así que, del tema que nos ocupa, se encuentran involucrados dos derechos </w:t>
      </w:r>
      <w:r w:rsidR="000577F1">
        <w:rPr>
          <w:rFonts w:ascii="Palatino Linotype" w:eastAsia="Calibri" w:hAnsi="Palatino Linotype" w:cs="Arial"/>
          <w:sz w:val="24"/>
          <w:szCs w:val="24"/>
          <w:lang w:val="es-ES" w:eastAsia="es-ES"/>
        </w:rPr>
        <w:t xml:space="preserve">fundamentales </w:t>
      </w:r>
      <w:r>
        <w:rPr>
          <w:rFonts w:ascii="Palatino Linotype" w:eastAsia="Calibri" w:hAnsi="Palatino Linotype" w:cs="Arial"/>
          <w:sz w:val="24"/>
          <w:szCs w:val="24"/>
          <w:lang w:val="es-ES" w:eastAsia="es-ES"/>
        </w:rPr>
        <w:t>que son, el derecho a la educación y el derecho al trabajo.</w:t>
      </w:r>
      <w:r w:rsidR="000577F1">
        <w:rPr>
          <w:rFonts w:ascii="Palatino Linotype" w:eastAsia="Calibri" w:hAnsi="Palatino Linotype" w:cs="Arial"/>
          <w:sz w:val="24"/>
          <w:szCs w:val="24"/>
          <w:lang w:val="es-ES" w:eastAsia="es-ES"/>
        </w:rPr>
        <w:t xml:space="preserve"> Siendo que desde la óptica del Docente con la promoción de su escrito de petición se le </w:t>
      </w:r>
      <w:r w:rsidR="000577F1">
        <w:rPr>
          <w:rFonts w:ascii="Palatino Linotype" w:eastAsia="Calibri" w:hAnsi="Palatino Linotype" w:cs="Arial"/>
          <w:sz w:val="24"/>
          <w:szCs w:val="24"/>
          <w:lang w:val="es-ES" w:eastAsia="es-ES"/>
        </w:rPr>
        <w:lastRenderedPageBreak/>
        <w:t xml:space="preserve">violentaron sus derechos laborales. Entonces, al tratarse de un servidor público, su relación laboral está regulada por la Ley del Trabajo de los Servidores Públicos del Estado y Municipios, la cual es </w:t>
      </w:r>
      <w:r w:rsidR="000577F1" w:rsidRPr="000577F1">
        <w:rPr>
          <w:rFonts w:ascii="Palatino Linotype" w:hAnsi="Palatino Linotype"/>
          <w:sz w:val="24"/>
        </w:rPr>
        <w:t>de orden público e interés social y tiene por objeto regular las relaciones de trabajo, comprendidas entre los poderes públicos del Estado y los Municipios y sus respectivos servidores públicos.</w:t>
      </w:r>
      <w:r w:rsidR="000577F1">
        <w:rPr>
          <w:rFonts w:ascii="Palatino Linotype" w:hAnsi="Palatino Linotype"/>
          <w:sz w:val="24"/>
        </w:rPr>
        <w:t xml:space="preserve"> Por lo que, dicha situación puede dirimirse ante el Tribunal Esta</w:t>
      </w:r>
      <w:r w:rsidR="00026588">
        <w:rPr>
          <w:rFonts w:ascii="Palatino Linotype" w:hAnsi="Palatino Linotype"/>
          <w:sz w:val="24"/>
        </w:rPr>
        <w:t>tal de Conciliación y Arbitraje en caso de que existiera una controversia laboral.</w:t>
      </w:r>
    </w:p>
    <w:p w14:paraId="569D7C79" w14:textId="63C4F8F0" w:rsidR="000577F1" w:rsidRDefault="00026588" w:rsidP="00026588">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 </w:t>
      </w:r>
    </w:p>
    <w:p w14:paraId="14B618C1" w14:textId="221305FB" w:rsidR="005B2181" w:rsidRPr="00026588" w:rsidRDefault="00026588" w:rsidP="001E1D9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026588">
        <w:rPr>
          <w:rFonts w:ascii="Palatino Linotype" w:eastAsia="Calibri" w:hAnsi="Palatino Linotype" w:cs="Arial"/>
          <w:sz w:val="24"/>
          <w:szCs w:val="24"/>
          <w:lang w:val="es-ES" w:eastAsia="es-ES"/>
        </w:rPr>
        <w:t>Por otro lado, el tema a tratar puede tratarse por vía administrativa, ya que existen actos de autoridad de carácter administrativos, por lo que e</w:t>
      </w:r>
      <w:r w:rsidR="005B2181" w:rsidRPr="00026588">
        <w:rPr>
          <w:rFonts w:ascii="Palatino Linotype" w:eastAsia="Calibri" w:hAnsi="Palatino Linotype" w:cs="Arial"/>
          <w:sz w:val="24"/>
          <w:szCs w:val="24"/>
          <w:lang w:val="es-ES" w:eastAsia="es-ES"/>
        </w:rPr>
        <w:t>s necesario traer a contexto el Código Administrativo del Estado de México en el artículo 1.1 y 1.2 los cuales disponen lo siguiente:</w:t>
      </w:r>
    </w:p>
    <w:p w14:paraId="0BA9A5E1" w14:textId="77777777" w:rsidR="005B2181" w:rsidRPr="005B2181" w:rsidRDefault="005B2181" w:rsidP="005B2181">
      <w:pPr>
        <w:pStyle w:val="Prrafodelista"/>
        <w:rPr>
          <w:rFonts w:ascii="Palatino Linotype" w:eastAsia="Calibri" w:hAnsi="Palatino Linotype" w:cs="Arial"/>
          <w:sz w:val="24"/>
          <w:szCs w:val="24"/>
          <w:highlight w:val="yellow"/>
          <w:lang w:val="es-ES" w:eastAsia="es-ES"/>
        </w:rPr>
      </w:pPr>
    </w:p>
    <w:p w14:paraId="0DF1ADEA" w14:textId="77777777" w:rsidR="005B2181" w:rsidRDefault="005B2181" w:rsidP="005B2181">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highlight w:val="yellow"/>
          <w:lang w:val="es-ES" w:eastAsia="es-ES"/>
        </w:rPr>
      </w:pPr>
    </w:p>
    <w:p w14:paraId="08B75515" w14:textId="504E2FAC" w:rsidR="005B2181" w:rsidRPr="005B2181" w:rsidRDefault="005B2181" w:rsidP="005B2181">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5B2181">
        <w:rPr>
          <w:rFonts w:ascii="Palatino Linotype" w:hAnsi="Palatino Linotype"/>
          <w:b/>
          <w:i/>
        </w:rPr>
        <w:t>TITULO PRIMERO</w:t>
      </w:r>
    </w:p>
    <w:p w14:paraId="64BBC680"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5B2181">
        <w:rPr>
          <w:rFonts w:ascii="Palatino Linotype" w:hAnsi="Palatino Linotype"/>
          <w:b/>
          <w:i/>
        </w:rPr>
        <w:t>Del objeto</w:t>
      </w:r>
    </w:p>
    <w:p w14:paraId="2FCE5C10"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Artículo 1.1.- Las disposiciones de este Código son de orden público e interés general, y tienen por objeto regular las materias que se señalan a continuación, a fin de promover el desarrollo social y económico en el Estado de México: </w:t>
      </w:r>
    </w:p>
    <w:p w14:paraId="35A38964"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I. Salud; </w:t>
      </w:r>
    </w:p>
    <w:p w14:paraId="332DD9F2"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II. Educación, ejercicio profesional, investigación científica y tecnológica, cultura, deporte, juventud, instalaciones educativas y mérito civil; </w:t>
      </w:r>
    </w:p>
    <w:p w14:paraId="331F6355"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III. Derogada. </w:t>
      </w:r>
    </w:p>
    <w:p w14:paraId="6BB311AE"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lastRenderedPageBreak/>
        <w:t xml:space="preserve">IV. Ordenamiento territorial de los asentamientos humanos y del desarrollo urbano de los centros de población; </w:t>
      </w:r>
    </w:p>
    <w:p w14:paraId="34CAB0E9"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V. Protección civil; </w:t>
      </w:r>
    </w:p>
    <w:p w14:paraId="7A2CE4A3"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VI. Transporte;</w:t>
      </w:r>
    </w:p>
    <w:p w14:paraId="084E1647"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VII. Tránsito y estacionamientos;</w:t>
      </w:r>
    </w:p>
    <w:p w14:paraId="1C56FEF7"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VIII. Fomento y desarrollo agropecuario y acuícola;</w:t>
      </w:r>
    </w:p>
    <w:p w14:paraId="3DDE992C"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IX. Derogada. </w:t>
      </w:r>
    </w:p>
    <w:p w14:paraId="63B8359A"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 Derogada. </w:t>
      </w:r>
    </w:p>
    <w:p w14:paraId="2405D13A"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XI. Obra pública; </w:t>
      </w:r>
    </w:p>
    <w:p w14:paraId="22832F30"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XII. Derogada. </w:t>
      </w:r>
    </w:p>
    <w:p w14:paraId="6B39438E"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XIII. Información e investigación geográfica, estadística y catastral; </w:t>
      </w:r>
    </w:p>
    <w:p w14:paraId="35CFAB25"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XIV. Derogada. </w:t>
      </w:r>
    </w:p>
    <w:p w14:paraId="524A0D3E"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XV. Derogada. </w:t>
      </w:r>
    </w:p>
    <w:p w14:paraId="355514CE"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XVI. Comunicaciones; </w:t>
      </w:r>
    </w:p>
    <w:p w14:paraId="1087E5F1" w14:textId="77777777"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 xml:space="preserve">XVII. Construcciones, y </w:t>
      </w:r>
    </w:p>
    <w:p w14:paraId="19D83AA8" w14:textId="488CF8E3"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highlight w:val="yellow"/>
          <w:lang w:val="es-ES" w:eastAsia="es-ES"/>
        </w:rPr>
      </w:pPr>
      <w:r w:rsidRPr="005B2181">
        <w:rPr>
          <w:rFonts w:ascii="Palatino Linotype" w:hAnsi="Palatino Linotype"/>
          <w:i/>
        </w:rPr>
        <w:t>XVIII. Operaciones y servicios inmobiliarios</w:t>
      </w:r>
    </w:p>
    <w:p w14:paraId="2B8619AF" w14:textId="77777777" w:rsidR="005B2181" w:rsidRPr="005B2181" w:rsidRDefault="005B2181" w:rsidP="005B2181">
      <w:pPr>
        <w:pStyle w:val="Prrafodelista"/>
        <w:ind w:left="567" w:right="616"/>
        <w:rPr>
          <w:rFonts w:ascii="Palatino Linotype" w:eastAsia="Calibri" w:hAnsi="Palatino Linotype" w:cs="Arial"/>
          <w:i/>
          <w:sz w:val="24"/>
          <w:szCs w:val="24"/>
          <w:highlight w:val="yellow"/>
          <w:lang w:val="es-ES" w:eastAsia="es-ES"/>
        </w:rPr>
      </w:pPr>
    </w:p>
    <w:p w14:paraId="1C6FBDEC" w14:textId="34C1B8C5" w:rsidR="005B2181" w:rsidRPr="005B2181" w:rsidRDefault="005B2181" w:rsidP="005B2181">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5B2181">
        <w:rPr>
          <w:rFonts w:ascii="Palatino Linotype" w:hAnsi="Palatino Linotype"/>
          <w:i/>
        </w:rPr>
        <w:t>Artículo 1.2.- Los actos, procedimientos y convenios que dicten, ejecuten o suscriban las autoridades en las materias reguladas por este Código, así como los procesos administrativos que se susciten por la aplicación del mismo, se emitirán, tramitarán y resolverán conforme a las disposiciones de este Código y el de Procedimientos Administrativos del Estado de México. Serán nulos cuando se emitan en contravención a dichas disposiciones.</w:t>
      </w:r>
    </w:p>
    <w:p w14:paraId="06DA1E3C" w14:textId="77777777" w:rsidR="005B2181" w:rsidRDefault="005B2181" w:rsidP="005B2181">
      <w:pPr>
        <w:pStyle w:val="Prrafodelista"/>
        <w:pBdr>
          <w:top w:val="nil"/>
          <w:left w:val="nil"/>
          <w:bottom w:val="nil"/>
          <w:right w:val="nil"/>
          <w:between w:val="nil"/>
          <w:bar w:val="nil"/>
        </w:pBdr>
        <w:spacing w:after="0" w:line="360" w:lineRule="auto"/>
        <w:ind w:left="0"/>
        <w:jc w:val="both"/>
      </w:pPr>
    </w:p>
    <w:p w14:paraId="08641D2B" w14:textId="67C2AAC1" w:rsidR="005B2181" w:rsidRPr="00A078B9" w:rsidRDefault="0086476A"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E</w:t>
      </w:r>
      <w:r w:rsidR="005B2181" w:rsidRPr="00A078B9">
        <w:rPr>
          <w:rFonts w:ascii="Palatino Linotype" w:eastAsia="Calibri" w:hAnsi="Palatino Linotype" w:cs="Arial"/>
          <w:sz w:val="24"/>
          <w:szCs w:val="24"/>
          <w:lang w:val="es-ES" w:eastAsia="es-ES"/>
        </w:rPr>
        <w:t>l Código Administrativos del Estado de México regula los actos administrativos que realizan las autoridades del Estado de México bajo los parámetros que establece el Código de Procedimientos Administrativos del Estado de México.</w:t>
      </w:r>
      <w:r w:rsidR="00A078B9" w:rsidRPr="00A078B9">
        <w:rPr>
          <w:rFonts w:ascii="Palatino Linotype" w:eastAsia="Calibri" w:hAnsi="Palatino Linotype" w:cs="Arial"/>
          <w:sz w:val="24"/>
          <w:szCs w:val="24"/>
          <w:lang w:val="es-ES" w:eastAsia="es-ES"/>
        </w:rPr>
        <w:t xml:space="preserve"> Éste último ordenamiento define los actos administrativos como </w:t>
      </w:r>
      <w:r w:rsidR="00A078B9" w:rsidRPr="00A078B9">
        <w:rPr>
          <w:rFonts w:ascii="Palatino Linotype" w:eastAsia="Calibri" w:hAnsi="Palatino Linotype" w:cs="Arial"/>
          <w:i/>
          <w:szCs w:val="24"/>
          <w:lang w:val="es-ES" w:eastAsia="es-ES"/>
        </w:rPr>
        <w:t>la declaración unilateral de la voluntad, externa y de carácter individual, emanada de las autoridades de las dependencias del Poder Ejecutivo del Estado, de los municipios y de los organismos descentralizados de carácter estatal y municipal que tiene por objeto crear, transmitir, modificar o extinguir una situación jurídica concreta.</w:t>
      </w:r>
    </w:p>
    <w:p w14:paraId="03BFAC9A" w14:textId="77777777" w:rsidR="005B2181" w:rsidRPr="00A078B9" w:rsidRDefault="005B2181" w:rsidP="005B2181">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6B4D4957" w14:textId="08A38703" w:rsidR="005B2181" w:rsidRDefault="00A078B9"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El Código de Procedimientos en análisis </w:t>
      </w:r>
      <w:r w:rsidR="0086476A">
        <w:rPr>
          <w:rFonts w:ascii="Palatino Linotype" w:eastAsia="Calibri" w:hAnsi="Palatino Linotype" w:cs="Arial"/>
          <w:sz w:val="24"/>
          <w:szCs w:val="24"/>
          <w:lang w:val="es-ES" w:eastAsia="es-ES"/>
        </w:rPr>
        <w:t>establece lo siguiente, en relación a los procedimientos administrativos:</w:t>
      </w:r>
    </w:p>
    <w:p w14:paraId="6446E21B" w14:textId="77777777" w:rsidR="00A078B9" w:rsidRPr="00A078B9" w:rsidRDefault="00A078B9" w:rsidP="00A078B9">
      <w:pPr>
        <w:pStyle w:val="Prrafodelista"/>
        <w:rPr>
          <w:rFonts w:ascii="Palatino Linotype" w:eastAsia="Calibri" w:hAnsi="Palatino Linotype" w:cs="Arial"/>
          <w:b/>
          <w:sz w:val="24"/>
          <w:szCs w:val="24"/>
          <w:lang w:val="es-ES" w:eastAsia="es-ES"/>
        </w:rPr>
      </w:pPr>
    </w:p>
    <w:p w14:paraId="4F2D4B15"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TITULO SEGUNDO</w:t>
      </w:r>
    </w:p>
    <w:p w14:paraId="3FCCB22F" w14:textId="598E9074"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Del Procedimiento Administrativo</w:t>
      </w:r>
    </w:p>
    <w:p w14:paraId="684CD0BB" w14:textId="4D48A71A"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CAPÍTULO PRIMERO</w:t>
      </w:r>
    </w:p>
    <w:p w14:paraId="2EEF671B" w14:textId="65F094EF"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De las Disposiciones Generales</w:t>
      </w:r>
    </w:p>
    <w:p w14:paraId="773F7F09"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59F9805E" w14:textId="7D179CE5"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Artículo 106.- El procedimiento administrativo ante las dependencias del Poder Ejecutivo del Estado, los municipios y los organismos auxiliares con funciones de autoridad de carácter estatal y municipal, se iniciará, tramitará y decidirá con arreglo a las disposiciones de los títulos primero y segundo del presente Código.</w:t>
      </w:r>
    </w:p>
    <w:p w14:paraId="75E79C22"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0DEAE99E" w14:textId="2274CCF5"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lastRenderedPageBreak/>
        <w:t>Artículo 110.- El procedimiento administrativo puede ser común o especial. Sólo se regula como procedimiento de carácter especial, al procedimiento administrativo de ejecución y al recurso administrativo de inconformidad.</w:t>
      </w:r>
    </w:p>
    <w:p w14:paraId="4D33FF10"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7AD1ECA2"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CAPÍTULO SEGUNDO</w:t>
      </w:r>
    </w:p>
    <w:p w14:paraId="7F8AF24F" w14:textId="358A1068"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Del Procedimiento Administrativo Común</w:t>
      </w:r>
    </w:p>
    <w:p w14:paraId="6B563D3E"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SECCIÓN PRIMERA</w:t>
      </w:r>
    </w:p>
    <w:p w14:paraId="35EE190A" w14:textId="1363315C" w:rsidR="00A078B9" w:rsidRPr="00BB71A5" w:rsidRDefault="00A078B9" w:rsidP="00BB71A5">
      <w:pPr>
        <w:pStyle w:val="Prrafodelista"/>
        <w:pBdr>
          <w:top w:val="nil"/>
          <w:left w:val="nil"/>
          <w:bottom w:val="nil"/>
          <w:right w:val="nil"/>
          <w:between w:val="nil"/>
          <w:bar w:val="nil"/>
        </w:pBdr>
        <w:spacing w:after="0" w:line="360" w:lineRule="auto"/>
        <w:ind w:left="567" w:right="616"/>
        <w:jc w:val="center"/>
        <w:rPr>
          <w:rFonts w:ascii="Palatino Linotype" w:hAnsi="Palatino Linotype"/>
          <w:b/>
          <w:i/>
        </w:rPr>
      </w:pPr>
      <w:r w:rsidRPr="00BB71A5">
        <w:rPr>
          <w:rFonts w:ascii="Palatino Linotype" w:hAnsi="Palatino Linotype"/>
          <w:b/>
          <w:i/>
        </w:rPr>
        <w:t>De la Iniciación del Procedimiento</w:t>
      </w:r>
    </w:p>
    <w:p w14:paraId="574E1100"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 xml:space="preserve">Artículo 113.- El procedimiento administrativo podrá iniciarse de oficio por las autoridades administrativas o a petición de los particulares interesados. </w:t>
      </w:r>
    </w:p>
    <w:p w14:paraId="594D5E79" w14:textId="68EF0B1C"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Artículo 114.- El procedimiento se iniciará de oficio por acuerdo escrito de autoridad administrativa competente, en los casos que señalen las disposiciones legales aplicables. Con anterioridad al acuerdo de iniciación del procedimiento, la autoridad podrá abrir un período de información previa, con el fin de conocer las circunstancias del caso concreto y estar en posibilidad de determinar la conveniencia o no de iniciar el procedimiento.</w:t>
      </w:r>
    </w:p>
    <w:p w14:paraId="5F695942"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521907A4"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 xml:space="preserve">Artículo 115.- Las peticiones podrán formularse por los particulares en cualquier tiempo mientras no se hayan extinguido los derechos que invocan, en términos de las disposiciones legales aplicables, salvo los casos en que éstas señalen un plazo determinado. </w:t>
      </w:r>
    </w:p>
    <w:p w14:paraId="314FD48A"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0B028A40" w14:textId="77777777" w:rsidR="00BB71A5"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 xml:space="preserve">Artículo 116.- La petición de los particulares deberá hacerse por escrito, en el que se señale: </w:t>
      </w:r>
    </w:p>
    <w:p w14:paraId="3E4014AC" w14:textId="77777777" w:rsidR="00BB71A5"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I. La autoridad a la que se dirige; </w:t>
      </w:r>
    </w:p>
    <w:p w14:paraId="56374AF6" w14:textId="77777777" w:rsidR="00BB71A5"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lastRenderedPageBreak/>
        <w:t xml:space="preserve">II. El nombre del peticionario y, en su caso, de quien promueva en su nombre; </w:t>
      </w:r>
    </w:p>
    <w:p w14:paraId="15006773" w14:textId="77777777" w:rsidR="00BB71A5"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III. El domicilio para recibir notificaciones, que deberá estar ubicado en el territorio del Estado; </w:t>
      </w:r>
    </w:p>
    <w:p w14:paraId="081A094F" w14:textId="77777777" w:rsidR="00BB71A5"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IV. Los planteamientos o solicitudes que se hagan; </w:t>
      </w:r>
    </w:p>
    <w:p w14:paraId="618A5A4C" w14:textId="77777777" w:rsidR="00BB71A5"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V. Las disposiciones legales en que se sustente, de ser posible; y </w:t>
      </w:r>
    </w:p>
    <w:p w14:paraId="679213B6" w14:textId="13B6FBE4" w:rsidR="00A078B9" w:rsidRPr="00BB71A5" w:rsidRDefault="00A078B9"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VI. Las pruebas que se ofrezcan, en su caso.</w:t>
      </w:r>
    </w:p>
    <w:p w14:paraId="082E21A6"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rPr>
          <w:rFonts w:ascii="Palatino Linotype" w:hAnsi="Palatino Linotype"/>
          <w:i/>
        </w:rPr>
      </w:pPr>
    </w:p>
    <w:p w14:paraId="6EBEA918" w14:textId="77777777" w:rsidR="00BB71A5" w:rsidRPr="00BB71A5" w:rsidRDefault="00BB71A5"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 xml:space="preserve">Artículo 117.- En las peticiones en las que se formulen denuncias o quejas que se presenten ante las autoridades administrativas competentes, en contra de la conducta de servidores públicos estatales y municipales, los particulares interesados podrán solicitar el pago de daños y perjuicios causados por aquéllos, en forma directa y clara, en el ejercicio de las funciones que les están encomendadas, ofreciendo pruebas específicas que acrediten la existencia de los mismos. Artículo </w:t>
      </w:r>
    </w:p>
    <w:p w14:paraId="2F990E06" w14:textId="77777777" w:rsidR="00BB71A5" w:rsidRPr="00BB71A5" w:rsidRDefault="00BB71A5"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1DBBC84F" w14:textId="77777777" w:rsidR="00BB71A5" w:rsidRPr="00BB71A5" w:rsidRDefault="00BB71A5" w:rsidP="00BB71A5">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BB71A5">
        <w:rPr>
          <w:rFonts w:ascii="Palatino Linotype" w:hAnsi="Palatino Linotype"/>
          <w:i/>
        </w:rPr>
        <w:t xml:space="preserve">118.- El particular deberá adjuntar al escrito de petición: </w:t>
      </w:r>
    </w:p>
    <w:p w14:paraId="4DB695CF" w14:textId="77777777" w:rsidR="00BB71A5" w:rsidRPr="00BB71A5" w:rsidRDefault="00BB71A5"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I. El documento que acredite su personalidad, cuando no se gestione a nombre propio; </w:t>
      </w:r>
    </w:p>
    <w:p w14:paraId="77F01740" w14:textId="77777777" w:rsidR="00BB71A5" w:rsidRPr="00BB71A5" w:rsidRDefault="00BB71A5"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 xml:space="preserve">II. Los documentos que ofrezca como prueba, en su caso; y </w:t>
      </w:r>
    </w:p>
    <w:p w14:paraId="6CCDA10A" w14:textId="50B8EFC1" w:rsidR="00A078B9" w:rsidRPr="00BB71A5" w:rsidRDefault="00BB71A5" w:rsidP="00BB71A5">
      <w:pPr>
        <w:pStyle w:val="Prrafodelista"/>
        <w:pBdr>
          <w:top w:val="nil"/>
          <w:left w:val="nil"/>
          <w:bottom w:val="nil"/>
          <w:right w:val="nil"/>
          <w:between w:val="nil"/>
          <w:bar w:val="nil"/>
        </w:pBdr>
        <w:spacing w:after="0" w:line="360" w:lineRule="auto"/>
        <w:ind w:left="851" w:right="616"/>
        <w:jc w:val="both"/>
        <w:rPr>
          <w:rFonts w:ascii="Palatino Linotype" w:hAnsi="Palatino Linotype"/>
          <w:i/>
        </w:rPr>
      </w:pPr>
      <w:r w:rsidRPr="00BB71A5">
        <w:rPr>
          <w:rFonts w:ascii="Palatino Linotype" w:hAnsi="Palatino Linotype"/>
          <w:i/>
        </w:rPr>
        <w:t>III. El pliego de posiciones y el cuestionario para los peritos, en el supuesto de ofrecimiento de estas pruebas.</w:t>
      </w:r>
    </w:p>
    <w:p w14:paraId="5ECCE665" w14:textId="77777777" w:rsidR="00A078B9" w:rsidRPr="00BB71A5" w:rsidRDefault="00A078B9" w:rsidP="00BB71A5">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61D2A28B" w14:textId="12908481" w:rsidR="00BB71A5" w:rsidRPr="00BB71A5" w:rsidRDefault="00BB71A5" w:rsidP="00BB71A5">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BB71A5">
        <w:rPr>
          <w:rFonts w:ascii="Palatino Linotype" w:hAnsi="Palatino Linotype"/>
          <w:i/>
        </w:rPr>
        <w:t xml:space="preserve">Artículo 120.- Los escritos dirigidos a las autoridades administrativas deberán presentarse directamente en las oficinas autorizadas para tales efectos o enviarse mediante correo o mensajería. Los escritos enviados por correo o mensajería, se </w:t>
      </w:r>
      <w:r w:rsidRPr="00BB71A5">
        <w:rPr>
          <w:rFonts w:ascii="Palatino Linotype" w:hAnsi="Palatino Linotype"/>
          <w:i/>
        </w:rPr>
        <w:lastRenderedPageBreak/>
        <w:t>considerarán presentados en las fechas que indique el sello o instrumento fechador de remisión</w:t>
      </w:r>
    </w:p>
    <w:p w14:paraId="68B289C2" w14:textId="77777777" w:rsidR="00BB71A5" w:rsidRPr="00A078B9" w:rsidRDefault="00BB71A5" w:rsidP="00BB71A5">
      <w:pPr>
        <w:pStyle w:val="Prrafodelista"/>
        <w:pBdr>
          <w:top w:val="nil"/>
          <w:left w:val="nil"/>
          <w:bottom w:val="nil"/>
          <w:right w:val="nil"/>
          <w:between w:val="nil"/>
          <w:bar w:val="nil"/>
        </w:pBdr>
        <w:spacing w:after="0" w:line="360" w:lineRule="auto"/>
        <w:ind w:left="0"/>
        <w:rPr>
          <w:rFonts w:ascii="Palatino Linotype" w:eastAsia="Calibri" w:hAnsi="Palatino Linotype" w:cs="Arial"/>
          <w:sz w:val="24"/>
          <w:szCs w:val="24"/>
          <w:lang w:val="es-ES" w:eastAsia="es-ES"/>
        </w:rPr>
      </w:pPr>
    </w:p>
    <w:p w14:paraId="18623DBA" w14:textId="0CB0FE20" w:rsidR="00A078B9" w:rsidRDefault="00BB71A5" w:rsidP="00E46D5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Los procedimientos administrativos se inician de oficio o a petición de parte, con un escrito que contenga</w:t>
      </w:r>
      <w:r w:rsidR="00E96877">
        <w:rPr>
          <w:rFonts w:ascii="Palatino Linotype" w:eastAsia="Calibri" w:hAnsi="Palatino Linotype" w:cs="Arial"/>
          <w:sz w:val="24"/>
          <w:szCs w:val="24"/>
          <w:lang w:val="es-ES" w:eastAsia="es-ES"/>
        </w:rPr>
        <w:t>:</w:t>
      </w:r>
      <w:r>
        <w:rPr>
          <w:rFonts w:ascii="Palatino Linotype" w:eastAsia="Calibri" w:hAnsi="Palatino Linotype" w:cs="Arial"/>
          <w:sz w:val="24"/>
          <w:szCs w:val="24"/>
          <w:lang w:val="es-ES" w:eastAsia="es-ES"/>
        </w:rPr>
        <w:t xml:space="preserve"> la autoridad a la que se dirige, nombre del peticionario, domicilio, planteamientos o solicitudes y pruebas, en su caso. </w:t>
      </w:r>
      <w:r w:rsidR="00E96877">
        <w:rPr>
          <w:rFonts w:ascii="Palatino Linotype" w:eastAsia="Calibri" w:hAnsi="Palatino Linotype" w:cs="Arial"/>
          <w:sz w:val="24"/>
          <w:szCs w:val="24"/>
          <w:lang w:val="es-ES" w:eastAsia="es-ES"/>
        </w:rPr>
        <w:t xml:space="preserve">Esto es que, el Servidor Público ya realizó la petición a la autoridad, por lo que la respuesta es un elemento indispensable para accionar procedimientos administrativos o laborales, a decisión del particular; sin embargo, de ahí la relevancia de que sea notificado </w:t>
      </w:r>
    </w:p>
    <w:p w14:paraId="108EA52F" w14:textId="77777777" w:rsidR="00BB71A5" w:rsidRDefault="00BB71A5" w:rsidP="00BB71A5">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2FE84F6B" w14:textId="5DAACC1D" w:rsidR="00E96877" w:rsidRDefault="004A4005" w:rsidP="0014503B">
      <w:pPr>
        <w:pBdr>
          <w:top w:val="nil"/>
          <w:left w:val="nil"/>
          <w:bottom w:val="nil"/>
          <w:right w:val="nil"/>
          <w:between w:val="nil"/>
          <w:bar w:val="nil"/>
        </w:pBdr>
        <w:spacing w:after="0" w:line="360" w:lineRule="auto"/>
        <w:ind w:left="567" w:right="616"/>
        <w:jc w:val="both"/>
        <w:rPr>
          <w:rFonts w:ascii="Palatino Linotype" w:hAnsi="Palatino Linotype"/>
          <w:i/>
          <w:highlight w:val="yellow"/>
        </w:rPr>
      </w:pPr>
      <w:r w:rsidRPr="004A4005">
        <w:rPr>
          <w:rFonts w:ascii="Palatino Linotype" w:hAnsi="Palatino Linotype"/>
          <w:i/>
        </w:rPr>
        <w:t xml:space="preserve">Artículo 188.- </w:t>
      </w:r>
      <w:r w:rsidRPr="00A50F6C">
        <w:rPr>
          <w:rFonts w:ascii="Palatino Linotype" w:hAnsi="Palatino Linotype"/>
          <w:b/>
          <w:i/>
          <w:u w:val="single"/>
        </w:rPr>
        <w:t>El escrito de interposición del recurso deberá presentarse ante la autoridad administrativa competente o ante la propia autoridad que emitió o ejecutó el acto impugnado dentro de los 15 días siguientes al en que surta efectos su notificación</w:t>
      </w:r>
      <w:r w:rsidRPr="004A4005">
        <w:rPr>
          <w:rFonts w:ascii="Palatino Linotype" w:hAnsi="Palatino Linotype"/>
          <w:i/>
        </w:rPr>
        <w:t xml:space="preserve">. También podrá enviarse el recurso por correo certificado con acuse de recibo, caso en que se </w:t>
      </w:r>
      <w:r w:rsidRPr="00A50F6C">
        <w:rPr>
          <w:rFonts w:ascii="Palatino Linotype" w:hAnsi="Palatino Linotype"/>
          <w:i/>
        </w:rPr>
        <w:t>tendrá como fecha de presentación del escrito la del día en que se deposite en la oficina de correos</w:t>
      </w:r>
    </w:p>
    <w:p w14:paraId="7C65612E" w14:textId="77777777" w:rsidR="0014503B" w:rsidRPr="0014503B" w:rsidRDefault="0014503B" w:rsidP="0014503B">
      <w:pPr>
        <w:pBdr>
          <w:top w:val="nil"/>
          <w:left w:val="nil"/>
          <w:bottom w:val="nil"/>
          <w:right w:val="nil"/>
          <w:between w:val="nil"/>
          <w:bar w:val="nil"/>
        </w:pBdr>
        <w:spacing w:after="0" w:line="360" w:lineRule="auto"/>
        <w:ind w:left="567" w:right="616"/>
        <w:jc w:val="both"/>
        <w:rPr>
          <w:rFonts w:ascii="Palatino Linotype" w:hAnsi="Palatino Linotype"/>
          <w:i/>
          <w:highlight w:val="yellow"/>
        </w:rPr>
      </w:pPr>
    </w:p>
    <w:p w14:paraId="748BA1D5" w14:textId="1D344214" w:rsidR="0014503B" w:rsidRDefault="004A4005" w:rsidP="0014503B">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15362D">
        <w:rPr>
          <w:rFonts w:ascii="Palatino Linotype" w:eastAsia="Calibri" w:hAnsi="Palatino Linotype" w:cs="Arial"/>
          <w:sz w:val="24"/>
          <w:szCs w:val="24"/>
          <w:lang w:val="es-ES" w:eastAsia="es-ES"/>
        </w:rPr>
        <w:t xml:space="preserve">Es así que, ante los actos administrativos que realicen las autoridades administrativas, se puede interponer recurso de inconformidad, el cual deberá presentarse ante la autoridad administrativa competente o ante la propia autoridad que emitió o ejecutó el acto impugnado, </w:t>
      </w:r>
      <w:r w:rsidR="0014503B" w:rsidRPr="0015362D">
        <w:rPr>
          <w:rFonts w:ascii="Palatino Linotype" w:eastAsia="Calibri" w:hAnsi="Palatino Linotype" w:cs="Arial"/>
          <w:sz w:val="24"/>
          <w:szCs w:val="24"/>
          <w:lang w:val="es-ES" w:eastAsia="es-ES"/>
        </w:rPr>
        <w:t xml:space="preserve">dicha interposición </w:t>
      </w:r>
      <w:r w:rsidRPr="0015362D">
        <w:rPr>
          <w:rFonts w:ascii="Palatino Linotype" w:eastAsia="Calibri" w:hAnsi="Palatino Linotype" w:cs="Arial"/>
          <w:b/>
          <w:sz w:val="24"/>
          <w:szCs w:val="24"/>
          <w:lang w:val="es-ES" w:eastAsia="es-ES"/>
        </w:rPr>
        <w:t>deberá ser dentro de los 15 días siguientes al que surta efectos la notificación.</w:t>
      </w:r>
      <w:r w:rsidR="0014503B" w:rsidRPr="0015362D">
        <w:rPr>
          <w:rFonts w:ascii="Palatino Linotype" w:eastAsia="Calibri" w:hAnsi="Palatino Linotype" w:cs="Arial"/>
          <w:b/>
          <w:sz w:val="24"/>
          <w:szCs w:val="24"/>
          <w:lang w:val="es-ES" w:eastAsia="es-ES"/>
        </w:rPr>
        <w:t xml:space="preserve"> </w:t>
      </w:r>
      <w:r w:rsidR="0014503B" w:rsidRPr="0015362D">
        <w:rPr>
          <w:rFonts w:ascii="Palatino Linotype" w:eastAsia="Calibri" w:hAnsi="Palatino Linotype" w:cs="Arial"/>
          <w:sz w:val="24"/>
          <w:szCs w:val="24"/>
          <w:lang w:val="es-ES" w:eastAsia="es-ES"/>
        </w:rPr>
        <w:t xml:space="preserve">De este último elemento es que resulta indispensable que previo a la publicidad del oficio de mérito, ya sea </w:t>
      </w:r>
      <w:r w:rsidR="0014503B" w:rsidRPr="0015362D">
        <w:rPr>
          <w:rFonts w:ascii="Palatino Linotype" w:eastAsia="Calibri" w:hAnsi="Palatino Linotype" w:cs="Arial"/>
          <w:sz w:val="24"/>
          <w:szCs w:val="24"/>
          <w:lang w:val="es-ES" w:eastAsia="es-ES"/>
        </w:rPr>
        <w:lastRenderedPageBreak/>
        <w:t>como acceso a datos personales o a través del acceso a la información pública</w:t>
      </w:r>
      <w:r w:rsidR="0015362D" w:rsidRPr="0015362D">
        <w:rPr>
          <w:rFonts w:ascii="Palatino Linotype" w:eastAsia="Calibri" w:hAnsi="Palatino Linotype" w:cs="Arial"/>
          <w:sz w:val="24"/>
          <w:szCs w:val="24"/>
          <w:lang w:val="es-ES" w:eastAsia="es-ES"/>
        </w:rPr>
        <w:t>,</w:t>
      </w:r>
      <w:r w:rsidR="0014503B" w:rsidRPr="0015362D">
        <w:rPr>
          <w:rFonts w:ascii="Palatino Linotype" w:eastAsia="Calibri" w:hAnsi="Palatino Linotype" w:cs="Arial"/>
          <w:sz w:val="24"/>
          <w:szCs w:val="24"/>
          <w:lang w:val="es-ES" w:eastAsia="es-ES"/>
        </w:rPr>
        <w:t xml:space="preserve"> es necesario que el promovente acuda a las oficinas de la autoridad a recogerlo personalmente, ya que una vez </w:t>
      </w:r>
      <w:r w:rsidR="0015362D" w:rsidRPr="0015362D">
        <w:rPr>
          <w:rFonts w:ascii="Palatino Linotype" w:eastAsia="Calibri" w:hAnsi="Palatino Linotype" w:cs="Arial"/>
          <w:sz w:val="24"/>
          <w:szCs w:val="24"/>
          <w:lang w:val="es-ES" w:eastAsia="es-ES"/>
        </w:rPr>
        <w:t xml:space="preserve">esto </w:t>
      </w:r>
      <w:r w:rsidR="0014503B" w:rsidRPr="0015362D">
        <w:rPr>
          <w:rFonts w:ascii="Palatino Linotype" w:eastAsia="Calibri" w:hAnsi="Palatino Linotype" w:cs="Arial"/>
          <w:sz w:val="24"/>
          <w:szCs w:val="24"/>
          <w:lang w:val="es-ES" w:eastAsia="es-ES"/>
        </w:rPr>
        <w:t xml:space="preserve">suceda, comienza a transcurrir el plazo para interponer el recurso de </w:t>
      </w:r>
      <w:r w:rsidR="0015362D" w:rsidRPr="0015362D">
        <w:rPr>
          <w:rFonts w:ascii="Palatino Linotype" w:eastAsia="Calibri" w:hAnsi="Palatino Linotype" w:cs="Arial"/>
          <w:sz w:val="24"/>
          <w:szCs w:val="24"/>
          <w:lang w:val="es-ES" w:eastAsia="es-ES"/>
        </w:rPr>
        <w:t>inconformidad en contra del acto administrativo.</w:t>
      </w:r>
    </w:p>
    <w:p w14:paraId="470D7DA9" w14:textId="77777777" w:rsidR="0015362D" w:rsidRDefault="0015362D" w:rsidP="0015362D">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CD27D26" w14:textId="28E62F34" w:rsidR="0015362D" w:rsidRPr="0015362D" w:rsidRDefault="0015362D" w:rsidP="0014503B">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En otras palabras, la notificación del oficio requerido es de suma importancia para que, de ser el caso que el promovente decida accionar algún procedimiento administrativo, lo haga dentro del plazo temporal previamente establecido. Darlo a conocer a través del ejercicio del derecho de acceso a la información podría interferir o inhibir el procedimiento administrativo.</w:t>
      </w:r>
    </w:p>
    <w:p w14:paraId="60BDBEFC" w14:textId="77777777" w:rsidR="004A4005" w:rsidRPr="004A4005" w:rsidRDefault="004A4005" w:rsidP="004A4005">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260D1637" w14:textId="4B3A4DFB" w:rsidR="001C4337" w:rsidRPr="002A43BC" w:rsidRDefault="0027224D" w:rsidP="001C4337">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4" w:name="_Toc21366022"/>
      <w:r w:rsidRPr="00A078B9">
        <w:rPr>
          <w:rFonts w:ascii="Palatino Linotype" w:eastAsiaTheme="majorEastAsia" w:hAnsi="Palatino Linotype" w:cstheme="majorBidi"/>
          <w:b/>
          <w:sz w:val="24"/>
          <w:szCs w:val="24"/>
          <w:bdr w:val="nil"/>
        </w:rPr>
        <w:t>VI</w:t>
      </w:r>
      <w:r w:rsidR="00250780" w:rsidRPr="00A078B9">
        <w:rPr>
          <w:rFonts w:ascii="Palatino Linotype" w:eastAsiaTheme="majorEastAsia" w:hAnsi="Palatino Linotype" w:cstheme="majorBidi"/>
          <w:b/>
          <w:sz w:val="24"/>
          <w:szCs w:val="24"/>
          <w:bdr w:val="nil"/>
        </w:rPr>
        <w:t xml:space="preserve">. </w:t>
      </w:r>
      <w:r w:rsidR="001C4337" w:rsidRPr="00A078B9">
        <w:rPr>
          <w:rFonts w:ascii="Palatino Linotype" w:eastAsiaTheme="majorEastAsia" w:hAnsi="Palatino Linotype" w:cstheme="majorBidi"/>
          <w:b/>
          <w:sz w:val="24"/>
          <w:szCs w:val="24"/>
          <w:bdr w:val="nil"/>
        </w:rPr>
        <w:t>Conclusión</w:t>
      </w:r>
      <w:r w:rsidR="001C4337">
        <w:rPr>
          <w:rFonts w:ascii="Palatino Linotype" w:eastAsiaTheme="majorEastAsia" w:hAnsi="Palatino Linotype" w:cstheme="majorBidi"/>
          <w:b/>
          <w:sz w:val="24"/>
          <w:szCs w:val="24"/>
          <w:bdr w:val="nil"/>
        </w:rPr>
        <w:t>.</w:t>
      </w:r>
      <w:bookmarkEnd w:id="4"/>
      <w:r w:rsidR="001C4337">
        <w:rPr>
          <w:rFonts w:ascii="Palatino Linotype" w:eastAsiaTheme="majorEastAsia" w:hAnsi="Palatino Linotype" w:cstheme="majorBidi"/>
          <w:b/>
          <w:sz w:val="24"/>
          <w:szCs w:val="24"/>
          <w:bdr w:val="nil"/>
        </w:rPr>
        <w:t xml:space="preserve"> </w:t>
      </w:r>
    </w:p>
    <w:p w14:paraId="40266B43" w14:textId="77777777" w:rsidR="00CD5C84" w:rsidRDefault="00CD5C84" w:rsidP="00CD5C84"/>
    <w:p w14:paraId="4BE9CC00" w14:textId="65BE9AF6" w:rsidR="0015362D" w:rsidRDefault="0015362D" w:rsidP="00F60CF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bookmarkStart w:id="5" w:name="_Hlk21365612"/>
      <w:r>
        <w:rPr>
          <w:rFonts w:ascii="Palatino Linotype" w:eastAsiaTheme="majorEastAsia" w:hAnsi="Palatino Linotype" w:cstheme="majorBidi"/>
          <w:sz w:val="24"/>
          <w:szCs w:val="24"/>
          <w:bdr w:val="nil"/>
        </w:rPr>
        <w:t>La información requerida por el particular no puede ser de acceso público hasta en tanto no sea notificada al promovente, por el hecho de que a éste último le asiste el derecho de interponer un recurso de inconformidad, por tratarse de materia administrativa, o incluso, en materia laboral, ya que también aborda temas laborales, tales como quejas y acoso. Por lo anterior, el Sujeto Obligado debe mantener el sigilo de la información hasta en tanto no surta efectos legales de notificación.</w:t>
      </w:r>
    </w:p>
    <w:p w14:paraId="28ECC58C" w14:textId="77777777" w:rsidR="00035866"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bookmarkEnd w:id="5"/>
    <w:p w14:paraId="71A4A47B" w14:textId="4C3CE389" w:rsidR="009F0BC5" w:rsidRPr="002A43BC" w:rsidRDefault="00B142A9"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MARÍA DEL ROSARIO MEJÍA AYALA</w:t>
      </w:r>
    </w:p>
    <w:p w14:paraId="5446F8D8" w14:textId="7DF0A6C7" w:rsidR="009F0BC5"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COMISIONADA</w:t>
      </w:r>
    </w:p>
    <w:p w14:paraId="26D950BF" w14:textId="36BDB5CF" w:rsidR="0027224D" w:rsidRDefault="005D265C"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MRMA/ADM</w:t>
      </w:r>
    </w:p>
    <w:p w14:paraId="235FD87C" w14:textId="77777777" w:rsidR="00542F24" w:rsidRPr="008A4B0D" w:rsidRDefault="00542F24"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sectPr w:rsidR="00542F24" w:rsidRPr="008A4B0D" w:rsidSect="002A43BC">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B65C" w14:textId="77777777" w:rsidR="00384DA4" w:rsidRDefault="00384DA4" w:rsidP="002C0425">
      <w:pPr>
        <w:spacing w:after="0" w:line="240" w:lineRule="auto"/>
      </w:pPr>
      <w:r>
        <w:separator/>
      </w:r>
    </w:p>
  </w:endnote>
  <w:endnote w:type="continuationSeparator" w:id="0">
    <w:p w14:paraId="6A54C452" w14:textId="77777777" w:rsidR="00384DA4" w:rsidRDefault="00384DA4"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14:paraId="545B0F92" w14:textId="77777777" w:rsidR="0032435A" w:rsidRDefault="0032435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443BC">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443BC">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14:paraId="447141E2" w14:textId="77777777" w:rsidR="0032435A" w:rsidRDefault="003243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A491" w14:textId="77777777" w:rsidR="00384DA4" w:rsidRDefault="00384DA4" w:rsidP="002C0425">
      <w:pPr>
        <w:spacing w:after="0" w:line="240" w:lineRule="auto"/>
      </w:pPr>
      <w:r>
        <w:separator/>
      </w:r>
    </w:p>
  </w:footnote>
  <w:footnote w:type="continuationSeparator" w:id="0">
    <w:p w14:paraId="352BEBB7" w14:textId="77777777" w:rsidR="00384DA4" w:rsidRDefault="00384DA4" w:rsidP="002C0425">
      <w:pPr>
        <w:spacing w:after="0" w:line="240" w:lineRule="auto"/>
      </w:pPr>
      <w:r>
        <w:continuationSeparator/>
      </w:r>
    </w:p>
  </w:footnote>
  <w:footnote w:id="1">
    <w:p w14:paraId="1AF4D65E" w14:textId="77777777" w:rsidR="0020295A" w:rsidRPr="00755532" w:rsidRDefault="0020295A" w:rsidP="0020295A">
      <w:pPr>
        <w:pStyle w:val="Textonotapie"/>
        <w:jc w:val="both"/>
      </w:pPr>
      <w:r>
        <w:rPr>
          <w:rStyle w:val="Refdenotaalpie"/>
        </w:rPr>
        <w:footnoteRef/>
      </w:r>
      <w:r>
        <w:t xml:space="preserve"> </w:t>
      </w:r>
      <w:r w:rsidRPr="00755532">
        <w:t>Ley de Transparencia y Acceso a la Información Pública del Estado de México y Municipios, Artículo 9.</w:t>
      </w:r>
    </w:p>
    <w:p w14:paraId="3DD083BA" w14:textId="77777777" w:rsidR="0020295A" w:rsidRDefault="0020295A" w:rsidP="0020295A">
      <w:pPr>
        <w:pStyle w:val="Textonotapie"/>
        <w:numPr>
          <w:ilvl w:val="0"/>
          <w:numId w:val="42"/>
        </w:numPr>
        <w:ind w:left="284" w:hanging="142"/>
        <w:jc w:val="both"/>
      </w:pPr>
      <w:r w:rsidRPr="00755532">
        <w:rPr>
          <w:b/>
        </w:rPr>
        <w:t>Eficacia:</w:t>
      </w:r>
      <w:r w:rsidRPr="00755532">
        <w:t xml:space="preserve"> Obligación del Instituto para tutelar, de manera efectiva, 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CF4" w14:textId="77777777" w:rsidR="0032435A" w:rsidRDefault="00000000">
    <w:pPr>
      <w:pStyle w:val="Encabezado"/>
    </w:pPr>
    <w:r>
      <w:rPr>
        <w:noProof/>
        <w:lang w:val="en-US"/>
      </w:rPr>
      <w:pict w14:anchorId="273A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23844" o:spid="_x0000_s1026" type="#_x0000_t136" style="position:absolute;margin-left:0;margin-top:0;width:541.8pt;height:81.2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09DF" w14:textId="4F2A4BB1" w:rsidR="00F3253E" w:rsidRDefault="00F3253E" w:rsidP="00F3253E">
    <w:pPr>
      <w:pStyle w:val="Encabezado"/>
      <w:ind w:left="2694" w:right="-250"/>
      <w:jc w:val="both"/>
      <w:rPr>
        <w:rFonts w:ascii="Palatino Linotype" w:hAnsi="Palatino Linotype" w:cs="Tahoma"/>
        <w:b/>
      </w:rPr>
    </w:pPr>
    <w:r>
      <w:rPr>
        <w:noProof/>
        <w:lang w:eastAsia="es-MX"/>
      </w:rPr>
      <w:drawing>
        <wp:anchor distT="0" distB="0" distL="114300" distR="114300" simplePos="0" relativeHeight="251662336" behindDoc="1" locked="0" layoutInCell="1" allowOverlap="1" wp14:anchorId="1FE8B2BA" wp14:editId="7E80F0CD">
          <wp:simplePos x="0" y="0"/>
          <wp:positionH relativeFrom="column">
            <wp:posOffset>-604520</wp:posOffset>
          </wp:positionH>
          <wp:positionV relativeFrom="paragraph">
            <wp:posOffset>-145415</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Tahoma"/>
        <w:b/>
      </w:rPr>
      <w:t>Voto particular</w:t>
    </w:r>
  </w:p>
  <w:p w14:paraId="61888E0C" w14:textId="00240764" w:rsidR="00F3253E" w:rsidRPr="00F3253E" w:rsidRDefault="00F3253E" w:rsidP="00F3253E">
    <w:pPr>
      <w:pStyle w:val="Encabezado"/>
      <w:ind w:left="2694" w:right="-250"/>
      <w:jc w:val="both"/>
      <w:rPr>
        <w:rFonts w:ascii="Palatino Linotype" w:hAnsi="Palatino Linotype" w:cstheme="minorBidi"/>
        <w:lang w:val="es-ES_tradnl"/>
      </w:rPr>
    </w:pPr>
    <w:r>
      <w:rPr>
        <w:rFonts w:ascii="Palatino Linotype" w:hAnsi="Palatino Linotype" w:cs="Tahoma"/>
        <w:b/>
      </w:rPr>
      <w:t xml:space="preserve">Recurso de Revisión: </w:t>
    </w:r>
    <w:r w:rsidRPr="00F3253E">
      <w:rPr>
        <w:rFonts w:ascii="Palatino Linotype" w:hAnsi="Palatino Linotype" w:cs="Arial"/>
      </w:rPr>
      <w:t>14349/INFOEM/IP/RR/2022.</w:t>
    </w:r>
  </w:p>
  <w:p w14:paraId="4EBE3AA0" w14:textId="49DBA980" w:rsidR="00F3253E" w:rsidRPr="00F3253E" w:rsidRDefault="00F3253E" w:rsidP="00F3253E">
    <w:pPr>
      <w:pStyle w:val="Encabezado"/>
      <w:ind w:left="2694"/>
      <w:jc w:val="both"/>
      <w:rPr>
        <w:rFonts w:ascii="Palatino Linotype" w:hAnsi="Palatino Linotype" w:cs="Tahoma"/>
      </w:rPr>
    </w:pPr>
    <w:r>
      <w:rPr>
        <w:rFonts w:ascii="Palatino Linotype" w:hAnsi="Palatino Linotype" w:cs="Tahoma"/>
        <w:b/>
      </w:rPr>
      <w:t xml:space="preserve">Sujeto Obligado: </w:t>
    </w:r>
    <w:r w:rsidRPr="00F3253E">
      <w:rPr>
        <w:rFonts w:ascii="Palatino Linotype" w:hAnsi="Palatino Linotype"/>
      </w:rPr>
      <w:t>Universidad Autónoma del Estado de México</w:t>
    </w:r>
  </w:p>
  <w:p w14:paraId="2DB67C83" w14:textId="1836A61E" w:rsidR="0032435A" w:rsidRDefault="00000000">
    <w:pPr>
      <w:pStyle w:val="Encabezado"/>
    </w:pPr>
    <w:r>
      <w:rPr>
        <w:noProof/>
        <w:lang w:val="en-US"/>
      </w:rPr>
      <w:pict w14:anchorId="130B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23845" o:spid="_x0000_s1027" type="#_x0000_t136" style="position:absolute;margin-left:0;margin-top:0;width:541.8pt;height:81.2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4CD3675C" w14:textId="77777777" w:rsidR="0032435A" w:rsidRDefault="00324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057" w14:textId="77777777" w:rsidR="0032435A" w:rsidRDefault="00000000">
    <w:pPr>
      <w:pStyle w:val="Encabezado"/>
    </w:pPr>
    <w:r>
      <w:rPr>
        <w:noProof/>
        <w:lang w:val="en-US"/>
      </w:rPr>
      <w:pict w14:anchorId="2D48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23843" o:spid="_x0000_s1025" type="#_x0000_t136" style="position:absolute;margin-left:0;margin-top:0;width:541.8pt;height:81.2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5D08D2"/>
    <w:multiLevelType w:val="hybridMultilevel"/>
    <w:tmpl w:val="6EF2AE00"/>
    <w:lvl w:ilvl="0" w:tplc="6616D4C6">
      <w:start w:val="1"/>
      <w:numFmt w:val="lowerLetter"/>
      <w:lvlText w:val="%1)"/>
      <w:lvlJc w:val="left"/>
      <w:pPr>
        <w:ind w:left="720" w:hanging="360"/>
      </w:pPr>
      <w:rPr>
        <w:rFonts w:eastAsia="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1620"/>
    <w:multiLevelType w:val="hybridMultilevel"/>
    <w:tmpl w:val="62F6F100"/>
    <w:lvl w:ilvl="0" w:tplc="257C80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C722D3"/>
    <w:multiLevelType w:val="hybridMultilevel"/>
    <w:tmpl w:val="785A8D0E"/>
    <w:lvl w:ilvl="0" w:tplc="F8E4E530">
      <w:start w:val="1"/>
      <w:numFmt w:val="upperRoman"/>
      <w:lvlText w:val="%1."/>
      <w:lvlJc w:val="left"/>
      <w:pPr>
        <w:ind w:left="1080" w:hanging="720"/>
      </w:pPr>
      <w:rPr>
        <w:rFonts w:ascii="Palatino Linotype" w:hAnsi="Palatino Linotype" w:hint="default"/>
        <w:b/>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084F3C"/>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7D0697"/>
    <w:multiLevelType w:val="hybridMultilevel"/>
    <w:tmpl w:val="ABB48A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640A2"/>
    <w:multiLevelType w:val="hybridMultilevel"/>
    <w:tmpl w:val="A4200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B1A2A"/>
    <w:multiLevelType w:val="hybridMultilevel"/>
    <w:tmpl w:val="62F23D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866BDB"/>
    <w:multiLevelType w:val="hybridMultilevel"/>
    <w:tmpl w:val="EE84DF4E"/>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382533DB"/>
    <w:multiLevelType w:val="hybridMultilevel"/>
    <w:tmpl w:val="345648D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1066BC"/>
    <w:multiLevelType w:val="hybridMultilevel"/>
    <w:tmpl w:val="0B288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45731CEF"/>
    <w:multiLevelType w:val="multilevel"/>
    <w:tmpl w:val="888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61492"/>
    <w:multiLevelType w:val="hybridMultilevel"/>
    <w:tmpl w:val="CAD01DB2"/>
    <w:lvl w:ilvl="0" w:tplc="B726CFF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85231C"/>
    <w:multiLevelType w:val="hybridMultilevel"/>
    <w:tmpl w:val="2AA8E96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4BCC06D5"/>
    <w:multiLevelType w:val="hybridMultilevel"/>
    <w:tmpl w:val="908CB0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D35B30"/>
    <w:multiLevelType w:val="hybridMultilevel"/>
    <w:tmpl w:val="7646CFA6"/>
    <w:lvl w:ilvl="0" w:tplc="8DDCC7AA">
      <w:start w:val="4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4432D"/>
    <w:multiLevelType w:val="hybridMultilevel"/>
    <w:tmpl w:val="8EC6E7A6"/>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F4779B8"/>
    <w:multiLevelType w:val="hybridMultilevel"/>
    <w:tmpl w:val="D3CE1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3102028"/>
    <w:multiLevelType w:val="hybridMultilevel"/>
    <w:tmpl w:val="F41680FE"/>
    <w:lvl w:ilvl="0" w:tplc="25CEB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0A1793"/>
    <w:multiLevelType w:val="hybridMultilevel"/>
    <w:tmpl w:val="9920C8D2"/>
    <w:lvl w:ilvl="0" w:tplc="C666EAAC">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D4FB1"/>
    <w:multiLevelType w:val="hybridMultilevel"/>
    <w:tmpl w:val="0A0CCE9C"/>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B25E4A"/>
    <w:multiLevelType w:val="hybridMultilevel"/>
    <w:tmpl w:val="AC220B64"/>
    <w:lvl w:ilvl="0" w:tplc="6256D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755A6B"/>
    <w:multiLevelType w:val="multilevel"/>
    <w:tmpl w:val="E2B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761A4"/>
    <w:multiLevelType w:val="multilevel"/>
    <w:tmpl w:val="422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E249B"/>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E82A9B"/>
    <w:multiLevelType w:val="hybridMultilevel"/>
    <w:tmpl w:val="D5363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D0295B"/>
    <w:multiLevelType w:val="hybridMultilevel"/>
    <w:tmpl w:val="A4DAE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1334152">
    <w:abstractNumId w:val="27"/>
  </w:num>
  <w:num w:numId="2" w16cid:durableId="511526858">
    <w:abstractNumId w:val="36"/>
  </w:num>
  <w:num w:numId="3" w16cid:durableId="166362576">
    <w:abstractNumId w:val="0"/>
  </w:num>
  <w:num w:numId="4" w16cid:durableId="354040121">
    <w:abstractNumId w:val="11"/>
  </w:num>
  <w:num w:numId="5" w16cid:durableId="1385715720">
    <w:abstractNumId w:val="28"/>
  </w:num>
  <w:num w:numId="6" w16cid:durableId="1686588658">
    <w:abstractNumId w:val="23"/>
  </w:num>
  <w:num w:numId="7" w16cid:durableId="1356157252">
    <w:abstractNumId w:val="19"/>
  </w:num>
  <w:num w:numId="8" w16cid:durableId="845873260">
    <w:abstractNumId w:val="1"/>
  </w:num>
  <w:num w:numId="9" w16cid:durableId="26223250">
    <w:abstractNumId w:val="15"/>
  </w:num>
  <w:num w:numId="10" w16cid:durableId="923760829">
    <w:abstractNumId w:val="9"/>
  </w:num>
  <w:num w:numId="11" w16cid:durableId="879322940">
    <w:abstractNumId w:val="30"/>
  </w:num>
  <w:num w:numId="12" w16cid:durableId="2116291611">
    <w:abstractNumId w:val="5"/>
  </w:num>
  <w:num w:numId="13" w16cid:durableId="1638486986">
    <w:abstractNumId w:val="21"/>
  </w:num>
  <w:num w:numId="14" w16cid:durableId="1412506093">
    <w:abstractNumId w:val="16"/>
  </w:num>
  <w:num w:numId="15" w16cid:durableId="1967000149">
    <w:abstractNumId w:val="39"/>
  </w:num>
  <w:num w:numId="16" w16cid:durableId="903221854">
    <w:abstractNumId w:val="8"/>
  </w:num>
  <w:num w:numId="17" w16cid:durableId="454373807">
    <w:abstractNumId w:val="10"/>
  </w:num>
  <w:num w:numId="18" w16cid:durableId="2107923141">
    <w:abstractNumId w:val="40"/>
  </w:num>
  <w:num w:numId="19" w16cid:durableId="1374035325">
    <w:abstractNumId w:val="34"/>
  </w:num>
  <w:num w:numId="20" w16cid:durableId="2119179474">
    <w:abstractNumId w:val="31"/>
  </w:num>
  <w:num w:numId="21" w16cid:durableId="657416659">
    <w:abstractNumId w:val="12"/>
  </w:num>
  <w:num w:numId="22" w16cid:durableId="1515608888">
    <w:abstractNumId w:val="17"/>
  </w:num>
  <w:num w:numId="23" w16cid:durableId="939097312">
    <w:abstractNumId w:val="29"/>
  </w:num>
  <w:num w:numId="24" w16cid:durableId="703796644">
    <w:abstractNumId w:val="22"/>
  </w:num>
  <w:num w:numId="25" w16cid:durableId="1076440635">
    <w:abstractNumId w:val="33"/>
  </w:num>
  <w:num w:numId="26" w16cid:durableId="578254114">
    <w:abstractNumId w:val="26"/>
  </w:num>
  <w:num w:numId="27" w16cid:durableId="1597668412">
    <w:abstractNumId w:val="3"/>
  </w:num>
  <w:num w:numId="28" w16cid:durableId="622466617">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4562098">
    <w:abstractNumId w:val="13"/>
  </w:num>
  <w:num w:numId="30" w16cid:durableId="702705743">
    <w:abstractNumId w:val="7"/>
  </w:num>
  <w:num w:numId="31" w16cid:durableId="1207183315">
    <w:abstractNumId w:val="2"/>
  </w:num>
  <w:num w:numId="32" w16cid:durableId="1902521035">
    <w:abstractNumId w:val="35"/>
  </w:num>
  <w:num w:numId="33" w16cid:durableId="696732520">
    <w:abstractNumId w:val="32"/>
  </w:num>
  <w:num w:numId="34" w16cid:durableId="1406099869">
    <w:abstractNumId w:val="25"/>
  </w:num>
  <w:num w:numId="35" w16cid:durableId="1942029970">
    <w:abstractNumId w:val="18"/>
  </w:num>
  <w:num w:numId="36" w16cid:durableId="2006472236">
    <w:abstractNumId w:val="24"/>
  </w:num>
  <w:num w:numId="37" w16cid:durableId="923152659">
    <w:abstractNumId w:val="41"/>
  </w:num>
  <w:num w:numId="38" w16cid:durableId="1025784900">
    <w:abstractNumId w:val="38"/>
  </w:num>
  <w:num w:numId="39" w16cid:durableId="300774818">
    <w:abstractNumId w:val="20"/>
  </w:num>
  <w:num w:numId="40" w16cid:durableId="1852261194">
    <w:abstractNumId w:val="37"/>
  </w:num>
  <w:num w:numId="41" w16cid:durableId="107284318">
    <w:abstractNumId w:val="14"/>
  </w:num>
  <w:num w:numId="42" w16cid:durableId="215358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25"/>
    <w:rsid w:val="000150BA"/>
    <w:rsid w:val="00020546"/>
    <w:rsid w:val="0002610D"/>
    <w:rsid w:val="00026588"/>
    <w:rsid w:val="00032496"/>
    <w:rsid w:val="00035866"/>
    <w:rsid w:val="00036132"/>
    <w:rsid w:val="000577F1"/>
    <w:rsid w:val="0007183B"/>
    <w:rsid w:val="00080C89"/>
    <w:rsid w:val="00091FA7"/>
    <w:rsid w:val="000A29FD"/>
    <w:rsid w:val="000B2316"/>
    <w:rsid w:val="000C3F66"/>
    <w:rsid w:val="000D2CB7"/>
    <w:rsid w:val="000D3249"/>
    <w:rsid w:val="000F1716"/>
    <w:rsid w:val="00100221"/>
    <w:rsid w:val="001132CB"/>
    <w:rsid w:val="00117A12"/>
    <w:rsid w:val="00122EB1"/>
    <w:rsid w:val="00141B6E"/>
    <w:rsid w:val="0014503B"/>
    <w:rsid w:val="00147149"/>
    <w:rsid w:val="00152DB2"/>
    <w:rsid w:val="0015362D"/>
    <w:rsid w:val="001701E1"/>
    <w:rsid w:val="00180BFE"/>
    <w:rsid w:val="00196054"/>
    <w:rsid w:val="001A1ECB"/>
    <w:rsid w:val="001B2FE3"/>
    <w:rsid w:val="001C4337"/>
    <w:rsid w:val="001E1ABF"/>
    <w:rsid w:val="0020295A"/>
    <w:rsid w:val="00207CD1"/>
    <w:rsid w:val="00212142"/>
    <w:rsid w:val="00213603"/>
    <w:rsid w:val="00215DCF"/>
    <w:rsid w:val="00230453"/>
    <w:rsid w:val="002307C0"/>
    <w:rsid w:val="0023130B"/>
    <w:rsid w:val="0023170E"/>
    <w:rsid w:val="00250780"/>
    <w:rsid w:val="00253D8C"/>
    <w:rsid w:val="00262FC1"/>
    <w:rsid w:val="0026420F"/>
    <w:rsid w:val="00265603"/>
    <w:rsid w:val="00265760"/>
    <w:rsid w:val="0027224D"/>
    <w:rsid w:val="0027773D"/>
    <w:rsid w:val="00277FA3"/>
    <w:rsid w:val="0029152A"/>
    <w:rsid w:val="002A30A3"/>
    <w:rsid w:val="002A43BC"/>
    <w:rsid w:val="002B000F"/>
    <w:rsid w:val="002B2DB8"/>
    <w:rsid w:val="002C0425"/>
    <w:rsid w:val="002D4A4A"/>
    <w:rsid w:val="002E2EBD"/>
    <w:rsid w:val="00311B32"/>
    <w:rsid w:val="00320619"/>
    <w:rsid w:val="0032435A"/>
    <w:rsid w:val="00325F46"/>
    <w:rsid w:val="00337AD2"/>
    <w:rsid w:val="003442F0"/>
    <w:rsid w:val="0034598D"/>
    <w:rsid w:val="003603BF"/>
    <w:rsid w:val="00367EB2"/>
    <w:rsid w:val="00384DA4"/>
    <w:rsid w:val="0039183C"/>
    <w:rsid w:val="00392B10"/>
    <w:rsid w:val="0039495E"/>
    <w:rsid w:val="003B34A8"/>
    <w:rsid w:val="003C6C75"/>
    <w:rsid w:val="003E23AB"/>
    <w:rsid w:val="003F100C"/>
    <w:rsid w:val="003F5F80"/>
    <w:rsid w:val="00401D61"/>
    <w:rsid w:val="004022C0"/>
    <w:rsid w:val="00406B19"/>
    <w:rsid w:val="00414AC0"/>
    <w:rsid w:val="004240AA"/>
    <w:rsid w:val="0042787B"/>
    <w:rsid w:val="0043259F"/>
    <w:rsid w:val="0044193D"/>
    <w:rsid w:val="00443B50"/>
    <w:rsid w:val="00465268"/>
    <w:rsid w:val="00466E0E"/>
    <w:rsid w:val="00490E5C"/>
    <w:rsid w:val="004919F3"/>
    <w:rsid w:val="0049418C"/>
    <w:rsid w:val="00494A1F"/>
    <w:rsid w:val="004971E6"/>
    <w:rsid w:val="004A4005"/>
    <w:rsid w:val="004B4437"/>
    <w:rsid w:val="004B46C5"/>
    <w:rsid w:val="004E6086"/>
    <w:rsid w:val="004E63BF"/>
    <w:rsid w:val="004F39B9"/>
    <w:rsid w:val="004F7A40"/>
    <w:rsid w:val="005001CF"/>
    <w:rsid w:val="005002AA"/>
    <w:rsid w:val="00502CAF"/>
    <w:rsid w:val="00503149"/>
    <w:rsid w:val="00512D09"/>
    <w:rsid w:val="005224AF"/>
    <w:rsid w:val="00542F24"/>
    <w:rsid w:val="00551216"/>
    <w:rsid w:val="005644FF"/>
    <w:rsid w:val="00586C92"/>
    <w:rsid w:val="00587D1C"/>
    <w:rsid w:val="00592A4B"/>
    <w:rsid w:val="00593CC1"/>
    <w:rsid w:val="005B0502"/>
    <w:rsid w:val="005B2181"/>
    <w:rsid w:val="005B72F7"/>
    <w:rsid w:val="005C6624"/>
    <w:rsid w:val="005C75A0"/>
    <w:rsid w:val="005C7AE6"/>
    <w:rsid w:val="005D265C"/>
    <w:rsid w:val="005F3130"/>
    <w:rsid w:val="005F796F"/>
    <w:rsid w:val="0060449E"/>
    <w:rsid w:val="0061369A"/>
    <w:rsid w:val="00621A70"/>
    <w:rsid w:val="00623067"/>
    <w:rsid w:val="00623C8D"/>
    <w:rsid w:val="00624117"/>
    <w:rsid w:val="00627742"/>
    <w:rsid w:val="006A4123"/>
    <w:rsid w:val="006A5D29"/>
    <w:rsid w:val="006B4F3E"/>
    <w:rsid w:val="006E10FC"/>
    <w:rsid w:val="006E6998"/>
    <w:rsid w:val="006F47DC"/>
    <w:rsid w:val="00703237"/>
    <w:rsid w:val="0070449D"/>
    <w:rsid w:val="00704CA4"/>
    <w:rsid w:val="00731C1B"/>
    <w:rsid w:val="0074075A"/>
    <w:rsid w:val="00742484"/>
    <w:rsid w:val="00760EFD"/>
    <w:rsid w:val="00773410"/>
    <w:rsid w:val="007813AE"/>
    <w:rsid w:val="00781609"/>
    <w:rsid w:val="00781AF6"/>
    <w:rsid w:val="0078362A"/>
    <w:rsid w:val="007846D2"/>
    <w:rsid w:val="00792890"/>
    <w:rsid w:val="007B5DDB"/>
    <w:rsid w:val="007B7418"/>
    <w:rsid w:val="007E071B"/>
    <w:rsid w:val="007F2468"/>
    <w:rsid w:val="007F4F75"/>
    <w:rsid w:val="007F7136"/>
    <w:rsid w:val="00802AAE"/>
    <w:rsid w:val="0082021B"/>
    <w:rsid w:val="008262D7"/>
    <w:rsid w:val="008317DA"/>
    <w:rsid w:val="0083752B"/>
    <w:rsid w:val="008421EE"/>
    <w:rsid w:val="00860F51"/>
    <w:rsid w:val="0086476A"/>
    <w:rsid w:val="0087228E"/>
    <w:rsid w:val="0088136D"/>
    <w:rsid w:val="00881525"/>
    <w:rsid w:val="00883783"/>
    <w:rsid w:val="008855B5"/>
    <w:rsid w:val="008957BF"/>
    <w:rsid w:val="00895986"/>
    <w:rsid w:val="008A35D9"/>
    <w:rsid w:val="008A4B0D"/>
    <w:rsid w:val="008B429B"/>
    <w:rsid w:val="008C5C3F"/>
    <w:rsid w:val="008D0A77"/>
    <w:rsid w:val="008D7542"/>
    <w:rsid w:val="0090113F"/>
    <w:rsid w:val="0090379C"/>
    <w:rsid w:val="00910ECF"/>
    <w:rsid w:val="0091171B"/>
    <w:rsid w:val="0091259D"/>
    <w:rsid w:val="00913606"/>
    <w:rsid w:val="00930D24"/>
    <w:rsid w:val="00935E48"/>
    <w:rsid w:val="00941C31"/>
    <w:rsid w:val="00942EE7"/>
    <w:rsid w:val="00956804"/>
    <w:rsid w:val="00956E2E"/>
    <w:rsid w:val="00957415"/>
    <w:rsid w:val="00964C1E"/>
    <w:rsid w:val="009655F8"/>
    <w:rsid w:val="00971074"/>
    <w:rsid w:val="009773F9"/>
    <w:rsid w:val="00986004"/>
    <w:rsid w:val="009956CF"/>
    <w:rsid w:val="0099743B"/>
    <w:rsid w:val="009A58DE"/>
    <w:rsid w:val="009B57E6"/>
    <w:rsid w:val="009C3593"/>
    <w:rsid w:val="009F0A19"/>
    <w:rsid w:val="009F0BC5"/>
    <w:rsid w:val="009F4DB4"/>
    <w:rsid w:val="009F6385"/>
    <w:rsid w:val="00A00825"/>
    <w:rsid w:val="00A045DD"/>
    <w:rsid w:val="00A078B9"/>
    <w:rsid w:val="00A142B0"/>
    <w:rsid w:val="00A3574A"/>
    <w:rsid w:val="00A472F8"/>
    <w:rsid w:val="00A50F6C"/>
    <w:rsid w:val="00A56443"/>
    <w:rsid w:val="00AA008E"/>
    <w:rsid w:val="00AA2CEC"/>
    <w:rsid w:val="00AA70FA"/>
    <w:rsid w:val="00AC21D4"/>
    <w:rsid w:val="00AD1A27"/>
    <w:rsid w:val="00AF53C4"/>
    <w:rsid w:val="00B00D57"/>
    <w:rsid w:val="00B0746B"/>
    <w:rsid w:val="00B14249"/>
    <w:rsid w:val="00B142A9"/>
    <w:rsid w:val="00B623D1"/>
    <w:rsid w:val="00B706FA"/>
    <w:rsid w:val="00B90ADC"/>
    <w:rsid w:val="00BA242B"/>
    <w:rsid w:val="00BA2B5D"/>
    <w:rsid w:val="00BA448C"/>
    <w:rsid w:val="00BB518F"/>
    <w:rsid w:val="00BB71A5"/>
    <w:rsid w:val="00BC08D2"/>
    <w:rsid w:val="00BC4265"/>
    <w:rsid w:val="00BC78C8"/>
    <w:rsid w:val="00C05CD5"/>
    <w:rsid w:val="00C2473C"/>
    <w:rsid w:val="00C451F4"/>
    <w:rsid w:val="00C62100"/>
    <w:rsid w:val="00C70C3A"/>
    <w:rsid w:val="00C7145E"/>
    <w:rsid w:val="00C72F11"/>
    <w:rsid w:val="00C77E23"/>
    <w:rsid w:val="00C849E8"/>
    <w:rsid w:val="00C86B5D"/>
    <w:rsid w:val="00C92C05"/>
    <w:rsid w:val="00C93048"/>
    <w:rsid w:val="00CA6E2D"/>
    <w:rsid w:val="00CB2960"/>
    <w:rsid w:val="00CC2672"/>
    <w:rsid w:val="00CD2100"/>
    <w:rsid w:val="00CD5C84"/>
    <w:rsid w:val="00CF197B"/>
    <w:rsid w:val="00CF5295"/>
    <w:rsid w:val="00D00A45"/>
    <w:rsid w:val="00D05906"/>
    <w:rsid w:val="00D07182"/>
    <w:rsid w:val="00D12B23"/>
    <w:rsid w:val="00D2011B"/>
    <w:rsid w:val="00D205C5"/>
    <w:rsid w:val="00D55CB7"/>
    <w:rsid w:val="00D573A8"/>
    <w:rsid w:val="00D61A44"/>
    <w:rsid w:val="00D629E7"/>
    <w:rsid w:val="00D835C9"/>
    <w:rsid w:val="00D87FCD"/>
    <w:rsid w:val="00D90277"/>
    <w:rsid w:val="00D97982"/>
    <w:rsid w:val="00DB7F8E"/>
    <w:rsid w:val="00E427C6"/>
    <w:rsid w:val="00E42F7C"/>
    <w:rsid w:val="00E42F9C"/>
    <w:rsid w:val="00E46D5E"/>
    <w:rsid w:val="00E5597A"/>
    <w:rsid w:val="00E579FB"/>
    <w:rsid w:val="00E62187"/>
    <w:rsid w:val="00E65FC8"/>
    <w:rsid w:val="00E6742A"/>
    <w:rsid w:val="00E96877"/>
    <w:rsid w:val="00E97758"/>
    <w:rsid w:val="00EA56AF"/>
    <w:rsid w:val="00EC1AD4"/>
    <w:rsid w:val="00ED65F6"/>
    <w:rsid w:val="00EE19CA"/>
    <w:rsid w:val="00EE29A1"/>
    <w:rsid w:val="00EE639D"/>
    <w:rsid w:val="00F173E3"/>
    <w:rsid w:val="00F26763"/>
    <w:rsid w:val="00F3253E"/>
    <w:rsid w:val="00F443BC"/>
    <w:rsid w:val="00F44F9A"/>
    <w:rsid w:val="00F46F66"/>
    <w:rsid w:val="00F50819"/>
    <w:rsid w:val="00F579CF"/>
    <w:rsid w:val="00F60CF7"/>
    <w:rsid w:val="00F644D1"/>
    <w:rsid w:val="00F679F4"/>
    <w:rsid w:val="00F74857"/>
    <w:rsid w:val="00F819D6"/>
    <w:rsid w:val="00FA7EDC"/>
    <w:rsid w:val="00FB13AE"/>
    <w:rsid w:val="00FB5CBE"/>
    <w:rsid w:val="00FC740C"/>
    <w:rsid w:val="00FD4A51"/>
    <w:rsid w:val="00FE301B"/>
    <w:rsid w:val="00FE35C7"/>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A795"/>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58"/>
  </w:style>
  <w:style w:type="paragraph" w:styleId="Ttulo1">
    <w:name w:val="heading 1"/>
    <w:basedOn w:val="Normal"/>
    <w:next w:val="Normal"/>
    <w:link w:val="Ttulo1Car"/>
    <w:uiPriority w:val="9"/>
    <w:qFormat/>
    <w:rsid w:val="00CD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qFormat/>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6E10FC"/>
    <w:pPr>
      <w:tabs>
        <w:tab w:val="left" w:pos="567"/>
        <w:tab w:val="right" w:leader="dot" w:pos="8828"/>
      </w:tabs>
      <w:spacing w:after="10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paragraph" w:styleId="NormalWeb">
    <w:name w:val="Normal (Web)"/>
    <w:basedOn w:val="Normal"/>
    <w:uiPriority w:val="99"/>
    <w:unhideWhenUsed/>
    <w:rsid w:val="00E97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D5C84"/>
    <w:rPr>
      <w:rFonts w:asciiTheme="majorHAnsi" w:eastAsiaTheme="majorEastAsia" w:hAnsiTheme="majorHAnsi" w:cstheme="majorBidi"/>
      <w:color w:val="2E74B5" w:themeColor="accent1" w:themeShade="BF"/>
      <w:sz w:val="32"/>
      <w:szCs w:val="32"/>
    </w:rPr>
  </w:style>
  <w:style w:type="table" w:styleId="Tablaconcuadrcula6concolores-nfasis3">
    <w:name w:val="Grid Table 6 Colorful Accent 3"/>
    <w:basedOn w:val="Tablanormal"/>
    <w:uiPriority w:val="51"/>
    <w:rsid w:val="00CD5C84"/>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731C1B"/>
    <w:rPr>
      <w:color w:val="605E5C"/>
      <w:shd w:val="clear" w:color="auto" w:fill="E1DFDD"/>
    </w:rPr>
  </w:style>
  <w:style w:type="table" w:customStyle="1" w:styleId="Tablaconcuadrcula1">
    <w:name w:val="Tabla con cuadrícula1"/>
    <w:basedOn w:val="Tablanormal"/>
    <w:next w:val="Tablaconcuadrcula"/>
    <w:uiPriority w:val="59"/>
    <w:rsid w:val="005F7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F7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2D4A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2D4A4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1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1923">
      <w:bodyDiv w:val="1"/>
      <w:marLeft w:val="0"/>
      <w:marRight w:val="0"/>
      <w:marTop w:val="0"/>
      <w:marBottom w:val="0"/>
      <w:divBdr>
        <w:top w:val="none" w:sz="0" w:space="0" w:color="auto"/>
        <w:left w:val="none" w:sz="0" w:space="0" w:color="auto"/>
        <w:bottom w:val="none" w:sz="0" w:space="0" w:color="auto"/>
        <w:right w:val="none" w:sz="0" w:space="0" w:color="auto"/>
      </w:divBdr>
    </w:div>
    <w:div w:id="410977158">
      <w:bodyDiv w:val="1"/>
      <w:marLeft w:val="0"/>
      <w:marRight w:val="0"/>
      <w:marTop w:val="0"/>
      <w:marBottom w:val="0"/>
      <w:divBdr>
        <w:top w:val="none" w:sz="0" w:space="0" w:color="auto"/>
        <w:left w:val="none" w:sz="0" w:space="0" w:color="auto"/>
        <w:bottom w:val="none" w:sz="0" w:space="0" w:color="auto"/>
        <w:right w:val="none" w:sz="0" w:space="0" w:color="auto"/>
      </w:divBdr>
    </w:div>
    <w:div w:id="538712521">
      <w:bodyDiv w:val="1"/>
      <w:marLeft w:val="0"/>
      <w:marRight w:val="0"/>
      <w:marTop w:val="0"/>
      <w:marBottom w:val="0"/>
      <w:divBdr>
        <w:top w:val="none" w:sz="0" w:space="0" w:color="auto"/>
        <w:left w:val="none" w:sz="0" w:space="0" w:color="auto"/>
        <w:bottom w:val="none" w:sz="0" w:space="0" w:color="auto"/>
        <w:right w:val="none" w:sz="0" w:space="0" w:color="auto"/>
      </w:divBdr>
    </w:div>
    <w:div w:id="1224831947">
      <w:bodyDiv w:val="1"/>
      <w:marLeft w:val="0"/>
      <w:marRight w:val="0"/>
      <w:marTop w:val="0"/>
      <w:marBottom w:val="0"/>
      <w:divBdr>
        <w:top w:val="none" w:sz="0" w:space="0" w:color="auto"/>
        <w:left w:val="none" w:sz="0" w:space="0" w:color="auto"/>
        <w:bottom w:val="none" w:sz="0" w:space="0" w:color="auto"/>
        <w:right w:val="none" w:sz="0" w:space="0" w:color="auto"/>
      </w:divBdr>
      <w:divsChild>
        <w:div w:id="220486352">
          <w:marLeft w:val="0"/>
          <w:marRight w:val="0"/>
          <w:marTop w:val="0"/>
          <w:marBottom w:val="0"/>
          <w:divBdr>
            <w:top w:val="none" w:sz="0" w:space="0" w:color="auto"/>
            <w:left w:val="none" w:sz="0" w:space="0" w:color="auto"/>
            <w:bottom w:val="none" w:sz="0" w:space="0" w:color="auto"/>
            <w:right w:val="none" w:sz="0" w:space="0" w:color="auto"/>
          </w:divBdr>
        </w:div>
        <w:div w:id="1625429602">
          <w:marLeft w:val="0"/>
          <w:marRight w:val="0"/>
          <w:marTop w:val="0"/>
          <w:marBottom w:val="0"/>
          <w:divBdr>
            <w:top w:val="none" w:sz="0" w:space="0" w:color="auto"/>
            <w:left w:val="none" w:sz="0" w:space="0" w:color="auto"/>
            <w:bottom w:val="none" w:sz="0" w:space="0" w:color="auto"/>
            <w:right w:val="none" w:sz="0" w:space="0" w:color="auto"/>
          </w:divBdr>
          <w:divsChild>
            <w:div w:id="108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FC74-9BEC-4691-AF6B-EFF45433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17</Pages>
  <Words>3550</Words>
  <Characters>19527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Infoem600</cp:lastModifiedBy>
  <cp:revision>12</cp:revision>
  <cp:lastPrinted>2023-09-08T20:25:00Z</cp:lastPrinted>
  <dcterms:created xsi:type="dcterms:W3CDTF">2023-09-07T00:03:00Z</dcterms:created>
  <dcterms:modified xsi:type="dcterms:W3CDTF">2024-02-08T23:39:00Z</dcterms:modified>
</cp:coreProperties>
</file>