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0B03" w14:textId="238678CA" w:rsidR="00326EEA" w:rsidRDefault="00642E0D" w:rsidP="007F24B9">
      <w:pPr>
        <w:spacing w:line="360" w:lineRule="auto"/>
        <w:jc w:val="both"/>
        <w:rPr>
          <w:rFonts w:ascii="Palatino Linotype" w:hAnsi="Palatino Linotype" w:cs="Arial"/>
          <w:b/>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 xml:space="preserve">INFORMACIÓN </w:t>
      </w:r>
      <w:r w:rsidR="00F1670B" w:rsidRPr="007A70E8">
        <w:rPr>
          <w:rFonts w:ascii="Palatino Linotype" w:hAnsi="Palatino Linotype" w:cs="Tahoma"/>
          <w:b/>
        </w:rPr>
        <w:t xml:space="preserve">PÚBLICA Y PROTECCIÓN DE DATOS PERSONALES DEL ESTADO DE MÉXICO Y MUNICIPIOS AL RECURSO DE REVISIÓN </w:t>
      </w:r>
      <w:r w:rsidR="002A790D">
        <w:rPr>
          <w:b/>
          <w:color w:val="000000"/>
        </w:rPr>
        <w:t>14856/INFOEM/I</w:t>
      </w:r>
      <w:r w:rsidR="002A790D" w:rsidRPr="002A790D">
        <w:rPr>
          <w:b/>
          <w:color w:val="000000"/>
        </w:rPr>
        <w:t>P/RR/2022</w:t>
      </w:r>
      <w:r w:rsidR="002A790D" w:rsidRPr="002A790D">
        <w:rPr>
          <w:rFonts w:ascii="Palatino Linotype" w:hAnsi="Palatino Linotype" w:cs="Arial"/>
          <w:b/>
          <w:bCs/>
          <w:color w:val="000000" w:themeColor="text1"/>
        </w:rPr>
        <w:t>,</w:t>
      </w:r>
      <w:r w:rsidR="002A790D" w:rsidRPr="002A790D">
        <w:rPr>
          <w:rFonts w:ascii="Palatino Linotype" w:hAnsi="Palatino Linotype" w:cs="Tahoma"/>
          <w:b/>
        </w:rPr>
        <w:t xml:space="preserve"> PROMOVIDO EN CONTRA DEL </w:t>
      </w:r>
      <w:r w:rsidR="002A790D" w:rsidRPr="002A790D">
        <w:rPr>
          <w:rFonts w:cs="Tahoma"/>
          <w:b/>
          <w:color w:val="0D0D0D" w:themeColor="text1" w:themeTint="F2"/>
        </w:rPr>
        <w:t>AYUNTAMIENTO DE MELCHOR OCAMPO</w:t>
      </w:r>
      <w:r w:rsidR="002A790D" w:rsidRPr="002A790D">
        <w:rPr>
          <w:rFonts w:ascii="Palatino Linotype" w:hAnsi="Palatino Linotype" w:cs="Arial"/>
          <w:b/>
        </w:rPr>
        <w:t>.</w:t>
      </w:r>
    </w:p>
    <w:p w14:paraId="468825F3" w14:textId="77777777" w:rsidR="00F1670B" w:rsidRPr="000D7476" w:rsidRDefault="00F1670B"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1C309CA8" w:rsidR="00530898" w:rsidRPr="007A70E8" w:rsidRDefault="00CF3F65" w:rsidP="007F24B9">
      <w:pPr>
        <w:spacing w:line="360" w:lineRule="auto"/>
        <w:jc w:val="both"/>
        <w:rPr>
          <w:rFonts w:ascii="Palatino Linotype" w:hAnsi="Palatino Linotype" w:cs="Arial"/>
          <w:b/>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2A790D">
        <w:rPr>
          <w:b/>
          <w:color w:val="000000"/>
        </w:rPr>
        <w:t>14856/INFOEM/IP/RR/2022</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2A790D" w:rsidRPr="002A790D">
        <w:rPr>
          <w:rFonts w:ascii="Palatino Linotype" w:hAnsi="Palatino Linotype" w:cs="Arial"/>
        </w:rPr>
        <w:t>Ayuntamiento de Melchor Ocampo</w:t>
      </w:r>
      <w:r w:rsidR="00EC2E72">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2E2FC16F" w14:textId="77777777" w:rsidR="002A790D" w:rsidRDefault="002A790D" w:rsidP="002A790D">
      <w:pPr>
        <w:spacing w:line="360" w:lineRule="auto"/>
        <w:contextualSpacing/>
        <w:rPr>
          <w:rFonts w:cs="Tahoma"/>
          <w:lang w:val="es-MX"/>
        </w:rPr>
      </w:pPr>
      <w:bookmarkStart w:id="1" w:name="_heading=h.gjdgxs" w:colFirst="0" w:colLast="0"/>
      <w:bookmarkEnd w:id="1"/>
    </w:p>
    <w:p w14:paraId="791C866E" w14:textId="77777777" w:rsidR="002A790D" w:rsidRDefault="002A790D" w:rsidP="003722BF">
      <w:pPr>
        <w:spacing w:line="360" w:lineRule="auto"/>
        <w:ind w:left="567" w:right="567"/>
        <w:contextualSpacing/>
        <w:jc w:val="both"/>
        <w:rPr>
          <w:rFonts w:cs="Arial"/>
          <w:i/>
          <w:iCs/>
          <w:sz w:val="20"/>
          <w:szCs w:val="20"/>
        </w:rPr>
      </w:pPr>
      <w:r>
        <w:rPr>
          <w:i/>
          <w:iCs/>
          <w:sz w:val="20"/>
          <w:szCs w:val="20"/>
        </w:rPr>
        <w:t xml:space="preserve">Solicito la versión pública de los documentos comprobantes de pago (recibos de nomina, recibos de honorarios, depósitos bancarios, transferencias, etc) del personal adscrito al sistema municipal DIF, correspondiente a la segunda quincena del mes de julio de 2022 Si se lee con atención, se puede advertir que la solicitud en cuestión es en referencia a los pagos que reciben los trabajadores adscritos a las diferentes áreas del ayuntamiento (nómina) y se puede referir al recibo individual que contiene las prestaciones y deducciones de un trabajador. En ese contexto y respecto a mi solicitud, se advierte que mi pretensión es obtener el documento que contenga las percepciones que reciben los servidores públicos que laboran en el Sujeto Obligado. Ahora bien, respecto al tema de los recibos de nómina,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De igual forma, la Ley del Trabajo de los Servidores Públicos del Estado y Municipios, en su artículo 220 K, establece los documentos que tiene la obligación de conservar el Sujeto Obligado, entre los que se encuentran los recibos de pagos y los nombramientos: ARTÍCULO 220 K.- La institución o dependencia pública tiene la obligación de conservar y exhibir en el proceso los documentos que a continuación se precisan: I. Contratos, Nombramientos o Formato Único de Movimientos de Personal, cuando no exista Convenio de condiciones generales de trabajo aplicable; II. Recibos de pagos de salarios o las constancias documentales del pago de salario cuando sea por depósito o mediante información electrónica; III. Controles de asistencia o la información magnética o electrónica de asistencia de los servidores públicos; IV. Recibos o las constancias de depósito o del medio de información magnética o electrónica que sean utilizadas para el pago de salarios, prima vacacional, aguinaldo y demás prestaciones establecidas en la presente ley; y V. Los demás que señalen las leyes. Los documentos señalados en la fracción I de este artículo, deberán conservarse mientras dure la relación laboral y hasta un año después; los señalados por las fracciones II, III, IV durante el último año y un año después de que se extinga la relación laboral, </w:t>
      </w:r>
      <w:r>
        <w:rPr>
          <w:i/>
          <w:iCs/>
          <w:sz w:val="20"/>
          <w:szCs w:val="20"/>
        </w:rPr>
        <w:lastRenderedPageBreak/>
        <w:t>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 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 Aunado a lo anterior, la información que solicito corresponde a la información de los recibos de pago de salarios y prestaciones de la segunda quincena de julio de 2022 de los servidores públicos descritos.</w:t>
      </w:r>
    </w:p>
    <w:p w14:paraId="3FB0E5BF" w14:textId="77777777" w:rsidR="002A790D" w:rsidRDefault="002A790D" w:rsidP="002A790D">
      <w:pPr>
        <w:autoSpaceDE w:val="0"/>
        <w:autoSpaceDN w:val="0"/>
        <w:adjustRightInd w:val="0"/>
        <w:spacing w:line="360" w:lineRule="auto"/>
        <w:contextualSpacing/>
        <w:rPr>
          <w:rFonts w:eastAsia="Calibri" w:cs="Tahoma"/>
          <w:color w:val="000000"/>
        </w:rPr>
      </w:pPr>
    </w:p>
    <w:p w14:paraId="53B58FD6" w14:textId="77777777" w:rsidR="002A790D" w:rsidRPr="002A790D" w:rsidRDefault="002A790D" w:rsidP="002A790D">
      <w:pPr>
        <w:autoSpaceDE w:val="0"/>
        <w:autoSpaceDN w:val="0"/>
        <w:adjustRightInd w:val="0"/>
        <w:spacing w:line="360" w:lineRule="auto"/>
        <w:contextualSpacing/>
        <w:jc w:val="both"/>
        <w:rPr>
          <w:rFonts w:ascii="Palatino Linotype" w:hAnsi="Palatino Linotype" w:cs="Arial"/>
        </w:rPr>
      </w:pPr>
      <w:r w:rsidRPr="002A790D">
        <w:rPr>
          <w:rFonts w:ascii="Palatino Linotype" w:hAnsi="Palatino Linotype" w:cs="Arial"/>
        </w:rPr>
        <w:t>El trece de septiembre de dos mil veintidós el Ayuntamiento de Melchor Ocampo, dio atención a la solicitud de acceso a la información pública a través del Sistema de Acceso a la Información Mexiquense, en los siguientes términos:</w:t>
      </w:r>
    </w:p>
    <w:p w14:paraId="775BE4F2" w14:textId="77777777" w:rsidR="002A790D" w:rsidRDefault="002A790D" w:rsidP="002A790D">
      <w:pPr>
        <w:autoSpaceDE w:val="0"/>
        <w:autoSpaceDN w:val="0"/>
        <w:adjustRightInd w:val="0"/>
        <w:spacing w:line="360" w:lineRule="auto"/>
        <w:contextualSpacing/>
        <w:rPr>
          <w:rFonts w:eastAsia="Calibri" w:cs="Tahoma"/>
          <w:color w:val="000000"/>
        </w:rPr>
      </w:pPr>
    </w:p>
    <w:p w14:paraId="1B6B20D0" w14:textId="77777777" w:rsidR="002A790D" w:rsidRDefault="002A790D" w:rsidP="002A790D">
      <w:pPr>
        <w:spacing w:line="360" w:lineRule="auto"/>
        <w:ind w:left="567" w:right="567"/>
        <w:contextualSpacing/>
        <w:rPr>
          <w:rFonts w:eastAsiaTheme="minorHAnsi" w:cstheme="minorBidi"/>
          <w:i/>
          <w:iCs/>
          <w:color w:val="000000" w:themeColor="text1"/>
          <w:sz w:val="20"/>
          <w:szCs w:val="20"/>
        </w:rPr>
      </w:pPr>
      <w:r>
        <w:rPr>
          <w:i/>
          <w:iCs/>
          <w:sz w:val="20"/>
          <w:szCs w:val="20"/>
        </w:rPr>
        <w:t>EN CONTESTACION A SU TURNO 00554/MELOCAM/IP/2022 DIRIGIDO A ESTE SISTEMA MUNICIPAL DIF, EN DONDE SOLICITA INFORMACION, ME PERMITO REMITIR LA INFORMACION.</w:t>
      </w:r>
    </w:p>
    <w:p w14:paraId="77D679A4" w14:textId="77777777" w:rsidR="002A790D" w:rsidRDefault="002A790D" w:rsidP="002A790D">
      <w:pPr>
        <w:autoSpaceDE w:val="0"/>
        <w:autoSpaceDN w:val="0"/>
        <w:adjustRightInd w:val="0"/>
        <w:spacing w:line="360" w:lineRule="auto"/>
        <w:contextualSpacing/>
        <w:rPr>
          <w:rFonts w:eastAsia="Calibri" w:cs="Tahoma"/>
          <w:color w:val="000000"/>
          <w:sz w:val="22"/>
          <w:szCs w:val="22"/>
        </w:rPr>
      </w:pPr>
    </w:p>
    <w:p w14:paraId="7A057D9D" w14:textId="77777777" w:rsidR="002A790D" w:rsidRPr="002A790D" w:rsidRDefault="002A790D" w:rsidP="002A790D">
      <w:pPr>
        <w:autoSpaceDE w:val="0"/>
        <w:autoSpaceDN w:val="0"/>
        <w:adjustRightInd w:val="0"/>
        <w:spacing w:line="360" w:lineRule="auto"/>
        <w:contextualSpacing/>
        <w:jc w:val="both"/>
        <w:rPr>
          <w:rFonts w:ascii="Palatino Linotype" w:hAnsi="Palatino Linotype" w:cs="Arial"/>
        </w:rPr>
      </w:pPr>
      <w:r w:rsidRPr="002A790D">
        <w:rPr>
          <w:rFonts w:ascii="Palatino Linotype" w:hAnsi="Palatino Linotype" w:cs="Arial"/>
        </w:rPr>
        <w:t xml:space="preserve">A la respuesta adjuntó el documento que lleva por nombre Acuerdo 003_CFDI.pdf de fecha catorce de julio de dos mil veintidós, a través del cual, el Comité de Transparencia del Sujeto Obligado, aprobó por acuerdo número 003/MELOCAMP/CT/DA/2022 la elaboración de versiones públicas de los CFDI de los servidores y exservidores públicos de la administración municipal. </w:t>
      </w:r>
    </w:p>
    <w:p w14:paraId="053FC5FE" w14:textId="77777777" w:rsidR="00E73F61" w:rsidRDefault="00E73F61" w:rsidP="00E00020">
      <w:pPr>
        <w:tabs>
          <w:tab w:val="left" w:pos="426"/>
        </w:tabs>
        <w:spacing w:line="360" w:lineRule="auto"/>
        <w:contextualSpacing/>
        <w:jc w:val="both"/>
        <w:rPr>
          <w:rFonts w:ascii="Palatino Linotype" w:hAnsi="Palatino Linotype"/>
          <w:color w:val="000000" w:themeColor="text1"/>
          <w:lang w:val="es-MX"/>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lastRenderedPageBreak/>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1139B333" w14:textId="77777777" w:rsidR="002A790D" w:rsidRDefault="002A790D" w:rsidP="002A790D">
      <w:pPr>
        <w:spacing w:line="360" w:lineRule="auto"/>
        <w:ind w:left="567" w:right="567"/>
        <w:contextualSpacing/>
        <w:rPr>
          <w:b/>
          <w:bCs/>
          <w:i/>
          <w:iCs/>
          <w:sz w:val="20"/>
          <w:szCs w:val="20"/>
          <w:lang w:val="es-MX"/>
        </w:rPr>
      </w:pPr>
      <w:r>
        <w:rPr>
          <w:b/>
          <w:bCs/>
          <w:i/>
          <w:iCs/>
          <w:sz w:val="20"/>
          <w:szCs w:val="20"/>
        </w:rPr>
        <w:t xml:space="preserve">“ACTO IMPUGNADO </w:t>
      </w:r>
    </w:p>
    <w:p w14:paraId="6D9C5329" w14:textId="77777777" w:rsidR="002A790D" w:rsidRDefault="002A790D" w:rsidP="002A790D">
      <w:pPr>
        <w:spacing w:line="360" w:lineRule="auto"/>
        <w:ind w:left="567" w:right="567"/>
        <w:contextualSpacing/>
        <w:rPr>
          <w:i/>
          <w:iCs/>
          <w:sz w:val="20"/>
          <w:szCs w:val="20"/>
        </w:rPr>
      </w:pPr>
      <w:r>
        <w:rPr>
          <w:i/>
          <w:iCs/>
          <w:sz w:val="20"/>
          <w:szCs w:val="20"/>
        </w:rPr>
        <w:t xml:space="preserve">NO SE ENTREGA LA INFORMACION SOLICITADA” (Sic.) </w:t>
      </w:r>
    </w:p>
    <w:p w14:paraId="212F4F79" w14:textId="77777777" w:rsidR="002A790D" w:rsidRDefault="002A790D" w:rsidP="002A790D">
      <w:pPr>
        <w:spacing w:line="360" w:lineRule="auto"/>
        <w:ind w:left="567" w:right="567"/>
        <w:contextualSpacing/>
        <w:rPr>
          <w:i/>
          <w:iCs/>
          <w:sz w:val="20"/>
          <w:szCs w:val="20"/>
        </w:rPr>
      </w:pPr>
    </w:p>
    <w:p w14:paraId="2F0886F0" w14:textId="77777777" w:rsidR="002A790D" w:rsidRDefault="002A790D" w:rsidP="002A790D">
      <w:pPr>
        <w:spacing w:line="360" w:lineRule="auto"/>
        <w:ind w:left="567" w:right="567"/>
        <w:contextualSpacing/>
        <w:rPr>
          <w:b/>
          <w:bCs/>
          <w:i/>
          <w:iCs/>
          <w:sz w:val="20"/>
          <w:szCs w:val="20"/>
        </w:rPr>
      </w:pPr>
      <w:r>
        <w:rPr>
          <w:b/>
          <w:bCs/>
          <w:i/>
          <w:iCs/>
          <w:sz w:val="20"/>
          <w:szCs w:val="20"/>
        </w:rPr>
        <w:t xml:space="preserve">“RAZONES O MOTIVOS DE LA INCONFORMIDAD </w:t>
      </w:r>
    </w:p>
    <w:p w14:paraId="752D5E94" w14:textId="77777777" w:rsidR="002A790D" w:rsidRDefault="002A790D" w:rsidP="002A790D">
      <w:pPr>
        <w:spacing w:line="360" w:lineRule="auto"/>
        <w:ind w:left="567" w:right="567"/>
        <w:contextualSpacing/>
        <w:jc w:val="both"/>
        <w:rPr>
          <w:i/>
          <w:iCs/>
          <w:sz w:val="20"/>
          <w:szCs w:val="20"/>
        </w:rPr>
      </w:pPr>
      <w:r>
        <w:rPr>
          <w:i/>
          <w:iCs/>
          <w:sz w:val="20"/>
          <w:szCs w:val="20"/>
        </w:rPr>
        <w:t>EL SUJETO OBLIGADO ADUCE RAZONES DE CONFIDENCIALIDAD EN LA INFORMACION SOLICITADA, SIENDO QUE EXISTEN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EL SUJETO OBLIGADO UNICAMENTE ENTREGO EL ACUERDO DE CLASIFICACIÓN DE LA INFORMACIÓN.” (Sic)</w:t>
      </w:r>
    </w:p>
    <w:p w14:paraId="24773867" w14:textId="2D323A8B" w:rsidR="004030C4" w:rsidRPr="000D7476" w:rsidRDefault="004030C4" w:rsidP="007F24B9">
      <w:pPr>
        <w:tabs>
          <w:tab w:val="right" w:pos="8271"/>
        </w:tabs>
        <w:spacing w:line="360" w:lineRule="auto"/>
        <w:ind w:right="567"/>
        <w:jc w:val="both"/>
        <w:rPr>
          <w:rFonts w:ascii="Palatino Linotype" w:eastAsia="Calibri" w:hAnsi="Palatino Linotype"/>
          <w:i/>
          <w:color w:val="000000"/>
          <w:lang w:val="es-MX" w:eastAsia="en-US"/>
        </w:rPr>
      </w:pPr>
    </w:p>
    <w:p w14:paraId="01E35B05" w14:textId="1DFA43D2"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t>L</w:t>
      </w:r>
      <w:r w:rsidR="00F47FB5" w:rsidRPr="000D7476">
        <w:rPr>
          <w:rFonts w:ascii="Palatino Linotype" w:hAnsi="Palatino Linotype"/>
        </w:rPr>
        <w:t>a resolución determina</w:t>
      </w:r>
      <w:r w:rsidRPr="000D7476">
        <w:rPr>
          <w:rFonts w:ascii="Palatino Linotype" w:hAnsi="Palatino Linotype"/>
        </w:rPr>
        <w:t xml:space="preserve"> </w:t>
      </w:r>
      <w:r w:rsidR="00F1670B">
        <w:rPr>
          <w:rFonts w:ascii="Palatino Linotype" w:hAnsi="Palatino Linotype"/>
          <w:b/>
        </w:rPr>
        <w:t>REVOCAR</w:t>
      </w:r>
      <w:r w:rsidR="007A70E8">
        <w:rPr>
          <w:rFonts w:ascii="Palatino Linotype" w:hAnsi="Palatino Linotype"/>
          <w:b/>
        </w:rPr>
        <w:t xml:space="preserve"> </w:t>
      </w:r>
      <w:r w:rsidR="007F24B9" w:rsidRPr="000D7476">
        <w:rPr>
          <w:rFonts w:ascii="Palatino Linotype" w:hAnsi="Palatino Linotype"/>
          <w:b/>
        </w:rPr>
        <w:t xml:space="preserve"> </w:t>
      </w:r>
      <w:r w:rsidR="007F24B9" w:rsidRPr="000D7476">
        <w:rPr>
          <w:rFonts w:ascii="Palatino Linotype" w:hAnsi="Palatino Linotype"/>
        </w:rPr>
        <w:t>la respuesta</w:t>
      </w:r>
      <w:r w:rsidR="00E642A9" w:rsidRPr="000D7476">
        <w:rPr>
          <w:rFonts w:ascii="Palatino Linotype" w:hAnsi="Palatino Linotype"/>
        </w:rPr>
        <w:t xml:space="preserve"> 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0F1BD296" w14:textId="77777777" w:rsidR="007A70E8" w:rsidRPr="002A790D" w:rsidRDefault="007A70E8" w:rsidP="007F24B9">
      <w:pPr>
        <w:spacing w:line="360" w:lineRule="auto"/>
        <w:jc w:val="both"/>
        <w:rPr>
          <w:rFonts w:ascii="Palatino Linotype" w:eastAsia="Calibri" w:hAnsi="Palatino Linotype" w:cs="Tahoma"/>
          <w:bCs/>
          <w:lang w:eastAsia="en-US"/>
        </w:rPr>
      </w:pPr>
    </w:p>
    <w:p w14:paraId="5DB8FC5F" w14:textId="77777777" w:rsidR="002A790D" w:rsidRPr="002A790D" w:rsidRDefault="002A790D" w:rsidP="002A790D">
      <w:pPr>
        <w:numPr>
          <w:ilvl w:val="0"/>
          <w:numId w:val="9"/>
        </w:numPr>
        <w:spacing w:line="360" w:lineRule="auto"/>
        <w:contextualSpacing/>
        <w:jc w:val="both"/>
        <w:rPr>
          <w:rFonts w:ascii="Palatino Linotype" w:eastAsia="Calibri" w:hAnsi="Palatino Linotype" w:cs="Tahoma"/>
          <w:bCs/>
          <w:lang w:eastAsia="en-US"/>
        </w:rPr>
      </w:pPr>
      <w:r w:rsidRPr="002A790D">
        <w:rPr>
          <w:rFonts w:ascii="Palatino Linotype" w:eastAsia="Calibri" w:hAnsi="Palatino Linotype" w:cs="Tahoma"/>
          <w:bCs/>
          <w:lang w:eastAsia="en-US"/>
        </w:rPr>
        <w:t xml:space="preserve">Los recibos de nómina de la segunda quincena de julio de dos mil veintidós, de todos los servidores públicos adscritos al Ayuntamiento de Melchor Ocampo, incluido El Sistema Municipal para el Desarrollo Integral de la Familia de Melchor Ocampo. </w:t>
      </w:r>
    </w:p>
    <w:p w14:paraId="1CB6A37A" w14:textId="77777777" w:rsidR="002A790D" w:rsidRDefault="002A790D" w:rsidP="002A790D">
      <w:pPr>
        <w:spacing w:line="360" w:lineRule="auto"/>
        <w:contextualSpacing/>
        <w:rPr>
          <w:rFonts w:eastAsiaTheme="minorHAnsi" w:cs="Tahoma"/>
          <w:szCs w:val="22"/>
          <w:lang w:eastAsia="en-US"/>
        </w:rPr>
      </w:pPr>
    </w:p>
    <w:p w14:paraId="3850D54F" w14:textId="77777777"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lastRenderedPageBreak/>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w:t>
      </w:r>
      <w:r w:rsidR="006F62BA" w:rsidRPr="000D7476">
        <w:rPr>
          <w:rFonts w:ascii="Palatino Linotype" w:eastAsia="Calibri" w:hAnsi="Palatino Linotype" w:cs="Tahoma"/>
          <w:bCs/>
          <w:lang w:eastAsia="en-US"/>
        </w:rPr>
        <w:lastRenderedPageBreak/>
        <w:t>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w:t>
      </w:r>
      <w:r w:rsidR="005C4513" w:rsidRPr="000D7476">
        <w:rPr>
          <w:rFonts w:ascii="Palatino Linotype" w:hAnsi="Palatino Linotype" w:cs="Tahoma"/>
        </w:rPr>
        <w:lastRenderedPageBreak/>
        <w:t xml:space="preserve">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w:t>
      </w:r>
      <w:r w:rsidRPr="000D7476">
        <w:rPr>
          <w:rFonts w:ascii="Palatino Linotype" w:hAnsi="Palatino Linotype"/>
          <w:i/>
        </w:rPr>
        <w:lastRenderedPageBreak/>
        <w:t>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lastRenderedPageBreak/>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ag)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w:t>
      </w:r>
      <w:r w:rsidRPr="000D7476">
        <w:rPr>
          <w:rFonts w:ascii="Palatino Linotype" w:hAnsi="Palatino Linotype"/>
          <w:i/>
        </w:rPr>
        <w:lastRenderedPageBreak/>
        <w:t>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w:t>
      </w:r>
      <w:r w:rsidRPr="000D7476">
        <w:rPr>
          <w:rFonts w:ascii="Palatino Linotype" w:hAnsi="Palatino Linotype"/>
          <w:i/>
        </w:rPr>
        <w:lastRenderedPageBreak/>
        <w:t xml:space="preserve">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lastRenderedPageBreak/>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0D7476">
        <w:rPr>
          <w:rFonts w:ascii="Palatino Linotype" w:hAnsi="Palatino Linotype"/>
          <w:i/>
          <w:lang w:val="es-MX"/>
        </w:rPr>
        <w:lastRenderedPageBreak/>
        <w:t>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w:t>
      </w:r>
      <w:r w:rsidRPr="000D7476">
        <w:rPr>
          <w:rFonts w:ascii="Palatino Linotype" w:hAnsi="Palatino Linotype"/>
        </w:rPr>
        <w:lastRenderedPageBreak/>
        <w:t xml:space="preserve">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sidRPr="000D7476">
        <w:rPr>
          <w:rFonts w:ascii="Palatino Linotype" w:hAnsi="Palatino Linotype"/>
        </w:rPr>
        <w:lastRenderedPageBreak/>
        <w:t xml:space="preserve">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 xml:space="preserve">la ausencia de confianza </w:t>
      </w:r>
      <w:r w:rsidRPr="000D7476">
        <w:rPr>
          <w:rFonts w:ascii="Palatino Linotype" w:hAnsi="Palatino Linotype"/>
          <w:i/>
        </w:rPr>
        <w:lastRenderedPageBreak/>
        <w:t>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151FEB25" w14:textId="77777777" w:rsidR="003722BF" w:rsidRDefault="003722BF" w:rsidP="003722BF">
      <w:pPr>
        <w:spacing w:line="360" w:lineRule="auto"/>
        <w:rPr>
          <w:rFonts w:eastAsia="Calibri" w:cs="Tahoma"/>
          <w:bCs/>
          <w:lang w:val="es-MX"/>
        </w:rPr>
      </w:pPr>
    </w:p>
    <w:p w14:paraId="048C9A2D" w14:textId="01DA0BFF" w:rsidR="003722BF" w:rsidRPr="003722BF" w:rsidRDefault="003722BF" w:rsidP="003722BF">
      <w:pPr>
        <w:spacing w:line="360" w:lineRule="auto"/>
        <w:jc w:val="both"/>
        <w:rPr>
          <w:rFonts w:ascii="Palatino Linotype" w:hAnsi="Palatino Linotype"/>
        </w:rPr>
      </w:pPr>
      <w:r>
        <w:rPr>
          <w:rFonts w:ascii="Palatino Linotype" w:hAnsi="Palatino Linotype"/>
        </w:rPr>
        <w:t xml:space="preserve">Asimismo, refiere que </w:t>
      </w:r>
      <w:r w:rsidRPr="003722BF">
        <w:rPr>
          <w:rFonts w:ascii="Palatino Linotype" w:hAnsi="Palatino Linotype"/>
        </w:rPr>
        <w:t>proporcionar el cargo de los elementos operativos, daría cuenta del estado de fuerza de la Dirección de Seguridad Ciudadana, información que podría comprometer la seguridad pública del Municipio, pues daría a conocer la capacidad del área para disuadir y prevenir disturbios sociales, además de dar a conocer parte de la capacidad de reacción.</w:t>
      </w:r>
    </w:p>
    <w:p w14:paraId="21035883" w14:textId="77777777" w:rsidR="003722BF" w:rsidRPr="003722BF" w:rsidRDefault="003722BF" w:rsidP="003722BF">
      <w:pPr>
        <w:spacing w:line="360" w:lineRule="auto"/>
        <w:jc w:val="both"/>
        <w:rPr>
          <w:rFonts w:ascii="Palatino Linotype" w:hAnsi="Palatino Linotype"/>
        </w:rPr>
      </w:pPr>
    </w:p>
    <w:p w14:paraId="1DDBAD1C"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Además, que la publicación del estado de fuerza municipal, podrá actualizar, potenciar e incrementar una amenaza a la seguridad pública o a la Comisaría referida, pues como se señaló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14:paraId="27CADD56" w14:textId="77777777" w:rsidR="003722BF" w:rsidRDefault="003722BF" w:rsidP="003722BF">
      <w:pPr>
        <w:spacing w:line="360" w:lineRule="auto"/>
        <w:jc w:val="both"/>
        <w:rPr>
          <w:rFonts w:ascii="Palatino Linotype" w:hAnsi="Palatino Linotype"/>
        </w:rPr>
      </w:pPr>
    </w:p>
    <w:p w14:paraId="5427BBD1" w14:textId="77777777" w:rsidR="003722BF" w:rsidRDefault="003722BF" w:rsidP="003722BF">
      <w:pPr>
        <w:spacing w:line="360" w:lineRule="auto"/>
        <w:jc w:val="both"/>
        <w:rPr>
          <w:rFonts w:ascii="Palatino Linotype" w:hAnsi="Palatino Linotype"/>
        </w:rPr>
      </w:pPr>
      <w:r>
        <w:rPr>
          <w:rFonts w:ascii="Palatino Linotype" w:hAnsi="Palatino Linotype"/>
        </w:rPr>
        <w:t>Sin embargo la divulgación  del</w:t>
      </w:r>
      <w:r w:rsidRPr="003722BF">
        <w:rPr>
          <w:rFonts w:ascii="Palatino Linotype" w:hAnsi="Palatino Linotype"/>
        </w:rPr>
        <w:t xml:space="preserve"> estado de fuerza, se considera un tema de interés público y parte de la estrategia nacional de seguridad en </w:t>
      </w:r>
      <w:r>
        <w:rPr>
          <w:rFonts w:ascii="Palatino Linotype" w:hAnsi="Palatino Linotype"/>
        </w:rPr>
        <w:t xml:space="preserve"> </w:t>
      </w:r>
      <w:r w:rsidRPr="003722BF">
        <w:rPr>
          <w:rFonts w:ascii="Palatino Linotype" w:hAnsi="Palatino Linotype"/>
        </w:rPr>
        <w:t>cuanto al fortalecimiento de capacidades de prevención y combate a la delincuencia y constituir un indicador para establecer estándares que reflejen los requerimientos mínimos en materia de seguridad.</w:t>
      </w:r>
    </w:p>
    <w:p w14:paraId="7490F19D" w14:textId="77777777" w:rsidR="003722BF" w:rsidRDefault="003722BF" w:rsidP="003722BF">
      <w:pPr>
        <w:spacing w:line="360" w:lineRule="auto"/>
        <w:jc w:val="both"/>
        <w:rPr>
          <w:rFonts w:ascii="Palatino Linotype" w:hAnsi="Palatino Linotype"/>
        </w:rPr>
      </w:pPr>
    </w:p>
    <w:p w14:paraId="29FABF0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Según un diagnóstico de la Organización de las Naciones Unidas realizado en el año 2006, entre sus países miembros se registró un promedio de 2.8 policías por cada 1000 habitantes, sin embargo, se encontraron grandes disparidades entre los países, lo que llevó a emitir una recomendación de un mínimo de 1.8 policías por habitante, para la adecuada gestión de la seguridad pública.</w:t>
      </w:r>
    </w:p>
    <w:p w14:paraId="7FE21B9A" w14:textId="77777777" w:rsidR="003722BF" w:rsidRDefault="003722BF" w:rsidP="003722BF">
      <w:pPr>
        <w:spacing w:line="360" w:lineRule="auto"/>
        <w:jc w:val="both"/>
        <w:rPr>
          <w:rFonts w:ascii="Palatino Linotype" w:hAnsi="Palatino Linotype"/>
        </w:rPr>
      </w:pPr>
    </w:p>
    <w:p w14:paraId="66DE0D5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lastRenderedPageBreak/>
        <w:t>Esta recomendación se ha tratado de implementar en nuestro país, ya que la Secretaría de Gobernación, conformó el denominado Modelo Óptimo de la Función Policial realizado por el Secretariado Ejecutivo del Sistema Nacional de Seguridad Pública (SESNSP), esta plataforma da a conocer el estado de las policías en las Entidades del país y realiza recomendaciones para mejorar las condiciones de seguridad.</w:t>
      </w:r>
    </w:p>
    <w:p w14:paraId="5331DD75" w14:textId="77777777" w:rsidR="003722BF" w:rsidRDefault="003722BF" w:rsidP="003722BF">
      <w:pPr>
        <w:spacing w:line="360" w:lineRule="auto"/>
        <w:jc w:val="both"/>
        <w:rPr>
          <w:rFonts w:ascii="Palatino Linotype" w:hAnsi="Palatino Linotype"/>
        </w:rPr>
      </w:pPr>
    </w:p>
    <w:p w14:paraId="1923E5A4"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El primer indicador de este modelo, se denomina Estado de Fuerza Mínimo, y se refiere a la cantidad de elementos en activo, con que cuenta cada estado, para lo cual se excluye a personal administrativo, a policías municipales y a elementos adscritos a Instituciones de Procuración de Justicia o del Sistema Penitenciario- quedando así la cifra de la policía estatal comparada con su población, para lo cual el estándar mínimo definido es aquel recomendado por la ONU, de 1.8 policías por cada mil habitantes.</w:t>
      </w:r>
    </w:p>
    <w:p w14:paraId="676CA820" w14:textId="77777777" w:rsidR="003722BF" w:rsidRDefault="003722BF" w:rsidP="003722BF">
      <w:pPr>
        <w:spacing w:line="360" w:lineRule="auto"/>
        <w:jc w:val="both"/>
        <w:rPr>
          <w:rFonts w:ascii="Palatino Linotype" w:hAnsi="Palatino Linotype"/>
        </w:rPr>
      </w:pPr>
    </w:p>
    <w:p w14:paraId="3CC97885"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Por lo que contar con el mínimo de operativos, debe considerarse una prioridad para los organismos públicos en la materia, ante el deterioro de las condiciones de seguridad pública que se ha experimentado en años recientes, que impacta de forma negativa a la ciudadanía.</w:t>
      </w:r>
    </w:p>
    <w:p w14:paraId="34D8D4A7"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lo anterior habría que añadir la necesidad no solamente de cantidad, sino de que los elementos policíacos estuvieran bien seleccionados, capacitados y equipados, por lo que el esfuerzo institucional y presupuestal tendiente a cumplir esa </w:t>
      </w:r>
      <w:r w:rsidRPr="003722BF">
        <w:rPr>
          <w:rFonts w:ascii="Palatino Linotype" w:hAnsi="Palatino Linotype"/>
        </w:rPr>
        <w:lastRenderedPageBreak/>
        <w:t>recomendación, se traduce en un conjunto de acciones que ameritan planeación y control para poderse llevar a cabo adecuadamente.</w:t>
      </w:r>
    </w:p>
    <w:p w14:paraId="530B01BF" w14:textId="77777777" w:rsidR="003722BF" w:rsidRDefault="003722BF" w:rsidP="003722BF">
      <w:pPr>
        <w:spacing w:line="360" w:lineRule="auto"/>
        <w:jc w:val="both"/>
        <w:rPr>
          <w:rFonts w:ascii="Palatino Linotype" w:hAnsi="Palatino Linotype"/>
        </w:rPr>
      </w:pPr>
    </w:p>
    <w:p w14:paraId="3BE4EE61"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A partir de la implementación de este Modelo, en varias entidades se ha registrado un impacto positivo en el fortalecimiento de las corporaciones policiales y sus integrantes, incluyendo una mayor asignación de recursos para el reclutamiento y formación de nuevos elementos, el incremento de sueldos y prestaciones de su estado de fuerza y la mejora de la infraestructura y el equipamiento de sus Academias o Institutos de formación policial, entre otros, ya que ha permitido a las entidades federativas identificar sus principales áreas de oportunidad, definir metas claras y establecer acciones concretas para fortalecer sus capacidades de prevención y combate a la delincuencia, reducir los factores de riesgo de la violencia y dignificar la labor policial. </w:t>
      </w:r>
    </w:p>
    <w:p w14:paraId="2018923A" w14:textId="77777777" w:rsidR="003722BF" w:rsidRDefault="003722BF" w:rsidP="003722BF">
      <w:pPr>
        <w:spacing w:line="360" w:lineRule="auto"/>
        <w:jc w:val="both"/>
        <w:rPr>
          <w:rFonts w:ascii="Palatino Linotype" w:hAnsi="Palatino Linotype"/>
        </w:rPr>
      </w:pPr>
    </w:p>
    <w:p w14:paraId="15B8A28F"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 xml:space="preserve">El Modelo fue aprobado por el Consejo Nacional de Seguridad Pública en la XLII Sesión Ordinaria, celebrada el 30 de agosto de 2017, con lo que su cumplimiento se hizo obligatorio para todas las entidades federativas. </w:t>
      </w:r>
    </w:p>
    <w:p w14:paraId="439E2EE6" w14:textId="77777777" w:rsidR="003722BF" w:rsidRDefault="003722BF" w:rsidP="003722BF">
      <w:pPr>
        <w:spacing w:line="360" w:lineRule="auto"/>
        <w:jc w:val="both"/>
        <w:rPr>
          <w:rFonts w:ascii="Palatino Linotype" w:hAnsi="Palatino Linotype"/>
        </w:rPr>
      </w:pPr>
    </w:p>
    <w:p w14:paraId="4E8437DE" w14:textId="77777777" w:rsidR="003722BF" w:rsidRDefault="003722BF" w:rsidP="003722BF">
      <w:pPr>
        <w:spacing w:line="360" w:lineRule="auto"/>
        <w:jc w:val="both"/>
        <w:rPr>
          <w:rFonts w:ascii="Palatino Linotype" w:hAnsi="Palatino Linotype"/>
        </w:rPr>
      </w:pPr>
      <w:r w:rsidRPr="003722BF">
        <w:rPr>
          <w:rFonts w:ascii="Palatino Linotype" w:hAnsi="Palatino Linotype"/>
        </w:rPr>
        <w:t>Al restar los elementos evaluados en control de confianza y no aprobados, el estado de fuerza a nivel nacional real operativo es de 123,070 elementos o 0.96 policías por cada mil habitantes, por lo que las entidades requieren formar 101,458 nuevos elementos para alcanzar el estándar mínimo de 1.8 policías por cada mil habitantes (224,528 elementos a nivel nacional).</w:t>
      </w:r>
    </w:p>
    <w:p w14:paraId="1F3D1C65" w14:textId="77777777" w:rsidR="003722BF" w:rsidRDefault="003722BF" w:rsidP="003722BF">
      <w:pPr>
        <w:spacing w:line="360" w:lineRule="auto"/>
        <w:jc w:val="both"/>
        <w:rPr>
          <w:rFonts w:ascii="Palatino Linotype" w:hAnsi="Palatino Linotype"/>
        </w:rPr>
      </w:pPr>
    </w:p>
    <w:p w14:paraId="11E8813F" w14:textId="656A1351" w:rsidR="003722BF" w:rsidRDefault="003722BF" w:rsidP="003722BF">
      <w:pPr>
        <w:spacing w:line="360" w:lineRule="auto"/>
        <w:jc w:val="both"/>
        <w:rPr>
          <w:rFonts w:ascii="Palatino Linotype" w:hAnsi="Palatino Linotype"/>
        </w:rPr>
      </w:pPr>
      <w:r>
        <w:rPr>
          <w:rFonts w:ascii="Palatino Linotype" w:hAnsi="Palatino Linotype"/>
        </w:rPr>
        <w:t>Asimismo, e</w:t>
      </w:r>
      <w:r w:rsidRPr="003722BF">
        <w:rPr>
          <w:rFonts w:ascii="Palatino Linotype" w:hAnsi="Palatino Linotype"/>
        </w:rPr>
        <w:t xml:space="preserve">n febrero de 2023, se presentó el Atlas de la Seguridad del Estado de México 2022, el cual se indica </w:t>
      </w:r>
      <w:r>
        <w:rPr>
          <w:rFonts w:ascii="Palatino Linotype" w:hAnsi="Palatino Linotype"/>
        </w:rPr>
        <w:t xml:space="preserve"> </w:t>
      </w:r>
      <w:r w:rsidRPr="003722BF">
        <w:rPr>
          <w:rFonts w:ascii="Palatino Linotype" w:hAnsi="Palatino Linotype"/>
        </w:rPr>
        <w:t>es un proyecto de investigación, pero sobre todo es un esfuerzo de transparencia de la Secretaría de Seguridad del Estado, de la Universidad Mexiquense de Seguridad y del Colectivo de Análisis de la Seguridad con Democracia, A.C. (</w:t>
      </w:r>
      <w:r w:rsidR="007801BE" w:rsidRPr="003722BF">
        <w:rPr>
          <w:rFonts w:ascii="Palatino Linotype" w:hAnsi="Palatino Linotype"/>
        </w:rPr>
        <w:t>CASEDE</w:t>
      </w:r>
      <w:r w:rsidRPr="003722BF">
        <w:rPr>
          <w:rFonts w:ascii="Palatino Linotype" w:hAnsi="Palatino Linotype"/>
        </w:rPr>
        <w:t xml:space="preserve">). Está integrado en dos partes: la primera recopila análisis de las temáticas más relevantes de la seguridad en la entidad; la segunda es una compilación de estadísticas provenientes de fuentes federales, estatales y de organismos de la sociedad civil. Esta publicación tiene como propósito principal integrar en un solo documento la información disponible de fuentes nacionales como el </w:t>
      </w:r>
      <w:r w:rsidR="007801BE" w:rsidRPr="003722BF">
        <w:rPr>
          <w:rFonts w:ascii="Palatino Linotype" w:hAnsi="Palatino Linotype"/>
        </w:rPr>
        <w:t>INEGI</w:t>
      </w:r>
      <w:r w:rsidRPr="003722BF">
        <w:rPr>
          <w:rFonts w:ascii="Palatino Linotype" w:hAnsi="Palatino Linotype"/>
        </w:rPr>
        <w:t xml:space="preserve">, el Secretariado Ejecutivo del Sistema Nacional de </w:t>
      </w:r>
      <w:r w:rsidR="007801BE" w:rsidRPr="003722BF">
        <w:rPr>
          <w:rFonts w:ascii="Palatino Linotype" w:hAnsi="Palatino Linotype"/>
        </w:rPr>
        <w:t>Seguridad Pública</w:t>
      </w:r>
      <w:r w:rsidRPr="003722BF">
        <w:rPr>
          <w:rFonts w:ascii="Palatino Linotype" w:hAnsi="Palatino Linotype"/>
        </w:rPr>
        <w:t xml:space="preserve"> </w:t>
      </w:r>
      <w:r w:rsidR="007801BE" w:rsidRPr="003722BF">
        <w:rPr>
          <w:rFonts w:ascii="Palatino Linotype" w:hAnsi="Palatino Linotype"/>
        </w:rPr>
        <w:t xml:space="preserve">(SESNSP) </w:t>
      </w:r>
      <w:r w:rsidRPr="003722BF">
        <w:rPr>
          <w:rFonts w:ascii="Palatino Linotype" w:hAnsi="Palatino Linotype"/>
        </w:rPr>
        <w:t xml:space="preserve">y fuentes estadísticas del gobierno del Estado de México, así como datos elaborados por la Dirección General de Información de la propia Secretaría de Seguridad. </w:t>
      </w:r>
    </w:p>
    <w:p w14:paraId="63DA0589" w14:textId="77777777" w:rsidR="003722BF" w:rsidRDefault="003722BF" w:rsidP="003722BF">
      <w:pPr>
        <w:spacing w:line="360" w:lineRule="auto"/>
        <w:jc w:val="both"/>
        <w:rPr>
          <w:rFonts w:ascii="Palatino Linotype" w:hAnsi="Palatino Linotype"/>
        </w:rPr>
      </w:pPr>
    </w:p>
    <w:p w14:paraId="007D8FEF" w14:textId="77777777" w:rsidR="007801BE" w:rsidRDefault="003722BF" w:rsidP="007801BE">
      <w:pPr>
        <w:spacing w:line="360" w:lineRule="auto"/>
        <w:jc w:val="both"/>
        <w:rPr>
          <w:rFonts w:ascii="Palatino Linotype" w:hAnsi="Palatino Linotype"/>
        </w:rPr>
      </w:pPr>
      <w:r w:rsidRPr="003722BF">
        <w:rPr>
          <w:rFonts w:ascii="Palatino Linotype" w:hAnsi="Palatino Linotype"/>
        </w:rPr>
        <w:t>En este documento se exponen las gráficas que muestran proyecciones, el presupuesto, la opinión pública, recursos humanos y materiales, la inseguridad, el combate a la delincuencia organizada, el sistema penitenciario, etc. Como ejemplo de información estadística contiene cuadros con el estado de la Fuerza Municipal por Zona.</w:t>
      </w:r>
    </w:p>
    <w:p w14:paraId="743984FF" w14:textId="77777777" w:rsidR="007801BE" w:rsidRDefault="007801BE" w:rsidP="007801BE">
      <w:pPr>
        <w:spacing w:line="360" w:lineRule="auto"/>
        <w:jc w:val="both"/>
        <w:rPr>
          <w:rFonts w:ascii="Palatino Linotype" w:hAnsi="Palatino Linotype"/>
        </w:rPr>
      </w:pPr>
    </w:p>
    <w:p w14:paraId="750FDB77" w14:textId="7FFB703B" w:rsidR="00D96441" w:rsidRPr="00A2001D" w:rsidRDefault="008936B4" w:rsidP="00A2001D">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bookmarkStart w:id="3" w:name="_GoBack"/>
      <w:bookmarkEnd w:id="3"/>
    </w:p>
    <w:sectPr w:rsidR="00D96441" w:rsidRPr="00A2001D"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FEE21" w14:textId="77777777" w:rsidR="00E47FF1" w:rsidRDefault="00E47FF1" w:rsidP="00C80F8C">
      <w:r>
        <w:separator/>
      </w:r>
    </w:p>
  </w:endnote>
  <w:endnote w:type="continuationSeparator" w:id="0">
    <w:p w14:paraId="7FBBA9BE" w14:textId="77777777" w:rsidR="00E47FF1" w:rsidRDefault="00E47FF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A2001D">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2001D">
              <w:rPr>
                <w:b/>
                <w:bCs/>
                <w:noProof/>
              </w:rPr>
              <w:t>26</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834AF" w14:textId="77777777" w:rsidR="00E47FF1" w:rsidRDefault="00E47FF1" w:rsidP="00C80F8C">
      <w:r>
        <w:separator/>
      </w:r>
    </w:p>
  </w:footnote>
  <w:footnote w:type="continuationSeparator" w:id="0">
    <w:p w14:paraId="407C8F41" w14:textId="77777777" w:rsidR="00E47FF1" w:rsidRDefault="00E47FF1"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EC2E7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E47FF1">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55F85617">
          <wp:simplePos x="0" y="0"/>
          <wp:positionH relativeFrom="page">
            <wp:align>left</wp:align>
          </wp:positionH>
          <wp:positionV relativeFrom="paragraph">
            <wp:posOffset>-414655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E47FF1">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0E5740C0" w14:textId="161BB3A4" w:rsidR="00F1670B" w:rsidRPr="00F1670B" w:rsidRDefault="00F47FB5" w:rsidP="006F62BA">
    <w:pPr>
      <w:pStyle w:val="Encabezado"/>
      <w:ind w:left="2835" w:right="-250"/>
      <w:rPr>
        <w:rFonts w:ascii="Palatino Linotype" w:hAnsi="Palatino Linotype"/>
      </w:rPr>
    </w:pPr>
    <w:r>
      <w:rPr>
        <w:rFonts w:ascii="Palatino Linotype" w:hAnsi="Palatino Linotype" w:cs="Tahoma"/>
        <w:b/>
      </w:rPr>
      <w:t xml:space="preserve">Recurso de Revisión: </w:t>
    </w:r>
    <w:r w:rsidR="007801BE" w:rsidRPr="007801BE">
      <w:rPr>
        <w:rFonts w:ascii="Palatino Linotype" w:hAnsi="Palatino Linotype"/>
      </w:rPr>
      <w:t>14856/INFOEM/IP/RR/2022</w:t>
    </w:r>
  </w:p>
  <w:p w14:paraId="71104997" w14:textId="63FCF37B" w:rsidR="00634485" w:rsidRPr="00F1670B"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7801BE">
      <w:rPr>
        <w:rFonts w:cs="Tahoma"/>
        <w:color w:val="0D0D0D" w:themeColor="text1" w:themeTint="F2"/>
      </w:rPr>
      <w:t>Ayuntamiento de Melchor Ocampo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E47FF1">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827F2"/>
    <w:rsid w:val="00284217"/>
    <w:rsid w:val="00294490"/>
    <w:rsid w:val="002A790D"/>
    <w:rsid w:val="002A7B49"/>
    <w:rsid w:val="002D5B21"/>
    <w:rsid w:val="002E7D97"/>
    <w:rsid w:val="003026CE"/>
    <w:rsid w:val="003056FB"/>
    <w:rsid w:val="00312863"/>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3C94"/>
    <w:rsid w:val="00574A6A"/>
    <w:rsid w:val="00575235"/>
    <w:rsid w:val="005766FA"/>
    <w:rsid w:val="00592BEE"/>
    <w:rsid w:val="005974C5"/>
    <w:rsid w:val="005A2858"/>
    <w:rsid w:val="005B05D8"/>
    <w:rsid w:val="005B708D"/>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76DF8"/>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69C7"/>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5EB9"/>
    <w:rsid w:val="009812A5"/>
    <w:rsid w:val="00981C38"/>
    <w:rsid w:val="00997CD5"/>
    <w:rsid w:val="009B3D3A"/>
    <w:rsid w:val="009B4D2C"/>
    <w:rsid w:val="009C666B"/>
    <w:rsid w:val="009D10D2"/>
    <w:rsid w:val="009E155A"/>
    <w:rsid w:val="009F0D8D"/>
    <w:rsid w:val="00A11D40"/>
    <w:rsid w:val="00A16950"/>
    <w:rsid w:val="00A2001D"/>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2CDC"/>
    <w:rsid w:val="00B5181F"/>
    <w:rsid w:val="00B53290"/>
    <w:rsid w:val="00B64C7A"/>
    <w:rsid w:val="00B64CFB"/>
    <w:rsid w:val="00B703D7"/>
    <w:rsid w:val="00B7360E"/>
    <w:rsid w:val="00B868A5"/>
    <w:rsid w:val="00BA4A46"/>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119BC"/>
    <w:rsid w:val="00E27835"/>
    <w:rsid w:val="00E37AE3"/>
    <w:rsid w:val="00E429BA"/>
    <w:rsid w:val="00E47FF1"/>
    <w:rsid w:val="00E642A9"/>
    <w:rsid w:val="00E661AA"/>
    <w:rsid w:val="00E73F61"/>
    <w:rsid w:val="00EC2E72"/>
    <w:rsid w:val="00EF1027"/>
    <w:rsid w:val="00EF3513"/>
    <w:rsid w:val="00F05A30"/>
    <w:rsid w:val="00F10A06"/>
    <w:rsid w:val="00F1205F"/>
    <w:rsid w:val="00F1670B"/>
    <w:rsid w:val="00F47FB5"/>
    <w:rsid w:val="00F614DA"/>
    <w:rsid w:val="00F638D6"/>
    <w:rsid w:val="00F64730"/>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5A6D-39C9-4B2E-9722-02D2920A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5702</Words>
  <Characters>31366</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2023-09-29T16:38:00Z</cp:lastPrinted>
  <dcterms:created xsi:type="dcterms:W3CDTF">2024-03-21T20:23:00Z</dcterms:created>
  <dcterms:modified xsi:type="dcterms:W3CDTF">2024-03-21T20:23:00Z</dcterms:modified>
</cp:coreProperties>
</file>