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posOffset>931222</wp:posOffset>
                </wp:positionV>
                <wp:extent cx="5606822" cy="5606822"/>
                <wp:effectExtent b="0" l="0" r="0" t="0"/>
                <wp:wrapNone/>
                <wp:docPr id="6" name=""/>
                <a:graphic>
                  <a:graphicData uri="http://schemas.microsoft.com/office/word/2010/wordprocessingShape">
                    <wps:wsp>
                      <wps:cNvSpPr/>
                      <wps:cNvPr id="3" name="Shape 3"/>
                      <wps:spPr>
                        <a:xfrm rot="-2700000">
                          <a:off x="1799843" y="3371060"/>
                          <a:ext cx="7092315" cy="81788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alatino Linotype" w:cs="Palatino Linotype" w:eastAsia="Palatino Linotype" w:hAnsi="Palatino Linotype"/>
                                <w:b w:val="0"/>
                                <w:i w:val="0"/>
                                <w:smallCaps w:val="0"/>
                                <w:strike w:val="0"/>
                                <w:color w:val="ffffff"/>
                                <w:sz w:val="144"/>
                                <w:vertAlign w:val="baseline"/>
                              </w:rPr>
                              <w:t xml:space="preserve">VOTO PARTICULAR </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posOffset>931222</wp:posOffset>
                </wp:positionV>
                <wp:extent cx="5606822" cy="5606822"/>
                <wp:effectExtent b="0" l="0" r="0" t="0"/>
                <wp:wrapNone/>
                <wp:docPr id="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606822" cy="5606822"/>
                        </a:xfrm>
                        <a:prstGeom prst="rect"/>
                        <a:ln/>
                      </pic:spPr>
                    </pic:pic>
                  </a:graphicData>
                </a:graphic>
              </wp:anchor>
            </w:drawing>
          </mc:Fallback>
        </mc:AlternateContent>
      </w:r>
      <w:r w:rsidDel="00000000" w:rsidR="00000000" w:rsidRPr="00000000">
        <w:rPr>
          <w:rFonts w:ascii="Palatino Linotype" w:cs="Palatino Linotype" w:eastAsia="Palatino Linotype" w:hAnsi="Palatino Linotype"/>
          <w:b w:val="1"/>
          <w:sz w:val="24"/>
          <w:szCs w:val="24"/>
          <w:rtl w:val="0"/>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VIGÉSIMA QUINTA SESIÓN ORDINARIA DEL CINCO DE JULIO DE DOS MIL VEINTITRÉS, EN EL RECURSO DE REVISIÓN 13750/INFOEM/IP/RR/2022 Y ACUMULADOS, ÚNICAMENTE EN CUANTO A LOS RECURSOS DE REVISIÓN 13752/INFOEM/IP/RR/2022, 13753/INFOEM/IP/RR/2022, 13754/INFOEM/IP/RR/2022, 13756/INFOEM/IP/RR/2022 13757/INFOEM/IP/RR/2022 Y 14794/INFOEM/IP/RR/2022.</w:t>
      </w:r>
    </w:p>
    <w:p w:rsidR="00000000" w:rsidDel="00000000" w:rsidP="00000000" w:rsidRDefault="00000000" w:rsidRPr="00000000" w14:paraId="00000003">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 Pleno del Instituto de Transparencia, Acceso a la Información Pública y Protección de Datos Personales del Estado de México resolvió por mayoría de votos, la resolución relativa al recurso de revisión número </w:t>
      </w:r>
      <w:r w:rsidDel="00000000" w:rsidR="00000000" w:rsidRPr="00000000">
        <w:rPr>
          <w:rFonts w:ascii="Palatino Linotype" w:cs="Palatino Linotype" w:eastAsia="Palatino Linotype" w:hAnsi="Palatino Linotype"/>
          <w:b w:val="1"/>
          <w:sz w:val="24"/>
          <w:szCs w:val="24"/>
          <w:rtl w:val="0"/>
        </w:rPr>
        <w:t xml:space="preserve">13743/INFOEM/IP/RR/2022 y acumulados</w:t>
      </w:r>
      <w:r w:rsidDel="00000000" w:rsidR="00000000" w:rsidRPr="00000000">
        <w:rPr>
          <w:rFonts w:ascii="Palatino Linotype" w:cs="Palatino Linotype" w:eastAsia="Palatino Linotype" w:hAnsi="Palatino Linotype"/>
          <w:sz w:val="24"/>
          <w:szCs w:val="24"/>
          <w:rtl w:val="0"/>
        </w:rPr>
        <w:t xml:space="preserve">, presentada por el Comisionado </w:t>
      </w:r>
      <w:r w:rsidDel="00000000" w:rsidR="00000000" w:rsidRPr="00000000">
        <w:rPr>
          <w:rFonts w:ascii="Palatino Linotype" w:cs="Palatino Linotype" w:eastAsia="Palatino Linotype" w:hAnsi="Palatino Linotype"/>
          <w:b w:val="1"/>
          <w:sz w:val="24"/>
          <w:szCs w:val="24"/>
          <w:rtl w:val="0"/>
        </w:rPr>
        <w:t xml:space="preserve">José Martínez Vilchis</w:t>
      </w:r>
      <w:r w:rsidDel="00000000" w:rsidR="00000000" w:rsidRPr="00000000">
        <w:rPr>
          <w:rFonts w:ascii="Palatino Linotype" w:cs="Palatino Linotype" w:eastAsia="Palatino Linotype" w:hAnsi="Palatino Linotype"/>
          <w:sz w:val="24"/>
          <w:szCs w:val="24"/>
          <w:rtl w:val="0"/>
        </w:rPr>
        <w:t xml:space="preserve">, respecto de la cual, la suscrita, formula </w:t>
      </w:r>
      <w:r w:rsidDel="00000000" w:rsidR="00000000" w:rsidRPr="00000000">
        <w:rPr>
          <w:rFonts w:ascii="Palatino Linotype" w:cs="Palatino Linotype" w:eastAsia="Palatino Linotype" w:hAnsi="Palatino Linotype"/>
          <w:b w:val="1"/>
          <w:sz w:val="24"/>
          <w:szCs w:val="24"/>
          <w:rtl w:val="0"/>
        </w:rPr>
        <w:t xml:space="preserve">VOTO PARTICULAR únicamente en cuanto a los recursos de revisión 13752/INFOEM/IP/RR/2022, 13753/INFOEM/IP/RR/2022, 13754/INFOEM/IP/RR/2022, 13756/INFOEM/IP/RR/2022 13757/INFOEM/IP/RR/2022 Y 14794/INFOEM/IP/RR/2022, acumulados</w:t>
      </w:r>
      <w:r w:rsidDel="00000000" w:rsidR="00000000" w:rsidRPr="00000000">
        <w:rPr>
          <w:rFonts w:ascii="Palatino Linotype" w:cs="Palatino Linotype" w:eastAsia="Palatino Linotype" w:hAnsi="Palatino Linotype"/>
          <w:sz w:val="24"/>
          <w:szCs w:val="24"/>
          <w:rtl w:val="0"/>
        </w:rPr>
        <w:t xml:space="preserve">, con fundamento en el artículo 14, fracciones X y XI, del Reglamento del Instituto de Transparencia, Acceso a la Información Pública y Protección de Datos Personales del Estado de México.</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manera previa a la emisión del presente voto, se debe precisar la materia en que radicaron los recursos de revisión, el cual consistió en lo medular:</w:t>
      </w:r>
    </w:p>
    <w:p w:rsidR="00000000" w:rsidDel="00000000" w:rsidP="00000000" w:rsidRDefault="00000000" w:rsidRPr="00000000" w14:paraId="00000005">
      <w:pPr>
        <w:spacing w:line="24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SOLICITUDES: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59" w:lineRule="auto"/>
        <w:ind w:left="567"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“Debido a que todavía tienen laborando a la incompetente Coordinadora Municipal de Cuautitlán Izcalli, la C. Yuriko Jiménez Real ahora voy a solicitar en pleno ejercicio de mi derecho lo siguiente: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De la empresa Zamby Servicios Profesionales S.A. DE C.V. toda la documentación que el sujeto obligado tiene en su posesión relativo a la empresa en mención</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Cada mala respuesta que viole mi derecho será impugnada ante el INFOEM, el INAI y la Suprema Corte de ser necesario” (Sic).</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59" w:lineRule="auto"/>
        <w:ind w:left="567"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59" w:lineRule="auto"/>
        <w:ind w:left="567"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“Debido a que todavía tienen laborando a la incompetente Coordinadora Municipal de Cuautitlán Izcalli, la C. Yuriko Jiménez Real ahora voy a solicitar en pleno ejercicio de mi derecho lo siguiente: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De la empresa Zamby Servicios Profesionales S.A. DE C.V. toda la documentación que ha remitido la empresa al gobierno y el cual justifica el recurso entregado</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Cada mala respuesta que viole mi derecho será impugnada ante el INFOEM, el INAI y la Suprema Corte de ser necesario” (Sic).</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59" w:lineRule="auto"/>
        <w:ind w:left="567"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59" w:lineRule="auto"/>
        <w:ind w:left="567"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“Debido a que todavía tienen laborando a la incompetente Coordinadora Municipal de Cuautitlán Izcalli, la C. Yuriko Jiménez Real ahora voy a solicitar en pleno ejercicio de mi derecho lo siguiente: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De la empresa Zamby Servicios Profesionales S.A. DE C.V. proceso de adquision por el cual fue contratada, si contratación directa, invitación restingida etc y toda la documentación generada en el proceso de selección</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Cada mala respuesta que viole mi derecho será impugnada ante el INFOEM, el INAI y la Suprema Corte de ser necesario” (Sic).</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59" w:lineRule="auto"/>
        <w:ind w:left="567"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59" w:lineRule="auto"/>
        <w:ind w:left="567"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“Debido a que todavía tienen laborando a la incompetente Coordinadora Municipal de Cuautitlán Izcalli, la C. Yuriko Jiménez Real ahora voy a solicitar en pleno ejercicio de mi derecho lo siguiente: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Relación de cada uno de los pagos erogados a la empresa Zamby Servicios Profesionales S.A. DE C.V</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Cada mala respuesta que viole mi derecho será impugnada ante el INFOEM, el INAI y la Suprema Corte de ser necesario” (Sic).</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59" w:lineRule="auto"/>
        <w:ind w:left="567"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59" w:lineRule="auto"/>
        <w:ind w:left="567"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“Debido a que todavía tienen laborando a la incompetente Coordinadora Municipal de Cuautitlán Izcalli, la C. Yuriko Jiménez Real ahora voy a solicitar en pleno ejercicio de mi derecho lo siguiente: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Contrato en versión publica con la empresa Zamby Servicios Profesionales S.A. DE C.V.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Cada mala respuesta que viole mi derecho será impugnada ante el INFOEM, el INAI y la Suprema Corte de ser necesario” (Sic).</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59" w:lineRule="auto"/>
        <w:ind w:left="567"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59" w:lineRule="auto"/>
        <w:ind w:left="567"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“Debido a que todavía tienen laborando a la incompetente Coordinadora Municipal de Cuautitlán Izcalli, la C. Yuriko Jiménez Real ahora voy a solicitar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el costo de toda la publicidad en referencia a la lic. Alejandra del moral vela, hay un espectacular cada 10 metros, solicito el costo de todo ello incluyendo pago a medios de comunicación y cualquier otro servicio que ocupe para publicitar su imagen en este 2022</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(Sic).</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60" w:before="0" w:line="259" w:lineRule="auto"/>
        <w:ind w:left="567" w:right="0" w:firstLine="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rtl w:val="0"/>
        </w:rPr>
        <w:t xml:space="preserve">EN RESPUESTA A LAS SOLICITUDES DE INFORMACIÓN NÚMERO 00290/SEDESEM/IP/2022, 00289/SEDESEM/IP/2022, 00288/SEDESEM/IP/2022, 00286/SEDESEM/IP/2022 Y 00285/SEDESEM/IP/2022, RELACIONADAS CON LOS RECURSOS DE REVISIÓN </w:t>
      </w:r>
      <w:r w:rsidDel="00000000" w:rsidR="00000000" w:rsidRPr="00000000">
        <w:rPr>
          <w:rFonts w:ascii="Palatino Linotype" w:cs="Palatino Linotype" w:eastAsia="Palatino Linotype" w:hAnsi="Palatino Linotype"/>
          <w:b w:val="1"/>
          <w:sz w:val="24"/>
          <w:szCs w:val="24"/>
          <w:rtl w:val="0"/>
        </w:rPr>
        <w:t xml:space="preserve">13752/INFOEM/IP/RR/2022, 13753/INFOEM/IP/RR/2022, 13754/INFOEM/IP/RR/2022, 13756/INFOEM/IP/RR/2022 Y 13757/INFOEM/IP/RR/2022, </w:t>
      </w:r>
      <w:r w:rsidDel="00000000" w:rsidR="00000000" w:rsidRPr="00000000">
        <w:rPr>
          <w:rFonts w:ascii="Palatino Linotype" w:cs="Palatino Linotype" w:eastAsia="Palatino Linotype" w:hAnsi="Palatino Linotype"/>
          <w:sz w:val="24"/>
          <w:szCs w:val="24"/>
          <w:rtl w:val="0"/>
        </w:rPr>
        <w:t xml:space="preserve">respectivamente,</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la Secretaría de Finanzas, a través de la Coordinación de Procedimientos Adquisitivos  de la Dirección de General Recursos Materiales y Dirección General de Personal, emitió respuesta en el sentido de que no se localizó contrato alguno que esa dependencia haya celebrado con la empresa Zamby Servicios Profesionales, S.A. de C.V. durante el ejercicio fiscal 2022, por lo que no es posible proporcionarle la información solicitada.</w:t>
      </w:r>
    </w:p>
    <w:p w:rsidR="00000000" w:rsidDel="00000000" w:rsidP="00000000" w:rsidRDefault="00000000" w:rsidRPr="00000000" w14:paraId="00000013">
      <w:pPr>
        <w:spacing w:after="0" w:before="240" w:line="264" w:lineRule="auto"/>
        <w:ind w:left="851" w:right="902"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14">
      <w:pPr>
        <w:shd w:fill="ffffff" w:val="clea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conforme el particular con la respuesta, interpone el recurso de revisión que se resuelve, en lo medular por la negativa de la información a pesar de haber erogado recursos.</w:t>
      </w:r>
    </w:p>
    <w:p w:rsidR="00000000" w:rsidDel="00000000" w:rsidP="00000000" w:rsidRDefault="00000000" w:rsidRPr="00000000" w14:paraId="00000015">
      <w:pPr>
        <w:shd w:fill="ffffff" w:val="clear"/>
        <w:spacing w:after="0" w:before="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6">
      <w:pPr>
        <w:spacing w:after="240" w:before="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sz w:val="24"/>
          <w:szCs w:val="24"/>
          <w:rtl w:val="0"/>
        </w:rPr>
        <w:t xml:space="preserve">Ante la interposición del Recurso de Revisión,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rindió su informe justificado, en el que ratificó en esencia su respuesta primigenia.</w:t>
      </w:r>
      <w:r w:rsidDel="00000000" w:rsidR="00000000" w:rsidRPr="00000000">
        <w:rPr>
          <w:rtl w:val="0"/>
        </w:rPr>
      </w:r>
    </w:p>
    <w:p w:rsidR="00000000" w:rsidDel="00000000" w:rsidP="00000000" w:rsidRDefault="00000000" w:rsidRPr="00000000" w14:paraId="00000017">
      <w:pPr>
        <w:spacing w:after="0" w:line="360" w:lineRule="auto"/>
        <w:ind w:right="-9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Cabe señalar que la ponencia resolutora, señaló que ciertamente la Secretaría de Finanzas, le asiste la razón en el sentido de que no genera, posee o administra la información solicitada con relación a la empresa Zamby Servicios Profesionales S.A. DE C.V.</w:t>
      </w:r>
    </w:p>
    <w:p w:rsidR="00000000" w:rsidDel="00000000" w:rsidP="00000000" w:rsidRDefault="00000000" w:rsidRPr="00000000" w14:paraId="00000018">
      <w:pPr>
        <w:spacing w:after="0" w:line="360" w:lineRule="auto"/>
        <w:ind w:right="-9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9">
      <w:pPr>
        <w:spacing w:after="0" w:line="360" w:lineRule="auto"/>
        <w:ind w:right="-9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Sin embargo, determinó que al existir diversos precedentes de solicitud de información, notas periodísticas y diverso soporte documental contenido en fuentes de acceso público, incluido el portal de Información Pública de Oficio Mexiquense (IPOMEX) administrado por este Instituto, que dan cuenta de que la Secretaría de Finanzas suscribió un contrato con la empresa de consultoría "Zumby Servicios Profesionales S.A. de C.V.", para servicios profesionales y técnicos.</w:t>
      </w:r>
    </w:p>
    <w:p w:rsidR="00000000" w:rsidDel="00000000" w:rsidP="00000000" w:rsidRDefault="00000000" w:rsidRPr="00000000" w14:paraId="0000001A">
      <w:pPr>
        <w:spacing w:after="0" w:line="360" w:lineRule="auto"/>
        <w:ind w:right="-9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B">
      <w:pPr>
        <w:spacing w:after="0" w:line="360" w:lineRule="auto"/>
        <w:ind w:right="-9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Además señalaron, que en estricto sentido la empresa citada en la solicitud de información no existe, en razón de que se aprecia, probablemente que por error involuntario el hoy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citó mal el nombre de la empresa, al equivocarse en una de sus letras.</w:t>
      </w:r>
    </w:p>
    <w:p w:rsidR="00000000" w:rsidDel="00000000" w:rsidP="00000000" w:rsidRDefault="00000000" w:rsidRPr="00000000" w14:paraId="0000001C">
      <w:pPr>
        <w:spacing w:after="0" w:line="360" w:lineRule="auto"/>
        <w:ind w:right="-9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D">
      <w:pPr>
        <w:spacing w:after="0" w:line="360" w:lineRule="auto"/>
        <w:ind w:right="-9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Ante ello, la ponencia resolutora ante los fundamentos legales y motivos que expuso en la resolución de mérito, determinó modificar las respuestas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y ordenar en el resolutivo sexto, lo siguiente:</w:t>
      </w:r>
    </w:p>
    <w:p w:rsidR="00000000" w:rsidDel="00000000" w:rsidP="00000000" w:rsidRDefault="00000000" w:rsidRPr="00000000" w14:paraId="0000001E">
      <w:pPr>
        <w:spacing w:after="0" w:line="360" w:lineRule="auto"/>
        <w:ind w:right="-9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F">
      <w:pPr>
        <w:spacing w:after="0" w:line="240" w:lineRule="auto"/>
        <w:ind w:left="567" w:right="618" w:firstLine="0"/>
        <w:jc w:val="both"/>
        <w:rPr>
          <w:rFonts w:ascii="Palatino Linotype" w:cs="Palatino Linotype" w:eastAsia="Palatino Linotype" w:hAnsi="Palatino Linotype"/>
          <w:i w:val="1"/>
        </w:rPr>
      </w:pPr>
      <w:bookmarkStart w:colFirst="0" w:colLast="0" w:name="_heading=h.gjdgxs" w:id="0"/>
      <w:bookmarkEnd w:id="0"/>
      <w:r w:rsidDel="00000000" w:rsidR="00000000" w:rsidRPr="00000000">
        <w:rPr>
          <w:rFonts w:ascii="Palatino Linotype" w:cs="Palatino Linotype" w:eastAsia="Palatino Linotype" w:hAnsi="Palatino Linotype"/>
          <w:i w:val="1"/>
          <w:rtl w:val="0"/>
        </w:rPr>
        <w:t xml:space="preserve">“SEXTO. Se ORDENA al Sujeto Obligado haga entrega al Recurrente en términos del Considerando QUINTO de esta resolución, a través del Sistema de Acceso a la Información Mexiquense (SAIMEX), de ser procedente en versión pública, de lo siguiente:</w:t>
      </w:r>
    </w:p>
    <w:p w:rsidR="00000000" w:rsidDel="00000000" w:rsidP="00000000" w:rsidRDefault="00000000" w:rsidRPr="00000000" w14:paraId="00000020">
      <w:pPr>
        <w:spacing w:after="0" w:line="240" w:lineRule="auto"/>
        <w:ind w:left="567" w:right="618"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1">
      <w:pPr>
        <w:spacing w:after="0" w:line="240" w:lineRule="auto"/>
        <w:ind w:left="567" w:right="61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El Acuerdo que emita el Comité de Transparencia mediante el que confirme la declaratoria de incompetencia del Sujeto Obligado, respecto de la información solicitada referente a la documentación relacionada con la empresa, Zumby Servicios Profesionales, S.A. DE C.V, tales como (justificación de recursos erogados, proceso de adquisición y de selección, relación de pagos erogados y contratos); los expedientes de todas las empresas con las que tiene relación el programa Salario Rosa Familias Fuertes</w:t>
      </w:r>
      <w:r w:rsidDel="00000000" w:rsidR="00000000" w:rsidRPr="00000000">
        <w:rPr>
          <w:rFonts w:ascii="Palatino Linotype" w:cs="Palatino Linotype" w:eastAsia="Palatino Linotype" w:hAnsi="Palatino Linotype"/>
          <w:i w:val="1"/>
          <w:rtl w:val="0"/>
        </w:rPr>
        <w:t xml:space="preserve">, ….” (Sic)</w:t>
      </w:r>
    </w:p>
    <w:p w:rsidR="00000000" w:rsidDel="00000000" w:rsidP="00000000" w:rsidRDefault="00000000" w:rsidRPr="00000000" w14:paraId="00000022">
      <w:pPr>
        <w:spacing w:after="0" w:line="360" w:lineRule="auto"/>
        <w:ind w:right="-9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3">
      <w:pPr>
        <w:spacing w:after="0" w:line="360" w:lineRule="auto"/>
        <w:ind w:right="-9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sobre la determinación la suscrita considera que no se debieron modificar las respuestas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sino confirmar las mismas, porque de las respuestas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acreditó no haber generado la información referente a la empresa Zamby Servicios Profesionales S.A. DE C.V.</w:t>
      </w:r>
    </w:p>
    <w:p w:rsidR="00000000" w:rsidDel="00000000" w:rsidP="00000000" w:rsidRDefault="00000000" w:rsidRPr="00000000" w14:paraId="00000024">
      <w:pPr>
        <w:spacing w:after="0" w:before="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5">
      <w:pPr>
        <w:shd w:fill="ffffff" w:val="clear"/>
        <w:spacing w:after="24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Máxime, que la titular de la unidad de transparencia siguió el procedimiento de búsqueda al turnar al habilitado la solicitud de acceso a la información pública, en términos del artículo el artículo 162 de la Ley de Transparencia y Acceso a la Información Pública del Estado de México y Municipios, el cual menciona lo siguiente:</w:t>
      </w:r>
    </w:p>
    <w:p w:rsidR="00000000" w:rsidDel="00000000" w:rsidP="00000000" w:rsidRDefault="00000000" w:rsidRPr="00000000" w14:paraId="00000026">
      <w:pPr>
        <w:shd w:fill="ffffff" w:val="clear"/>
        <w:spacing w:after="240" w:lineRule="auto"/>
        <w:ind w:left="993" w:right="1041" w:firstLine="0"/>
        <w:jc w:val="both"/>
        <w:rPr>
          <w:color w:val="222222"/>
        </w:rPr>
      </w:pPr>
      <w:r w:rsidDel="00000000" w:rsidR="00000000" w:rsidRPr="00000000">
        <w:rPr>
          <w:rFonts w:ascii="Palatino Linotype" w:cs="Palatino Linotype" w:eastAsia="Palatino Linotype" w:hAnsi="Palatino Linotype"/>
          <w:b w:val="1"/>
          <w:i w:val="1"/>
          <w:color w:val="222222"/>
          <w:rtl w:val="0"/>
        </w:rPr>
        <w:t xml:space="preserve">“Artículo 162.</w:t>
      </w:r>
      <w:r w:rsidDel="00000000" w:rsidR="00000000" w:rsidRPr="00000000">
        <w:rPr>
          <w:rFonts w:ascii="Palatino Linotype" w:cs="Palatino Linotype" w:eastAsia="Palatino Linotype" w:hAnsi="Palatino Linotype"/>
          <w:i w:val="1"/>
          <w:color w:val="222222"/>
          <w:rtl w:val="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r w:rsidDel="00000000" w:rsidR="00000000" w:rsidRPr="00000000">
        <w:rPr>
          <w:rtl w:val="0"/>
        </w:rPr>
      </w:r>
    </w:p>
    <w:p w:rsidR="00000000" w:rsidDel="00000000" w:rsidP="00000000" w:rsidRDefault="00000000" w:rsidRPr="00000000" w14:paraId="00000027">
      <w:pPr>
        <w:shd w:fill="ffffff" w:val="clear"/>
        <w:spacing w:line="360" w:lineRule="auto"/>
        <w:jc w:val="both"/>
        <w:rPr>
          <w:color w:val="222222"/>
          <w:sz w:val="24"/>
          <w:szCs w:val="24"/>
        </w:rPr>
      </w:pPr>
      <w:r w:rsidDel="00000000" w:rsidR="00000000" w:rsidRPr="00000000">
        <w:rPr>
          <w:rFonts w:ascii="Palatino Linotype" w:cs="Palatino Linotype" w:eastAsia="Palatino Linotype" w:hAnsi="Palatino Linotype"/>
          <w:color w:val="222222"/>
          <w:sz w:val="24"/>
          <w:szCs w:val="24"/>
          <w:rtl w:val="0"/>
        </w:rPr>
        <w:t xml:space="preserve">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Del="00000000" w:rsidR="00000000" w:rsidRPr="00000000">
        <w:rPr>
          <w:rFonts w:ascii="Palatino Linotype" w:cs="Palatino Linotype" w:eastAsia="Palatino Linotype" w:hAnsi="Palatino Linotype"/>
          <w:color w:val="222222"/>
          <w:sz w:val="24"/>
          <w:szCs w:val="24"/>
          <w:vertAlign w:val="superscript"/>
        </w:rPr>
        <w:footnoteReference w:customMarkFollows="0" w:id="0"/>
      </w:r>
      <w:r w:rsidDel="00000000" w:rsidR="00000000" w:rsidRPr="00000000">
        <w:rPr>
          <w:rFonts w:ascii="Palatino Linotype" w:cs="Palatino Linotype" w:eastAsia="Palatino Linotype" w:hAnsi="Palatino Linotype"/>
          <w:color w:val="222222"/>
          <w:sz w:val="24"/>
          <w:szCs w:val="24"/>
          <w:rtl w:val="0"/>
        </w:rPr>
        <w:t xml:space="preserve">,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r w:rsidDel="00000000" w:rsidR="00000000" w:rsidRPr="00000000">
        <w:rPr>
          <w:rtl w:val="0"/>
        </w:rPr>
      </w:r>
    </w:p>
    <w:p w:rsidR="00000000" w:rsidDel="00000000" w:rsidP="00000000" w:rsidRDefault="00000000" w:rsidRPr="00000000" w14:paraId="00000028">
      <w:pPr>
        <w:shd w:fill="ffffff" w:val="clear"/>
        <w:ind w:left="993" w:right="1041" w:firstLine="0"/>
        <w:jc w:val="both"/>
        <w:rPr>
          <w:rFonts w:ascii="Palatino Linotype" w:cs="Palatino Linotype" w:eastAsia="Palatino Linotype" w:hAnsi="Palatino Linotype"/>
          <w:b w:val="1"/>
          <w:i w:val="1"/>
          <w:color w:val="222222"/>
        </w:rPr>
      </w:pPr>
      <w:r w:rsidDel="00000000" w:rsidR="00000000" w:rsidRPr="00000000">
        <w:rPr>
          <w:rtl w:val="0"/>
        </w:rPr>
      </w:r>
    </w:p>
    <w:p w:rsidR="00000000" w:rsidDel="00000000" w:rsidP="00000000" w:rsidRDefault="00000000" w:rsidRPr="00000000" w14:paraId="00000029">
      <w:pPr>
        <w:shd w:fill="ffffff" w:val="clear"/>
        <w:ind w:left="993" w:right="1041" w:firstLine="0"/>
        <w:jc w:val="both"/>
        <w:rPr>
          <w:color w:val="222222"/>
        </w:rPr>
      </w:pPr>
      <w:r w:rsidDel="00000000" w:rsidR="00000000" w:rsidRPr="00000000">
        <w:rPr>
          <w:rFonts w:ascii="Palatino Linotype" w:cs="Palatino Linotype" w:eastAsia="Palatino Linotype" w:hAnsi="Palatino Linotype"/>
          <w:b w:val="1"/>
          <w:i w:val="1"/>
          <w:color w:val="222222"/>
          <w:rtl w:val="0"/>
        </w:rPr>
        <w:t xml:space="preserve">“Artículo 160. </w:t>
      </w:r>
      <w:r w:rsidDel="00000000" w:rsidR="00000000" w:rsidRPr="00000000">
        <w:rPr>
          <w:rFonts w:ascii="Palatino Linotype" w:cs="Palatino Linotype" w:eastAsia="Palatino Linotype" w:hAnsi="Palatino Linotype"/>
          <w:i w:val="1"/>
          <w:color w:val="222222"/>
          <w:rtl w:val="0"/>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Del="00000000" w:rsidR="00000000" w:rsidRPr="00000000">
        <w:rPr>
          <w:rtl w:val="0"/>
        </w:rPr>
      </w:r>
    </w:p>
    <w:p w:rsidR="00000000" w:rsidDel="00000000" w:rsidP="00000000" w:rsidRDefault="00000000" w:rsidRPr="00000000" w14:paraId="0000002A">
      <w:pPr>
        <w:shd w:fill="ffffff" w:val="clear"/>
        <w:ind w:left="993" w:right="1041" w:firstLine="0"/>
        <w:jc w:val="both"/>
        <w:rPr>
          <w:color w:val="222222"/>
        </w:rPr>
      </w:pPr>
      <w:r w:rsidDel="00000000" w:rsidR="00000000" w:rsidRPr="00000000">
        <w:rPr>
          <w:rFonts w:ascii="Palatino Linotype" w:cs="Palatino Linotype" w:eastAsia="Palatino Linotype" w:hAnsi="Palatino Linotype"/>
          <w:i w:val="1"/>
          <w:color w:val="222222"/>
          <w:rtl w:val="0"/>
        </w:rPr>
        <w:t xml:space="preserve">En caso que la información solicitada consista en bases de datos se deberá privilegiar la entrega de la misma en formatos abiertos.</w:t>
      </w:r>
      <w:r w:rsidDel="00000000" w:rsidR="00000000" w:rsidRPr="00000000">
        <w:rPr>
          <w:rtl w:val="0"/>
        </w:rPr>
      </w:r>
    </w:p>
    <w:p w:rsidR="00000000" w:rsidDel="00000000" w:rsidP="00000000" w:rsidRDefault="00000000" w:rsidRPr="00000000" w14:paraId="0000002B">
      <w:pPr>
        <w:shd w:fill="ffffff" w:val="clear"/>
        <w:ind w:left="993" w:right="1041" w:firstLine="0"/>
        <w:jc w:val="both"/>
        <w:rPr>
          <w:color w:val="222222"/>
        </w:rPr>
      </w:pPr>
      <w:r w:rsidDel="00000000" w:rsidR="00000000" w:rsidRPr="00000000">
        <w:rPr>
          <w:rFonts w:ascii="Palatino Linotype" w:cs="Palatino Linotype" w:eastAsia="Palatino Linotype" w:hAnsi="Palatino Linotype"/>
          <w:b w:val="1"/>
          <w:i w:val="1"/>
          <w:color w:val="222222"/>
          <w:rtl w:val="0"/>
        </w:rPr>
        <w:t xml:space="preserve">Artículo 163.</w:t>
      </w:r>
      <w:r w:rsidDel="00000000" w:rsidR="00000000" w:rsidRPr="00000000">
        <w:rPr>
          <w:rFonts w:ascii="Palatino Linotype" w:cs="Palatino Linotype" w:eastAsia="Palatino Linotype" w:hAnsi="Palatino Linotype"/>
          <w:i w:val="1"/>
          <w:color w:val="222222"/>
          <w:rtl w:val="0"/>
        </w:rPr>
        <w:t xml:space="preserve"> La Unidad de Transparencia deberá notificar la respuesta a la solicitud al interesado en el menor tiempo posible, que no podrá exceder de quince días hábiles, contados a partir del día siguiente a la presentación de aquélla.</w:t>
      </w:r>
      <w:r w:rsidDel="00000000" w:rsidR="00000000" w:rsidRPr="00000000">
        <w:rPr>
          <w:rtl w:val="0"/>
        </w:rPr>
      </w:r>
    </w:p>
    <w:p w:rsidR="00000000" w:rsidDel="00000000" w:rsidP="00000000" w:rsidRDefault="00000000" w:rsidRPr="00000000" w14:paraId="0000002C">
      <w:pPr>
        <w:shd w:fill="ffffff" w:val="clear"/>
        <w:ind w:left="993" w:right="1041" w:firstLine="0"/>
        <w:jc w:val="both"/>
        <w:rPr>
          <w:color w:val="222222"/>
        </w:rPr>
      </w:pPr>
      <w:r w:rsidDel="00000000" w:rsidR="00000000" w:rsidRPr="00000000">
        <w:rPr>
          <w:rFonts w:ascii="Palatino Linotype" w:cs="Palatino Linotype" w:eastAsia="Palatino Linotype" w:hAnsi="Palatino Linotype"/>
          <w:i w:val="1"/>
          <w:color w:val="222222"/>
          <w:rtl w:val="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Del="00000000" w:rsidR="00000000" w:rsidRPr="00000000">
        <w:rPr>
          <w:rtl w:val="0"/>
        </w:rPr>
      </w:r>
    </w:p>
    <w:p w:rsidR="00000000" w:rsidDel="00000000" w:rsidP="00000000" w:rsidRDefault="00000000" w:rsidRPr="00000000" w14:paraId="0000002D">
      <w:pPr>
        <w:shd w:fill="ffffff" w:val="clear"/>
        <w:ind w:left="993" w:right="1041" w:firstLine="0"/>
        <w:jc w:val="both"/>
        <w:rPr>
          <w:color w:val="222222"/>
        </w:rPr>
      </w:pPr>
      <w:r w:rsidDel="00000000" w:rsidR="00000000" w:rsidRPr="00000000">
        <w:rPr>
          <w:rFonts w:ascii="Palatino Linotype" w:cs="Palatino Linotype" w:eastAsia="Palatino Linotype" w:hAnsi="Palatino Linotype"/>
          <w:b w:val="1"/>
          <w:i w:val="1"/>
          <w:color w:val="222222"/>
          <w:rtl w:val="0"/>
        </w:rPr>
        <w:t xml:space="preserve">Artículo 165.</w:t>
      </w:r>
      <w:r w:rsidDel="00000000" w:rsidR="00000000" w:rsidRPr="00000000">
        <w:rPr>
          <w:rFonts w:ascii="Palatino Linotype" w:cs="Palatino Linotype" w:eastAsia="Palatino Linotype" w:hAnsi="Palatino Linotype"/>
          <w:i w:val="1"/>
          <w:color w:val="222222"/>
          <w:rtl w:val="0"/>
        </w:rPr>
        <w:t xml:space="preserve"> Los sujetos obligados establecerán la forma y términos en que darán trámite interno a las solicitudes en materia de acceso a la información.</w:t>
      </w:r>
      <w:r w:rsidDel="00000000" w:rsidR="00000000" w:rsidRPr="00000000">
        <w:rPr>
          <w:rtl w:val="0"/>
        </w:rPr>
      </w:r>
    </w:p>
    <w:p w:rsidR="00000000" w:rsidDel="00000000" w:rsidP="00000000" w:rsidRDefault="00000000" w:rsidRPr="00000000" w14:paraId="0000002E">
      <w:pPr>
        <w:shd w:fill="ffffff" w:val="clear"/>
        <w:ind w:left="993" w:right="1041" w:firstLine="0"/>
        <w:jc w:val="both"/>
        <w:rPr>
          <w:color w:val="222222"/>
        </w:rPr>
      </w:pPr>
      <w:r w:rsidDel="00000000" w:rsidR="00000000" w:rsidRPr="00000000">
        <w:rPr>
          <w:rFonts w:ascii="Palatino Linotype" w:cs="Palatino Linotype" w:eastAsia="Palatino Linotype" w:hAnsi="Palatino Linotype"/>
          <w:i w:val="1"/>
          <w:color w:val="222222"/>
          <w:rtl w:val="0"/>
        </w:rPr>
        <w:t xml:space="preserve">La información que se entregue en versión pública, cuya modalidad de reproducción o envío tenga un costo, procederá una vez que se acredite el pago respectivo. No puede entenderse como reproducción la elaboración de la misma.</w:t>
      </w:r>
      <w:r w:rsidDel="00000000" w:rsidR="00000000" w:rsidRPr="00000000">
        <w:rPr>
          <w:rtl w:val="0"/>
        </w:rPr>
      </w:r>
    </w:p>
    <w:p w:rsidR="00000000" w:rsidDel="00000000" w:rsidP="00000000" w:rsidRDefault="00000000" w:rsidRPr="00000000" w14:paraId="0000002F">
      <w:pPr>
        <w:shd w:fill="ffffff" w:val="clear"/>
        <w:spacing w:after="240" w:lineRule="auto"/>
        <w:ind w:left="993" w:right="1041" w:firstLine="0"/>
        <w:jc w:val="both"/>
        <w:rPr>
          <w:color w:val="222222"/>
        </w:rPr>
      </w:pPr>
      <w:r w:rsidDel="00000000" w:rsidR="00000000" w:rsidRPr="00000000">
        <w:rPr>
          <w:rFonts w:ascii="Palatino Linotype" w:cs="Palatino Linotype" w:eastAsia="Palatino Linotype" w:hAnsi="Palatino Linotype"/>
          <w:i w:val="1"/>
          <w:color w:val="222222"/>
          <w:rtl w:val="0"/>
        </w:rPr>
        <w:t xml:space="preserve">Ante la falta de respuesta a una solicitud en el plazo previsto y en caso de que proceda el acceso, los costos de reproducción y envío correrán a cargo del sujeto obligado.”(Sic)</w:t>
      </w:r>
      <w:r w:rsidDel="00000000" w:rsidR="00000000" w:rsidRPr="00000000">
        <w:rPr>
          <w:rtl w:val="0"/>
        </w:rPr>
      </w:r>
    </w:p>
    <w:p w:rsidR="00000000" w:rsidDel="00000000" w:rsidP="00000000" w:rsidRDefault="00000000" w:rsidRPr="00000000" w14:paraId="00000030">
      <w:pPr>
        <w:spacing w:after="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color w:val="000000"/>
          <w:sz w:val="24"/>
          <w:szCs w:val="24"/>
          <w:rtl w:val="0"/>
        </w:rPr>
        <w:t xml:space="preserve">Ya que el área del </w:t>
      </w:r>
      <w:r w:rsidDel="00000000" w:rsidR="00000000" w:rsidRPr="00000000">
        <w:rPr>
          <w:rFonts w:ascii="Palatino Linotype" w:cs="Palatino Linotype" w:eastAsia="Palatino Linotype" w:hAnsi="Palatino Linotype"/>
          <w:b w:val="1"/>
          <w:color w:val="000000"/>
          <w:sz w:val="24"/>
          <w:szCs w:val="24"/>
          <w:rtl w:val="0"/>
        </w:rPr>
        <w:t xml:space="preserve">SUJETO OBLIGADO</w:t>
      </w:r>
      <w:r w:rsidDel="00000000" w:rsidR="00000000" w:rsidRPr="00000000">
        <w:rPr>
          <w:rFonts w:ascii="Palatino Linotype" w:cs="Palatino Linotype" w:eastAsia="Palatino Linotype" w:hAnsi="Palatino Linotype"/>
          <w:color w:val="000000"/>
          <w:sz w:val="24"/>
          <w:szCs w:val="24"/>
          <w:rtl w:val="0"/>
        </w:rPr>
        <w:t xml:space="preserve">, que se pronunció fue </w:t>
      </w:r>
      <w:r w:rsidDel="00000000" w:rsidR="00000000" w:rsidRPr="00000000">
        <w:rPr>
          <w:rFonts w:ascii="Palatino Linotype" w:cs="Palatino Linotype" w:eastAsia="Palatino Linotype" w:hAnsi="Palatino Linotype"/>
          <w:sz w:val="24"/>
          <w:szCs w:val="24"/>
          <w:rtl w:val="0"/>
        </w:rPr>
        <w:t xml:space="preserve">la Dirección de General Recursos Materiales, que en términos de lo señalado por el artículo 32 fracciones II, IV inciso b, V, VI, XII y XIII, tiene las siguientes atribuciones: </w:t>
      </w:r>
    </w:p>
    <w:p w:rsidR="00000000" w:rsidDel="00000000" w:rsidP="00000000" w:rsidRDefault="00000000" w:rsidRPr="00000000" w14:paraId="00000031">
      <w:pPr>
        <w:spacing w:after="0" w:before="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2">
      <w:pPr>
        <w:spacing w:after="0" w:before="0" w:line="24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32.- Corresponde a la Dirección General de Recursos Materiales:</w:t>
      </w:r>
    </w:p>
    <w:p w:rsidR="00000000" w:rsidDel="00000000" w:rsidP="00000000" w:rsidRDefault="00000000" w:rsidRPr="00000000" w14:paraId="00000033">
      <w:pPr>
        <w:spacing w:after="0" w:before="0" w:line="24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34">
      <w:pPr>
        <w:spacing w:after="0" w:before="0" w:line="24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 Formular y someter a la consideración del Subsecretario de Administración, para la autorización del Secretario, en el ámbito de su competencia, las políticas y normas que deberán observar las dependencias y los organismos auxiliares, en la planeación, programación, presupuestación y ejecución de los procedimientos de contratación y arrendamiento, así como de los contratos, acuerdos y convenios derivados de éstos.</w:t>
      </w:r>
    </w:p>
    <w:p w:rsidR="00000000" w:rsidDel="00000000" w:rsidP="00000000" w:rsidRDefault="00000000" w:rsidRPr="00000000" w14:paraId="00000035">
      <w:pPr>
        <w:spacing w:after="0" w:before="0" w:line="24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36">
      <w:pPr>
        <w:spacing w:after="0" w:before="0" w:line="24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IV. Integrar, operar y actualizar:</w:t>
      </w:r>
    </w:p>
    <w:p w:rsidR="00000000" w:rsidDel="00000000" w:rsidP="00000000" w:rsidRDefault="00000000" w:rsidRPr="00000000" w14:paraId="00000037">
      <w:pPr>
        <w:spacing w:after="0" w:before="0" w:line="24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38">
      <w:pPr>
        <w:spacing w:after="0" w:before="0" w:line="24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b) El catálogo de proveedores y de prestadores de servicios, para conocer la capacidad administrativa, financiera, legal y técnica de los mismos. </w:t>
      </w:r>
    </w:p>
    <w:p w:rsidR="00000000" w:rsidDel="00000000" w:rsidP="00000000" w:rsidRDefault="00000000" w:rsidRPr="00000000" w14:paraId="00000039">
      <w:pPr>
        <w:spacing w:after="0" w:before="0" w:line="24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 Expedir las cédulas de proveedores de bienes y prestadores de servicios en los términos que establezca la normatividad en la materia.</w:t>
      </w:r>
    </w:p>
    <w:p w:rsidR="00000000" w:rsidDel="00000000" w:rsidP="00000000" w:rsidRDefault="00000000" w:rsidRPr="00000000" w14:paraId="0000003A">
      <w:pPr>
        <w:spacing w:after="0" w:before="0" w:line="24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VI. Ejecutar y dar seguimiento al Programa Anual de Adquisiciones que emitan las dependencias y los organismos auxiliares del Poder Ejecutivo del Gobierno del Estado conforme a lo dispuesto en la normativa aplicable, previo acuerdo de coordinación celebrado con dichos organismos.</w:t>
      </w:r>
    </w:p>
    <w:p w:rsidR="00000000" w:rsidDel="00000000" w:rsidP="00000000" w:rsidRDefault="00000000" w:rsidRPr="00000000" w14:paraId="0000003B">
      <w:pPr>
        <w:spacing w:after="0" w:before="0" w:line="24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3C">
      <w:pPr>
        <w:spacing w:after="0" w:before="0" w:line="24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XI. Emitir las convocatorias, bases e invitaciones, así como los fallos de los procedimientos de contratación de las dependencias y de los organismos auxiliares del Poder Ejecutivo del Gobierno del Estado, en términos de lo establecido en la normativa aplicable, previo acuerdo de coordinación celebrado con dichos organismos.</w:t>
      </w:r>
    </w:p>
    <w:p w:rsidR="00000000" w:rsidDel="00000000" w:rsidP="00000000" w:rsidRDefault="00000000" w:rsidRPr="00000000" w14:paraId="0000003D">
      <w:pPr>
        <w:spacing w:after="0" w:before="0" w:line="24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3E">
      <w:pPr>
        <w:spacing w:after="0" w:before="0" w:line="24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XIII. Formular, suscribir y dar seguimiento a los contratos derivados de los procedimientos adquisitivos…”(Sic)</w:t>
      </w:r>
    </w:p>
    <w:p w:rsidR="00000000" w:rsidDel="00000000" w:rsidP="00000000" w:rsidRDefault="00000000" w:rsidRPr="00000000" w14:paraId="0000003F">
      <w:pPr>
        <w:spacing w:after="0" w:before="0" w:line="360" w:lineRule="auto"/>
        <w:jc w:val="both"/>
        <w:rPr>
          <w:rFonts w:ascii="Palatino Linotype" w:cs="Palatino Linotype" w:eastAsia="Palatino Linotype" w:hAnsi="Palatino Linotype"/>
          <w:color w:val="ff0000"/>
          <w:sz w:val="24"/>
          <w:szCs w:val="24"/>
          <w:highlight w:val="yellow"/>
        </w:rPr>
      </w:pPr>
      <w:r w:rsidDel="00000000" w:rsidR="00000000" w:rsidRPr="00000000">
        <w:rPr>
          <w:rtl w:val="0"/>
        </w:rPr>
      </w:r>
    </w:p>
    <w:p w:rsidR="00000000" w:rsidDel="00000000" w:rsidP="00000000" w:rsidRDefault="00000000" w:rsidRPr="00000000" w14:paraId="00000040">
      <w:pPr>
        <w:spacing w:after="0" w:line="360" w:lineRule="auto"/>
        <w:ind w:right="-9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pasa desapercibido que la búsqueda realizada por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se realizó conforme a la razón social indicada por el particular en su solicitud de información pública como Zamby Servicios Profesionales S.A. DE C.V.</w:t>
      </w:r>
    </w:p>
    <w:p w:rsidR="00000000" w:rsidDel="00000000" w:rsidP="00000000" w:rsidRDefault="00000000" w:rsidRPr="00000000" w14:paraId="00000041">
      <w:pPr>
        <w:spacing w:after="0" w:line="360" w:lineRule="auto"/>
        <w:ind w:right="-9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2">
      <w:pPr>
        <w:spacing w:after="0" w:line="360" w:lineRule="auto"/>
        <w:ind w:right="-9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ello se logra visualizar, que la razón social de la empresa que se ordena es distinta a la señalada por el particular; además que no debemos dejar a un lado, que la denominación o razón social de una empresa es, de acuerdo a la definición que hace la Secretaría de Economía del Gobierno de México:</w:t>
      </w:r>
    </w:p>
    <w:p w:rsidR="00000000" w:rsidDel="00000000" w:rsidP="00000000" w:rsidRDefault="00000000" w:rsidRPr="00000000" w14:paraId="00000043">
      <w:pPr>
        <w:spacing w:after="0" w:line="360" w:lineRule="auto"/>
        <w:ind w:right="-91"/>
        <w:jc w:val="both"/>
        <w:rPr>
          <w:rFonts w:ascii="Palatino Linotype" w:cs="Palatino Linotype" w:eastAsia="Palatino Linotype" w:hAnsi="Palatino Linotype"/>
          <w:sz w:val="24"/>
          <w:szCs w:val="24"/>
        </w:rPr>
      </w:pPr>
      <w:r w:rsidDel="00000000" w:rsidR="00000000" w:rsidRPr="00000000">
        <w:rPr/>
        <w:drawing>
          <wp:inline distB="0" distT="0" distL="0" distR="0">
            <wp:extent cx="5601524" cy="2098139"/>
            <wp:effectExtent b="0" l="0" r="0" t="0"/>
            <wp:docPr id="8" name="image1.png"/>
            <a:graphic>
              <a:graphicData uri="http://schemas.openxmlformats.org/drawingml/2006/picture">
                <pic:pic>
                  <pic:nvPicPr>
                    <pic:cNvPr id="0" name="image1.png"/>
                    <pic:cNvPicPr preferRelativeResize="0"/>
                  </pic:nvPicPr>
                  <pic:blipFill>
                    <a:blip r:embed="rId9"/>
                    <a:srcRect b="40103" l="20917" r="21815" t="6918"/>
                    <a:stretch>
                      <a:fillRect/>
                    </a:stretch>
                  </pic:blipFill>
                  <pic:spPr>
                    <a:xfrm>
                      <a:off x="0" y="0"/>
                      <a:ext cx="5601524" cy="209813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1028700</wp:posOffset>
                </wp:positionH>
                <wp:positionV relativeFrom="paragraph">
                  <wp:posOffset>1054100</wp:posOffset>
                </wp:positionV>
                <wp:extent cx="3547470" cy="540023"/>
                <wp:effectExtent b="0" l="0" r="0" t="0"/>
                <wp:wrapNone/>
                <wp:docPr id="5" name=""/>
                <a:graphic>
                  <a:graphicData uri="http://schemas.microsoft.com/office/word/2010/wordprocessingShape">
                    <wps:wsp>
                      <wps:cNvSpPr/>
                      <wps:cNvPr id="2" name="Shape 2"/>
                      <wps:spPr>
                        <a:xfrm>
                          <a:off x="3578615" y="3516339"/>
                          <a:ext cx="3534770" cy="527323"/>
                        </a:xfrm>
                        <a:prstGeom prst="rect">
                          <a:avLst/>
                        </a:prstGeom>
                        <a:no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1054100</wp:posOffset>
                </wp:positionV>
                <wp:extent cx="3547470" cy="540023"/>
                <wp:effectExtent b="0" l="0" r="0" t="0"/>
                <wp:wrapNone/>
                <wp:docPr id="5"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547470" cy="540023"/>
                        </a:xfrm>
                        <a:prstGeom prst="rect"/>
                        <a:ln/>
                      </pic:spPr>
                    </pic:pic>
                  </a:graphicData>
                </a:graphic>
              </wp:anchor>
            </w:drawing>
          </mc:Fallback>
        </mc:AlternateContent>
      </w:r>
    </w:p>
    <w:p w:rsidR="00000000" w:rsidDel="00000000" w:rsidP="00000000" w:rsidRDefault="00000000" w:rsidRPr="00000000" w14:paraId="00000044">
      <w:pPr>
        <w:spacing w:after="0" w:before="0" w:line="360" w:lineRule="auto"/>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sz w:val="24"/>
          <w:szCs w:val="24"/>
          <w:rtl w:val="0"/>
        </w:rPr>
        <w:t xml:space="preserve">Siendo que, la denominación o razón social de una empresa, es el nombre oficial de una empresa jurídica colectiva, única e irrepetible, que se utiliza para formalizar actos administrativos o jurídicos. </w:t>
      </w:r>
      <w:r w:rsidDel="00000000" w:rsidR="00000000" w:rsidRPr="00000000">
        <w:rPr>
          <w:rtl w:val="0"/>
        </w:rPr>
      </w:r>
    </w:p>
    <w:p w:rsidR="00000000" w:rsidDel="00000000" w:rsidP="00000000" w:rsidRDefault="00000000" w:rsidRPr="00000000" w14:paraId="00000045">
      <w:pPr>
        <w:spacing w:after="0" w:before="0" w:line="240" w:lineRule="auto"/>
        <w:ind w:left="567" w:right="616" w:firstLine="0"/>
        <w:jc w:val="both"/>
        <w:rPr>
          <w:rFonts w:ascii="Palatino Linotype" w:cs="Palatino Linotype" w:eastAsia="Palatino Linotype" w:hAnsi="Palatino Linotype"/>
          <w:i w:val="1"/>
          <w:color w:val="0000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426"/>
        </w:tabs>
        <w:spacing w:after="240" w:line="360" w:lineRule="auto"/>
        <w:ind w:right="51"/>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sz w:val="24"/>
          <w:szCs w:val="24"/>
          <w:rtl w:val="0"/>
        </w:rPr>
        <w:t xml:space="preserve">En consecuencia, de todo lo anterior, las respuestas del </w:t>
      </w:r>
      <w:r w:rsidDel="00000000" w:rsidR="00000000" w:rsidRPr="00000000">
        <w:rPr>
          <w:rFonts w:ascii="Palatino Linotype" w:cs="Palatino Linotype" w:eastAsia="Palatino Linotype" w:hAnsi="Palatino Linotype"/>
          <w:b w:val="1"/>
          <w:color w:val="000000"/>
          <w:sz w:val="24"/>
          <w:szCs w:val="24"/>
          <w:rtl w:val="0"/>
        </w:rPr>
        <w:t xml:space="preserve">SUJETO OBLIGADO</w:t>
      </w:r>
      <w:r w:rsidDel="00000000" w:rsidR="00000000" w:rsidRPr="00000000">
        <w:rPr>
          <w:rFonts w:ascii="Palatino Linotype" w:cs="Palatino Linotype" w:eastAsia="Palatino Linotype" w:hAnsi="Palatino Linotype"/>
          <w:color w:val="000000"/>
          <w:sz w:val="24"/>
          <w:szCs w:val="24"/>
          <w:rtl w:val="0"/>
        </w:rPr>
        <w:t xml:space="preserve">, se debió tomar como un hecho negativo y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r w:rsidDel="00000000" w:rsidR="00000000" w:rsidRPr="00000000">
        <w:rPr>
          <w:rtl w:val="0"/>
        </w:rPr>
      </w:r>
    </w:p>
    <w:p w:rsidR="00000000" w:rsidDel="00000000" w:rsidP="00000000" w:rsidRDefault="00000000" w:rsidRPr="00000000" w14:paraId="00000047">
      <w:pPr>
        <w:spacing w:after="0" w:before="120" w:line="240" w:lineRule="auto"/>
        <w:ind w:left="567" w:right="851" w:firstLine="0"/>
        <w:jc w:val="center"/>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i w:val="1"/>
          <w:rtl w:val="0"/>
        </w:rPr>
        <w:t xml:space="preserve">HECHOS NEGATIVOS, NO SON SUSCEPTIBLES DE DEMOSTRACIÓN</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48">
      <w:pPr>
        <w:spacing w:after="0" w:line="240" w:lineRule="auto"/>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Tratándose de un hecho negativo, el Juez no tiene por qué invocar prueba alguna de la que se desprenda, ya que es bien sabido que esta clase de hechos no son susceptibles de demostración.</w:t>
      </w:r>
    </w:p>
    <w:p w:rsidR="00000000" w:rsidDel="00000000" w:rsidP="00000000" w:rsidRDefault="00000000" w:rsidRPr="00000000" w14:paraId="00000049">
      <w:pPr>
        <w:spacing w:after="0" w:before="0" w:line="240" w:lineRule="auto"/>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Amparo en revisión 2022/61. José García Florín (Menor). 9 de octubre de 1961. Cinco votos. Ponente: José Rivera Pérez Campos.” (Sic)</w:t>
      </w:r>
    </w:p>
    <w:p w:rsidR="00000000" w:rsidDel="00000000" w:rsidP="00000000" w:rsidRDefault="00000000" w:rsidRPr="00000000" w14:paraId="0000004A">
      <w:pPr>
        <w:spacing w:after="0" w:before="0" w:line="240" w:lineRule="auto"/>
        <w:ind w:left="851" w:right="85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4B">
      <w:pPr>
        <w:spacing w:after="0" w:line="360" w:lineRule="auto"/>
        <w:ind w:right="-9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Razones por la cuales la suscrita, considera que se debió confirmar las respuestas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y no modificar las mismas, si es claro que la Secretaría de Desarrollo Social, no género, posee o administra la información solicitada con relación a la empresa Zamby Servicios Profesionales S.A. DE C.V.</w:t>
      </w:r>
    </w:p>
    <w:p w:rsidR="00000000" w:rsidDel="00000000" w:rsidP="00000000" w:rsidRDefault="00000000" w:rsidRPr="00000000" w14:paraId="0000004C">
      <w:pPr>
        <w:spacing w:after="0" w:line="360" w:lineRule="auto"/>
        <w:ind w:right="-9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D">
      <w:pPr>
        <w:spacing w:after="0" w:line="360" w:lineRule="auto"/>
        <w:ind w:right="-91"/>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Por otro lado en cuanto al recurso de revisión </w:t>
      </w:r>
      <w:r w:rsidDel="00000000" w:rsidR="00000000" w:rsidRPr="00000000">
        <w:rPr>
          <w:rFonts w:ascii="Palatino Linotype" w:cs="Palatino Linotype" w:eastAsia="Palatino Linotype" w:hAnsi="Palatino Linotype"/>
          <w:b w:val="1"/>
          <w:sz w:val="24"/>
          <w:szCs w:val="24"/>
          <w:rtl w:val="0"/>
        </w:rPr>
        <w:t xml:space="preserve">14794/INFOEM/IP/RR/2022:</w:t>
      </w:r>
    </w:p>
    <w:p w:rsidR="00000000" w:rsidDel="00000000" w:rsidP="00000000" w:rsidRDefault="00000000" w:rsidRPr="00000000" w14:paraId="0000004E">
      <w:pPr>
        <w:spacing w:after="0" w:before="0" w:line="360" w:lineRule="auto"/>
        <w:ind w:right="142"/>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F">
      <w:pPr>
        <w:spacing w:after="0" w:before="0" w:line="360" w:lineRule="auto"/>
        <w:ind w:right="142"/>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 persona solicitante requirió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conocer la siguiente información:</w:t>
      </w:r>
    </w:p>
    <w:p w:rsidR="00000000" w:rsidDel="00000000" w:rsidP="00000000" w:rsidRDefault="00000000" w:rsidRPr="00000000" w14:paraId="00000050">
      <w:pPr>
        <w:spacing w:after="0" w:before="0" w:line="360" w:lineRule="auto"/>
        <w:ind w:right="142"/>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1">
      <w:pPr>
        <w:spacing w:after="0" w:line="240" w:lineRule="auto"/>
        <w:ind w:left="567" w:right="47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“…costo de toda la publicidad en referencia a la lic. Alejandra del moral vela, hay un espectacular cada 10 metros, solicito el costo de todo ello incluyendo pago a medios de comunicación y cualquier otro servicio que ocupe para publicitar su imagen en este 2022.” (Sic).</w:t>
      </w:r>
    </w:p>
    <w:p w:rsidR="00000000" w:rsidDel="00000000" w:rsidP="00000000" w:rsidRDefault="00000000" w:rsidRPr="00000000" w14:paraId="00000052">
      <w:pPr>
        <w:spacing w:after="0" w:line="36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3">
      <w:pPr>
        <w:spacing w:after="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El </w:t>
      </w:r>
      <w:r w:rsidDel="00000000" w:rsidR="00000000" w:rsidRPr="00000000">
        <w:rPr>
          <w:rFonts w:ascii="Palatino Linotype" w:cs="Palatino Linotype" w:eastAsia="Palatino Linotype" w:hAnsi="Palatino Linotype"/>
          <w:b w:val="1"/>
          <w:color w:val="000000"/>
          <w:rtl w:val="0"/>
        </w:rPr>
        <w:t xml:space="preserve">SUJETO OBLIGADO</w:t>
      </w:r>
      <w:r w:rsidDel="00000000" w:rsidR="00000000" w:rsidRPr="00000000">
        <w:rPr>
          <w:rFonts w:ascii="Palatino Linotype" w:cs="Palatino Linotype" w:eastAsia="Palatino Linotype" w:hAnsi="Palatino Linotype"/>
          <w:color w:val="000000"/>
          <w:rtl w:val="0"/>
        </w:rPr>
        <w:t xml:space="preserve"> a través de su Coordinación de Administración, Finanzas y Gestión documental, señaló</w:t>
      </w:r>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que el presupuesto de egresos autorizado a la Secretaría de Desarrollo Social por el ejercicio fiscal 2022</w:t>
      </w:r>
      <w:r w:rsidDel="00000000" w:rsidR="00000000" w:rsidRPr="00000000">
        <w:rPr>
          <w:rFonts w:ascii="Palatino Linotype" w:cs="Palatino Linotype" w:eastAsia="Palatino Linotype" w:hAnsi="Palatino Linotype"/>
          <w:b w:val="1"/>
          <w:sz w:val="24"/>
          <w:szCs w:val="24"/>
          <w:rtl w:val="0"/>
        </w:rPr>
        <w:t xml:space="preserve">, no hay recursos presupuestarios para realizar erogaciones por concepto de pago de propaganda (espectáculos), asimismo esa dependencia </w:t>
      </w:r>
      <w:r w:rsidDel="00000000" w:rsidR="00000000" w:rsidRPr="00000000">
        <w:rPr>
          <w:rFonts w:ascii="Palatino Linotype" w:cs="Palatino Linotype" w:eastAsia="Palatino Linotype" w:hAnsi="Palatino Linotype"/>
          <w:b w:val="1"/>
          <w:sz w:val="24"/>
          <w:szCs w:val="24"/>
          <w:u w:val="single"/>
          <w:rtl w:val="0"/>
        </w:rPr>
        <w:t xml:space="preserve">no tiene facultades ni atribuciones, para realizar contrataciones por servicios de publicidad y propaganda</w:t>
      </w:r>
      <w:r w:rsidDel="00000000" w:rsidR="00000000" w:rsidRPr="00000000">
        <w:rPr>
          <w:rFonts w:ascii="Palatino Linotype" w:cs="Palatino Linotype" w:eastAsia="Palatino Linotype" w:hAnsi="Palatino Linotype"/>
          <w:b w:val="1"/>
          <w:sz w:val="24"/>
          <w:szCs w:val="24"/>
          <w:rtl w:val="0"/>
        </w:rPr>
        <w:t xml:space="preserve"> y desconoce cuántos espectaculares hay de la Maestra Alejandra Del Moral Vela, Titular de esa dependencia, ubicados en el territorio del Estado de México, </w:t>
      </w:r>
      <w:r w:rsidDel="00000000" w:rsidR="00000000" w:rsidRPr="00000000">
        <w:rPr>
          <w:rFonts w:ascii="Palatino Linotype" w:cs="Palatino Linotype" w:eastAsia="Palatino Linotype" w:hAnsi="Palatino Linotype"/>
          <w:sz w:val="24"/>
          <w:szCs w:val="24"/>
          <w:rtl w:val="0"/>
        </w:rPr>
        <w:t xml:space="preserve">por lo que se encuentran imposibilitados de proporcionarle la información requerida.</w:t>
      </w:r>
      <w:r w:rsidDel="00000000" w:rsidR="00000000" w:rsidRPr="00000000">
        <w:rPr>
          <w:rFonts w:ascii="Palatino Linotype" w:cs="Palatino Linotype" w:eastAsia="Palatino Linotype" w:hAnsi="Palatino Linotype"/>
          <w:color w:val="000000"/>
          <w:rtl w:val="0"/>
        </w:rPr>
        <w:t xml:space="preserve"> </w:t>
      </w:r>
    </w:p>
    <w:p w:rsidR="00000000" w:rsidDel="00000000" w:rsidP="00000000" w:rsidRDefault="00000000" w:rsidRPr="00000000" w14:paraId="00000054">
      <w:pPr>
        <w:spacing w:after="0"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55">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Ante la respuesta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el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se inconformó porque no le entregaron la información. </w:t>
      </w:r>
    </w:p>
    <w:p w:rsidR="00000000" w:rsidDel="00000000" w:rsidP="00000000" w:rsidRDefault="00000000" w:rsidRPr="00000000" w14:paraId="00000056">
      <w:pPr>
        <w:spacing w:after="8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40" w:before="8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Admitido el recurso de revisión, en términos del artículo 185 fracción II</w:t>
      </w:r>
      <w:r w:rsidDel="00000000" w:rsidR="00000000" w:rsidRPr="00000000">
        <w:rPr>
          <w:rFonts w:ascii="Palatino Linotype" w:cs="Palatino Linotype" w:eastAsia="Palatino Linotype" w:hAnsi="Palatino Linotype"/>
          <w:sz w:val="24"/>
          <w:szCs w:val="24"/>
          <w:vertAlign w:val="superscript"/>
        </w:rPr>
        <w:footnoteReference w:customMarkFollows="0" w:id="1"/>
      </w:r>
      <w:r w:rsidDel="00000000" w:rsidR="00000000" w:rsidRPr="00000000">
        <w:rPr>
          <w:rFonts w:ascii="Palatino Linotype" w:cs="Palatino Linotype" w:eastAsia="Palatino Linotype" w:hAnsi="Palatino Linotype"/>
          <w:sz w:val="24"/>
          <w:szCs w:val="24"/>
          <w:rtl w:val="0"/>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por lo que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ratificó su respuesta.</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40" w:before="240" w:line="360" w:lineRule="auto"/>
        <w:ind w:right="139"/>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sz w:val="24"/>
          <w:szCs w:val="24"/>
          <w:rtl w:val="0"/>
        </w:rPr>
        <w:t xml:space="preserve">En tal sentido, derivado del análisis efectuado, la ponencia consideró que los motivos de inconformidad aducidos por la persona solicitante resultaban infundados, y determinó </w:t>
      </w:r>
      <w:r w:rsidDel="00000000" w:rsidR="00000000" w:rsidRPr="00000000">
        <w:rPr>
          <w:rFonts w:ascii="Palatino Linotype" w:cs="Palatino Linotype" w:eastAsia="Palatino Linotype" w:hAnsi="Palatino Linotype"/>
          <w:b w:val="1"/>
          <w:sz w:val="24"/>
          <w:szCs w:val="24"/>
          <w:rtl w:val="0"/>
        </w:rPr>
        <w:t xml:space="preserve">CONFIRMAR</w:t>
      </w:r>
      <w:r w:rsidDel="00000000" w:rsidR="00000000" w:rsidRPr="00000000">
        <w:rPr>
          <w:rFonts w:ascii="Palatino Linotype" w:cs="Palatino Linotype" w:eastAsia="Palatino Linotype" w:hAnsi="Palatino Linotype"/>
          <w:sz w:val="24"/>
          <w:szCs w:val="24"/>
          <w:rtl w:val="0"/>
        </w:rPr>
        <w:t xml:space="preserve"> la respuesta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tl w:val="0"/>
        </w:rPr>
      </w:r>
    </w:p>
    <w:p w:rsidR="00000000" w:rsidDel="00000000" w:rsidP="00000000" w:rsidRDefault="00000000" w:rsidRPr="00000000" w14:paraId="00000059">
      <w:pPr>
        <w:spacing w:after="240" w:before="240" w:line="360" w:lineRule="auto"/>
        <w:ind w:right="139"/>
        <w:jc w:val="both"/>
        <w:rPr>
          <w:rFonts w:ascii="Palatino Linotype" w:cs="Palatino Linotype" w:eastAsia="Palatino Linotype" w:hAnsi="Palatino Linotype"/>
          <w:b w:val="1"/>
          <w:sz w:val="24"/>
          <w:szCs w:val="24"/>
          <w:highlight w:val="red"/>
        </w:rPr>
      </w:pPr>
      <w:r w:rsidDel="00000000" w:rsidR="00000000" w:rsidRPr="00000000">
        <w:rPr>
          <w:rFonts w:ascii="Palatino Linotype" w:cs="Palatino Linotype" w:eastAsia="Palatino Linotype" w:hAnsi="Palatino Linotype"/>
          <w:b w:val="1"/>
          <w:sz w:val="24"/>
          <w:szCs w:val="24"/>
          <w:rtl w:val="0"/>
        </w:rPr>
        <w:t xml:space="preserve">Razones del Voto Particular.</w:t>
      </w:r>
      <w:r w:rsidDel="00000000" w:rsidR="00000000" w:rsidRPr="00000000">
        <w:rPr>
          <w:rFonts w:ascii="Palatino Linotype" w:cs="Palatino Linotype" w:eastAsia="Palatino Linotype" w:hAnsi="Palatino Linotype"/>
          <w:b w:val="1"/>
          <w:sz w:val="24"/>
          <w:szCs w:val="24"/>
          <w:highlight w:val="red"/>
          <w:rtl w:val="0"/>
        </w:rPr>
        <w:t xml:space="preserve"> </w:t>
      </w:r>
    </w:p>
    <w:p w:rsidR="00000000" w:rsidDel="00000000" w:rsidP="00000000" w:rsidRDefault="00000000" w:rsidRPr="00000000" w14:paraId="0000005A">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se comparte el sentido de la resolución al confirmar la respuesta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por los argumentos que se exponen a continuación:</w:t>
      </w:r>
    </w:p>
    <w:p w:rsidR="00000000" w:rsidDel="00000000" w:rsidP="00000000" w:rsidRDefault="00000000" w:rsidRPr="00000000" w14:paraId="0000005B">
      <w:pPr>
        <w:spacing w:after="0" w:line="360" w:lineRule="auto"/>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sz w:val="24"/>
          <w:szCs w:val="24"/>
          <w:rtl w:val="0"/>
        </w:rPr>
        <w:t xml:space="preserve">En primer lugar,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señaló en su respuesta, a través de su </w:t>
      </w:r>
      <w:r w:rsidDel="00000000" w:rsidR="00000000" w:rsidRPr="00000000">
        <w:rPr>
          <w:rFonts w:ascii="Palatino Linotype" w:cs="Palatino Linotype" w:eastAsia="Palatino Linotype" w:hAnsi="Palatino Linotype"/>
          <w:color w:val="000000"/>
          <w:sz w:val="24"/>
          <w:szCs w:val="24"/>
          <w:rtl w:val="0"/>
        </w:rPr>
        <w:t xml:space="preserve">Coordinación de Administración, Finanzas y Gestión documental, </w:t>
      </w:r>
      <w:r w:rsidDel="00000000" w:rsidR="00000000" w:rsidRPr="00000000">
        <w:rPr>
          <w:rFonts w:ascii="Palatino Linotype" w:cs="Palatino Linotype" w:eastAsia="Palatino Linotype" w:hAnsi="Palatino Linotype"/>
          <w:sz w:val="24"/>
          <w:szCs w:val="24"/>
          <w:rtl w:val="0"/>
        </w:rPr>
        <w:t xml:space="preserve">que el presupuesto de egresos autorizado a la Secretaría de Desarrollo Social por el ejercicio fiscal 2022</w:t>
      </w:r>
      <w:r w:rsidDel="00000000" w:rsidR="00000000" w:rsidRPr="00000000">
        <w:rPr>
          <w:rFonts w:ascii="Palatino Linotype" w:cs="Palatino Linotype" w:eastAsia="Palatino Linotype" w:hAnsi="Palatino Linotype"/>
          <w:b w:val="1"/>
          <w:sz w:val="24"/>
          <w:szCs w:val="24"/>
          <w:rtl w:val="0"/>
        </w:rPr>
        <w:t xml:space="preserve">, no hay recursos presupuestarios para realizar erogaciones por concepto de pago de propaganda (espectáculos), asimismo enfatizó que </w:t>
      </w:r>
      <w:r w:rsidDel="00000000" w:rsidR="00000000" w:rsidRPr="00000000">
        <w:rPr>
          <w:rFonts w:ascii="Palatino Linotype" w:cs="Palatino Linotype" w:eastAsia="Palatino Linotype" w:hAnsi="Palatino Linotype"/>
          <w:b w:val="1"/>
          <w:sz w:val="24"/>
          <w:szCs w:val="24"/>
          <w:u w:val="single"/>
          <w:rtl w:val="0"/>
        </w:rPr>
        <w:t xml:space="preserve">esa dependencia no tiene facultades ni atribuciones, </w:t>
      </w:r>
      <w:r w:rsidDel="00000000" w:rsidR="00000000" w:rsidRPr="00000000">
        <w:rPr>
          <w:rFonts w:ascii="Palatino Linotype" w:cs="Palatino Linotype" w:eastAsia="Palatino Linotype" w:hAnsi="Palatino Linotype"/>
          <w:b w:val="1"/>
          <w:sz w:val="24"/>
          <w:szCs w:val="24"/>
          <w:rtl w:val="0"/>
        </w:rPr>
        <w:t xml:space="preserve">para realizar contrataciones por servicios de publicidad y propaganda y desconoce cuántos espectaculares hay de la Maestra Alejandra Del Moral Vela, Titular de esa dependencia, ubicados en el territorio del Estado de México, </w:t>
      </w:r>
      <w:r w:rsidDel="00000000" w:rsidR="00000000" w:rsidRPr="00000000">
        <w:rPr>
          <w:rFonts w:ascii="Palatino Linotype" w:cs="Palatino Linotype" w:eastAsia="Palatino Linotype" w:hAnsi="Palatino Linotype"/>
          <w:sz w:val="24"/>
          <w:szCs w:val="24"/>
          <w:rtl w:val="0"/>
        </w:rPr>
        <w:t xml:space="preserve">por lo que se encuentran imposibilitados de proporcionarle la información requerida, </w:t>
      </w:r>
      <w:r w:rsidDel="00000000" w:rsidR="00000000" w:rsidRPr="00000000">
        <w:rPr>
          <w:rFonts w:ascii="Palatino Linotype" w:cs="Palatino Linotype" w:eastAsia="Palatino Linotype" w:hAnsi="Palatino Linotype"/>
          <w:color w:val="000000"/>
          <w:sz w:val="24"/>
          <w:szCs w:val="24"/>
          <w:rtl w:val="0"/>
        </w:rPr>
        <w:t xml:space="preserve">lo q</w:t>
      </w:r>
      <w:r w:rsidDel="00000000" w:rsidR="00000000" w:rsidRPr="00000000">
        <w:rPr>
          <w:rFonts w:ascii="Palatino Linotype" w:cs="Palatino Linotype" w:eastAsia="Palatino Linotype" w:hAnsi="Palatino Linotype"/>
          <w:sz w:val="24"/>
          <w:szCs w:val="24"/>
          <w:rtl w:val="0"/>
        </w:rPr>
        <w:t xml:space="preserve">ue da pie entonces a una incompetencia y no a un hecho negativo.</w:t>
      </w:r>
      <w:r w:rsidDel="00000000" w:rsidR="00000000" w:rsidRPr="00000000">
        <w:rPr>
          <w:rtl w:val="0"/>
        </w:rPr>
      </w:r>
    </w:p>
    <w:p w:rsidR="00000000" w:rsidDel="00000000" w:rsidP="00000000" w:rsidRDefault="00000000" w:rsidRPr="00000000" w14:paraId="0000005C">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D">
      <w:pPr>
        <w:spacing w:after="0" w:line="360" w:lineRule="auto"/>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sz w:val="24"/>
          <w:szCs w:val="24"/>
          <w:rtl w:val="0"/>
        </w:rPr>
        <w:t xml:space="preserve">En este sentido</w:t>
      </w:r>
      <w:r w:rsidDel="00000000" w:rsidR="00000000" w:rsidRPr="00000000">
        <w:rPr>
          <w:rFonts w:ascii="Palatino Linotype" w:cs="Palatino Linotype" w:eastAsia="Palatino Linotype" w:hAnsi="Palatino Linotype"/>
          <w:color w:val="000000"/>
          <w:sz w:val="24"/>
          <w:szCs w:val="24"/>
          <w:rtl w:val="0"/>
        </w:rPr>
        <w:t xml:space="preserve">, a</w:t>
      </w:r>
      <w:r w:rsidDel="00000000" w:rsidR="00000000" w:rsidRPr="00000000">
        <w:rPr>
          <w:rFonts w:ascii="Palatino Linotype" w:cs="Palatino Linotype" w:eastAsia="Palatino Linotype" w:hAnsi="Palatino Linotype"/>
          <w:sz w:val="24"/>
          <w:szCs w:val="24"/>
          <w:rtl w:val="0"/>
        </w:rPr>
        <w:t xml:space="preserve">l señalar únicamente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que no tiene facultades o atribuciones para realizar contrataciones por servicios de publicidad y propaganda, </w:t>
      </w:r>
      <w:r w:rsidDel="00000000" w:rsidR="00000000" w:rsidRPr="00000000">
        <w:rPr>
          <w:rFonts w:ascii="Palatino Linotype" w:cs="Palatino Linotype" w:eastAsia="Palatino Linotype" w:hAnsi="Palatino Linotype"/>
          <w:color w:val="000000"/>
          <w:sz w:val="24"/>
          <w:szCs w:val="24"/>
          <w:rtl w:val="0"/>
        </w:rPr>
        <w:t xml:space="preserve">se considera que el </w:t>
      </w:r>
      <w:r w:rsidDel="00000000" w:rsidR="00000000" w:rsidRPr="00000000">
        <w:rPr>
          <w:rFonts w:ascii="Palatino Linotype" w:cs="Palatino Linotype" w:eastAsia="Palatino Linotype" w:hAnsi="Palatino Linotype"/>
          <w:b w:val="1"/>
          <w:color w:val="000000"/>
          <w:sz w:val="24"/>
          <w:szCs w:val="24"/>
          <w:rtl w:val="0"/>
        </w:rPr>
        <w:t xml:space="preserve">SUJETO OBLIGADO</w:t>
      </w:r>
      <w:r w:rsidDel="00000000" w:rsidR="00000000" w:rsidRPr="00000000">
        <w:rPr>
          <w:rFonts w:ascii="Palatino Linotype" w:cs="Palatino Linotype" w:eastAsia="Palatino Linotype" w:hAnsi="Palatino Linotype"/>
          <w:color w:val="000000"/>
          <w:sz w:val="24"/>
          <w:szCs w:val="24"/>
          <w:rtl w:val="0"/>
        </w:rPr>
        <w:t xml:space="preserve"> incumplió con lo señalado por el artículo 167 de la Ley </w:t>
      </w:r>
      <w:r w:rsidDel="00000000" w:rsidR="00000000" w:rsidRPr="00000000">
        <w:rPr>
          <w:rFonts w:ascii="Palatino Linotype" w:cs="Palatino Linotype" w:eastAsia="Palatino Linotype" w:hAnsi="Palatino Linotype"/>
          <w:sz w:val="24"/>
          <w:szCs w:val="24"/>
          <w:rtl w:val="0"/>
        </w:rPr>
        <w:t xml:space="preserve">de Transparencia y Acceso a la Información Pública del Estado de México y Municipios</w:t>
      </w:r>
      <w:r w:rsidDel="00000000" w:rsidR="00000000" w:rsidRPr="00000000">
        <w:rPr>
          <w:rFonts w:ascii="Palatino Linotype" w:cs="Palatino Linotype" w:eastAsia="Palatino Linotype" w:hAnsi="Palatino Linotype"/>
          <w:color w:val="000000"/>
          <w:sz w:val="24"/>
          <w:szCs w:val="24"/>
          <w:rtl w:val="0"/>
        </w:rPr>
        <w:t xml:space="preserve"> que señala:</w:t>
      </w:r>
    </w:p>
    <w:p w:rsidR="00000000" w:rsidDel="00000000" w:rsidP="00000000" w:rsidRDefault="00000000" w:rsidRPr="00000000" w14:paraId="0000005E">
      <w:pPr>
        <w:spacing w:after="0"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5F">
      <w:pPr>
        <w:tabs>
          <w:tab w:val="left" w:leader="none" w:pos="851"/>
        </w:tabs>
        <w:spacing w:after="120" w:line="240" w:lineRule="auto"/>
        <w:ind w:left="851" w:right="902" w:firstLine="0"/>
        <w:jc w:val="both"/>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167</w:t>
      </w:r>
      <w:r w:rsidDel="00000000" w:rsidR="00000000" w:rsidRPr="00000000">
        <w:rPr>
          <w:rFonts w:ascii="Palatino Linotype" w:cs="Palatino Linotype" w:eastAsia="Palatino Linotype" w:hAnsi="Palatino Linotype"/>
          <w:i w:val="1"/>
          <w:sz w:val="20"/>
          <w:szCs w:val="20"/>
          <w:rtl w:val="0"/>
        </w:rPr>
        <w:t xml:space="preserve">. </w:t>
      </w:r>
      <w:r w:rsidDel="00000000" w:rsidR="00000000" w:rsidRPr="00000000">
        <w:rPr>
          <w:rFonts w:ascii="Palatino Linotype" w:cs="Palatino Linotype" w:eastAsia="Palatino Linotype" w:hAnsi="Palatino Linotype"/>
          <w:b w:val="1"/>
          <w:i w:val="1"/>
          <w:sz w:val="20"/>
          <w:szCs w:val="20"/>
          <w:rtl w:val="0"/>
        </w:rPr>
        <w:t xml:space="preserve">Cuando las unidades de transparencia determinen la notoria incompetencia</w:t>
      </w:r>
      <w:r w:rsidDel="00000000" w:rsidR="00000000" w:rsidRPr="00000000">
        <w:rPr>
          <w:rFonts w:ascii="Palatino Linotype" w:cs="Palatino Linotype" w:eastAsia="Palatino Linotype" w:hAnsi="Palatino Linotype"/>
          <w:i w:val="1"/>
          <w:sz w:val="20"/>
          <w:szCs w:val="20"/>
          <w:rtl w:val="0"/>
        </w:rPr>
        <w:t xml:space="preserve"> por parte de los sujetos obligados, dentro del ámbito de aplicación, para atender la solicitud de acceso a la información, </w:t>
      </w:r>
      <w:r w:rsidDel="00000000" w:rsidR="00000000" w:rsidRPr="00000000">
        <w:rPr>
          <w:rFonts w:ascii="Palatino Linotype" w:cs="Palatino Linotype" w:eastAsia="Palatino Linotype" w:hAnsi="Palatino Linotype"/>
          <w:b w:val="1"/>
          <w:i w:val="1"/>
          <w:sz w:val="20"/>
          <w:szCs w:val="20"/>
          <w:rtl w:val="0"/>
        </w:rPr>
        <w:t xml:space="preserve">deberán comunicarlo al solicitante, </w:t>
      </w:r>
      <w:r w:rsidDel="00000000" w:rsidR="00000000" w:rsidRPr="00000000">
        <w:rPr>
          <w:rFonts w:ascii="Palatino Linotype" w:cs="Palatino Linotype" w:eastAsia="Palatino Linotype" w:hAnsi="Palatino Linotype"/>
          <w:b w:val="1"/>
          <w:i w:val="1"/>
          <w:sz w:val="20"/>
          <w:szCs w:val="20"/>
          <w:u w:val="single"/>
          <w:rtl w:val="0"/>
        </w:rPr>
        <w:t xml:space="preserve">dentro de los tres días hábiles posteriores a la recepción de la solicitud</w:t>
      </w:r>
      <w:r w:rsidDel="00000000" w:rsidR="00000000" w:rsidRPr="00000000">
        <w:rPr>
          <w:rFonts w:ascii="Palatino Linotype" w:cs="Palatino Linotype" w:eastAsia="Palatino Linotype" w:hAnsi="Palatino Linotype"/>
          <w:i w:val="1"/>
          <w:sz w:val="20"/>
          <w:szCs w:val="20"/>
          <w:u w:val="single"/>
          <w:rtl w:val="0"/>
        </w:rPr>
        <w:t xml:space="preserve"> </w:t>
      </w:r>
      <w:r w:rsidDel="00000000" w:rsidR="00000000" w:rsidRPr="00000000">
        <w:rPr>
          <w:rFonts w:ascii="Palatino Linotype" w:cs="Palatino Linotype" w:eastAsia="Palatino Linotype" w:hAnsi="Palatino Linotype"/>
          <w:i w:val="1"/>
          <w:sz w:val="20"/>
          <w:szCs w:val="20"/>
          <w:rtl w:val="0"/>
        </w:rPr>
        <w:t xml:space="preserve">y, </w:t>
      </w:r>
      <w:r w:rsidDel="00000000" w:rsidR="00000000" w:rsidRPr="00000000">
        <w:rPr>
          <w:rFonts w:ascii="Palatino Linotype" w:cs="Palatino Linotype" w:eastAsia="Palatino Linotype" w:hAnsi="Palatino Linotype"/>
          <w:b w:val="1"/>
          <w:i w:val="1"/>
          <w:sz w:val="20"/>
          <w:szCs w:val="20"/>
          <w:rtl w:val="0"/>
        </w:rPr>
        <w:t xml:space="preserve">en su caso orientar al solicitante, el o los sujetos obligados competentes.” (Sic)</w:t>
      </w:r>
    </w:p>
    <w:p w:rsidR="00000000" w:rsidDel="00000000" w:rsidP="00000000" w:rsidRDefault="00000000" w:rsidRPr="00000000" w14:paraId="00000060">
      <w:pPr>
        <w:tabs>
          <w:tab w:val="left" w:leader="none" w:pos="851"/>
        </w:tabs>
        <w:spacing w:after="120" w:before="120" w:line="240" w:lineRule="auto"/>
        <w:ind w:left="851" w:right="902" w:firstLine="0"/>
        <w:jc w:val="both"/>
        <w:rPr>
          <w:rFonts w:ascii="Palatino Linotype" w:cs="Palatino Linotype" w:eastAsia="Palatino Linotype" w:hAnsi="Palatino Linotype"/>
          <w:b w:val="1"/>
          <w:i w:val="1"/>
          <w:sz w:val="20"/>
          <w:szCs w:val="20"/>
        </w:rPr>
      </w:pPr>
      <w:r w:rsidDel="00000000" w:rsidR="00000000" w:rsidRPr="00000000">
        <w:rPr>
          <w:rtl w:val="0"/>
        </w:rPr>
      </w:r>
    </w:p>
    <w:p w:rsidR="00000000" w:rsidDel="00000000" w:rsidP="00000000" w:rsidRDefault="00000000" w:rsidRPr="00000000" w14:paraId="00000061">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caso particular se advierte que la </w:t>
      </w:r>
      <w:r w:rsidDel="00000000" w:rsidR="00000000" w:rsidRPr="00000000">
        <w:rPr>
          <w:rFonts w:ascii="Palatino Linotype" w:cs="Palatino Linotype" w:eastAsia="Palatino Linotype" w:hAnsi="Palatino Linotype"/>
          <w:color w:val="000000"/>
          <w:sz w:val="24"/>
          <w:szCs w:val="24"/>
          <w:rtl w:val="0"/>
        </w:rPr>
        <w:t xml:space="preserve">respuesta </w:t>
      </w:r>
      <w:r w:rsidDel="00000000" w:rsidR="00000000" w:rsidRPr="00000000">
        <w:rPr>
          <w:rFonts w:ascii="Palatino Linotype" w:cs="Palatino Linotype" w:eastAsia="Palatino Linotype" w:hAnsi="Palatino Linotype"/>
          <w:sz w:val="24"/>
          <w:szCs w:val="24"/>
          <w:rtl w:val="0"/>
        </w:rPr>
        <w:t xml:space="preserve">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fue registrada </w:t>
      </w:r>
      <w:r w:rsidDel="00000000" w:rsidR="00000000" w:rsidRPr="00000000">
        <w:rPr>
          <w:rFonts w:ascii="Palatino Linotype" w:cs="Palatino Linotype" w:eastAsia="Palatino Linotype" w:hAnsi="Palatino Linotype"/>
          <w:color w:val="000000"/>
          <w:sz w:val="24"/>
          <w:szCs w:val="24"/>
          <w:rtl w:val="0"/>
        </w:rPr>
        <w:t xml:space="preserve">hasta el quinceavo día de la interposición de la solicitud de acceso a la información pública</w:t>
      </w:r>
      <w:r w:rsidDel="00000000" w:rsidR="00000000" w:rsidRPr="00000000">
        <w:rPr>
          <w:rFonts w:ascii="Palatino Linotype" w:cs="Palatino Linotype" w:eastAsia="Palatino Linotype" w:hAnsi="Palatino Linotype"/>
          <w:sz w:val="24"/>
          <w:szCs w:val="24"/>
          <w:rtl w:val="0"/>
        </w:rPr>
        <w:t xml:space="preserve">, luego entonces, conforme al criterio que en reiteradas ocasiones ha sostenido la mayoría del Pleno de este Instituto lo </w:t>
      </w:r>
      <w:r w:rsidDel="00000000" w:rsidR="00000000" w:rsidRPr="00000000">
        <w:rPr>
          <w:rFonts w:ascii="Palatino Linotype" w:cs="Palatino Linotype" w:eastAsia="Palatino Linotype" w:hAnsi="Palatino Linotype"/>
          <w:color w:val="000000"/>
          <w:sz w:val="24"/>
          <w:szCs w:val="24"/>
          <w:rtl w:val="0"/>
        </w:rPr>
        <w:t xml:space="preserve">procedente era que se ordenara el acuerdo de incompetencia, en donde el </w:t>
      </w:r>
      <w:r w:rsidDel="00000000" w:rsidR="00000000" w:rsidRPr="00000000">
        <w:rPr>
          <w:rFonts w:ascii="Palatino Linotype" w:cs="Palatino Linotype" w:eastAsia="Palatino Linotype" w:hAnsi="Palatino Linotype"/>
          <w:b w:val="1"/>
          <w:color w:val="000000"/>
          <w:sz w:val="24"/>
          <w:szCs w:val="24"/>
          <w:rtl w:val="0"/>
        </w:rPr>
        <w:t xml:space="preserve">SUJETO OBLIGADO</w:t>
      </w:r>
      <w:r w:rsidDel="00000000" w:rsidR="00000000" w:rsidRPr="00000000">
        <w:rPr>
          <w:rFonts w:ascii="Palatino Linotype" w:cs="Palatino Linotype" w:eastAsia="Palatino Linotype" w:hAnsi="Palatino Linotype"/>
          <w:color w:val="000000"/>
          <w:sz w:val="24"/>
          <w:szCs w:val="24"/>
          <w:rtl w:val="0"/>
        </w:rPr>
        <w:t xml:space="preserve"> expusiera las razones y motivos por los cuales no cuenta con la información</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62">
      <w:pPr>
        <w:spacing w:after="0" w:line="360" w:lineRule="auto"/>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63">
      <w:pPr>
        <w:spacing w:after="0" w:line="360" w:lineRule="auto"/>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sz w:val="24"/>
          <w:szCs w:val="24"/>
          <w:rtl w:val="0"/>
        </w:rPr>
        <w:t xml:space="preserve">Más aún cuando se advierte que</w:t>
      </w:r>
      <w:r w:rsidDel="00000000" w:rsidR="00000000" w:rsidRPr="00000000">
        <w:rPr>
          <w:rFonts w:ascii="Palatino Linotype" w:cs="Palatino Linotype" w:eastAsia="Palatino Linotype" w:hAnsi="Palatino Linotype"/>
          <w:color w:val="000000"/>
          <w:sz w:val="24"/>
          <w:szCs w:val="24"/>
          <w:rtl w:val="0"/>
        </w:rPr>
        <w:t xml:space="preserve"> dentro de la Administración Pública del Estado de México, se cuenta con la Coordinación General de Comunicación Social que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color w:val="000000"/>
          <w:sz w:val="24"/>
          <w:szCs w:val="24"/>
          <w:rtl w:val="0"/>
        </w:rPr>
        <w:t xml:space="preserve">de acuerdo a su reglamento Interior, cuenta una Dirección General de Publicidad, la cual tiene las siguientes atribuciones:</w:t>
      </w:r>
    </w:p>
    <w:p w:rsidR="00000000" w:rsidDel="00000000" w:rsidP="00000000" w:rsidRDefault="00000000" w:rsidRPr="00000000" w14:paraId="00000064">
      <w:pPr>
        <w:spacing w:after="0" w:line="360" w:lineRule="auto"/>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65">
      <w:pPr>
        <w:tabs>
          <w:tab w:val="left" w:leader="none" w:pos="851"/>
        </w:tabs>
        <w:spacing w:after="120" w:line="24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“Artículo 10.- Corresponde a la Dirección General de Publicidad:</w:t>
      </w:r>
    </w:p>
    <w:p w:rsidR="00000000" w:rsidDel="00000000" w:rsidP="00000000" w:rsidRDefault="00000000" w:rsidRPr="00000000" w14:paraId="00000066">
      <w:pPr>
        <w:tabs>
          <w:tab w:val="left" w:leader="none" w:pos="851"/>
        </w:tabs>
        <w:spacing w:after="120" w:before="120" w:line="240" w:lineRule="auto"/>
        <w:ind w:left="851" w:right="902" w:firstLine="0"/>
        <w:jc w:val="both"/>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I. Formular, ejecutar y evaluar programas, proyectos y estudios de publicidad. </w:t>
      </w:r>
    </w:p>
    <w:p w:rsidR="00000000" w:rsidDel="00000000" w:rsidP="00000000" w:rsidRDefault="00000000" w:rsidRPr="00000000" w14:paraId="00000067">
      <w:pPr>
        <w:tabs>
          <w:tab w:val="left" w:leader="none" w:pos="851"/>
        </w:tabs>
        <w:spacing w:after="120" w:before="120" w:line="24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II. Programar los servicios de comunicación necesarios para difundir las actividades del Poder Ejecutivo Estatal. </w:t>
      </w:r>
    </w:p>
    <w:p w:rsidR="00000000" w:rsidDel="00000000" w:rsidP="00000000" w:rsidRDefault="00000000" w:rsidRPr="00000000" w14:paraId="00000068">
      <w:pPr>
        <w:tabs>
          <w:tab w:val="left" w:leader="none" w:pos="851"/>
        </w:tabs>
        <w:spacing w:after="120" w:before="120" w:line="24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III. Programar el desarrollo de las </w:t>
      </w:r>
      <w:r w:rsidDel="00000000" w:rsidR="00000000" w:rsidRPr="00000000">
        <w:rPr>
          <w:rFonts w:ascii="Palatino Linotype" w:cs="Palatino Linotype" w:eastAsia="Palatino Linotype" w:hAnsi="Palatino Linotype"/>
          <w:b w:val="1"/>
          <w:i w:val="1"/>
          <w:sz w:val="20"/>
          <w:szCs w:val="20"/>
          <w:u w:val="single"/>
          <w:rtl w:val="0"/>
        </w:rPr>
        <w:t xml:space="preserve">campañas de difusión de las dependencias</w:t>
      </w:r>
      <w:r w:rsidDel="00000000" w:rsidR="00000000" w:rsidRPr="00000000">
        <w:rPr>
          <w:rFonts w:ascii="Palatino Linotype" w:cs="Palatino Linotype" w:eastAsia="Palatino Linotype" w:hAnsi="Palatino Linotype"/>
          <w:b w:val="1"/>
          <w:i w:val="1"/>
          <w:sz w:val="20"/>
          <w:szCs w:val="20"/>
          <w:rtl w:val="0"/>
        </w:rPr>
        <w:t xml:space="preserve"> y organismos auxiliares </w:t>
      </w:r>
      <w:r w:rsidDel="00000000" w:rsidR="00000000" w:rsidRPr="00000000">
        <w:rPr>
          <w:rFonts w:ascii="Palatino Linotype" w:cs="Palatino Linotype" w:eastAsia="Palatino Linotype" w:hAnsi="Palatino Linotype"/>
          <w:b w:val="1"/>
          <w:i w:val="1"/>
          <w:sz w:val="20"/>
          <w:szCs w:val="20"/>
          <w:u w:val="single"/>
          <w:rtl w:val="0"/>
        </w:rPr>
        <w:t xml:space="preserve">de la administración pública estatal</w:t>
      </w:r>
      <w:r w:rsidDel="00000000" w:rsidR="00000000" w:rsidRPr="00000000">
        <w:rPr>
          <w:rFonts w:ascii="Palatino Linotype" w:cs="Palatino Linotype" w:eastAsia="Palatino Linotype" w:hAnsi="Palatino Linotype"/>
          <w:i w:val="1"/>
          <w:sz w:val="20"/>
          <w:szCs w:val="20"/>
          <w:rtl w:val="0"/>
        </w:rPr>
        <w:t xml:space="preserve">. </w:t>
      </w:r>
    </w:p>
    <w:p w:rsidR="00000000" w:rsidDel="00000000" w:rsidP="00000000" w:rsidRDefault="00000000" w:rsidRPr="00000000" w14:paraId="00000069">
      <w:pPr>
        <w:tabs>
          <w:tab w:val="left" w:leader="none" w:pos="851"/>
        </w:tabs>
        <w:spacing w:after="120" w:before="120" w:line="24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IV. Establecer mecanismos administrativos y operativos para mantener en óptimas condiciones la comunicación exterior destinada a difundir la acción gubernamental. </w:t>
      </w:r>
    </w:p>
    <w:p w:rsidR="00000000" w:rsidDel="00000000" w:rsidP="00000000" w:rsidRDefault="00000000" w:rsidRPr="00000000" w14:paraId="0000006A">
      <w:pPr>
        <w:tabs>
          <w:tab w:val="left" w:leader="none" w:pos="851"/>
        </w:tabs>
        <w:spacing w:after="120" w:before="120" w:line="24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V. Promover y, en su caso, realizar investigaciones en materia de comunicación social. </w:t>
      </w:r>
      <w:r w:rsidDel="00000000" w:rsidR="00000000" w:rsidRPr="00000000">
        <w:rPr>
          <w:rFonts w:ascii="Palatino Linotype" w:cs="Palatino Linotype" w:eastAsia="Palatino Linotype" w:hAnsi="Palatino Linotype"/>
          <w:b w:val="1"/>
          <w:i w:val="1"/>
          <w:sz w:val="20"/>
          <w:szCs w:val="20"/>
          <w:rtl w:val="0"/>
        </w:rPr>
        <w:t xml:space="preserve">VI. Coordinar la instalación y mantenimiento de estructuras metálicas que difundan mensajes de acción de los programas gubernamentales, conforme a las disposiciones legales y reglamentarias en la materia.</w:t>
      </w:r>
      <w:r w:rsidDel="00000000" w:rsidR="00000000" w:rsidRPr="00000000">
        <w:rPr>
          <w:rFonts w:ascii="Palatino Linotype" w:cs="Palatino Linotype" w:eastAsia="Palatino Linotype" w:hAnsi="Palatino Linotype"/>
          <w:i w:val="1"/>
          <w:sz w:val="20"/>
          <w:szCs w:val="20"/>
          <w:rtl w:val="0"/>
        </w:rPr>
        <w:t xml:space="preserve"> </w:t>
      </w:r>
    </w:p>
    <w:p w:rsidR="00000000" w:rsidDel="00000000" w:rsidP="00000000" w:rsidRDefault="00000000" w:rsidRPr="00000000" w14:paraId="0000006B">
      <w:pPr>
        <w:tabs>
          <w:tab w:val="left" w:leader="none" w:pos="851"/>
        </w:tabs>
        <w:spacing w:after="120" w:before="120" w:line="24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VII. Las demás que le confieren otras disposiciones legales y aquellas que le encomiende el Coordinador General.” (Sic)</w:t>
      </w:r>
    </w:p>
    <w:p w:rsidR="00000000" w:rsidDel="00000000" w:rsidP="00000000" w:rsidRDefault="00000000" w:rsidRPr="00000000" w14:paraId="0000006C">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consecuencia, se debió instruir al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a declarar la incompetencia en términos de lo establecido por el artículo 49 de la Ley de la Materia, que se cita a continuación para mayor referencia:</w:t>
      </w:r>
    </w:p>
    <w:p w:rsidR="00000000" w:rsidDel="00000000" w:rsidP="00000000" w:rsidRDefault="00000000" w:rsidRPr="00000000" w14:paraId="0000006D">
      <w:pPr>
        <w:ind w:left="567" w:right="56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49. Los Comités de Transparencia tendrán las siguientes atribuciones</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6E">
      <w:pPr>
        <w:ind w:left="567" w:right="56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 </w:t>
      </w:r>
      <w:r w:rsidDel="00000000" w:rsidR="00000000" w:rsidRPr="00000000">
        <w:rPr>
          <w:rFonts w:ascii="Palatino Linotype" w:cs="Palatino Linotype" w:eastAsia="Palatino Linotype" w:hAnsi="Palatino Linotype"/>
          <w:i w:val="1"/>
          <w:rtl w:val="0"/>
        </w:rPr>
        <w:t xml:space="preserve">Instituir, coordinar y supervisar en términos de las disposiciones aplicables, las acciones, medidas y procedimientos que coadyuven a asegurar una mayor eficacia en la gestión y atención de las solicitudes en materia de acceso a la información;</w:t>
      </w:r>
    </w:p>
    <w:p w:rsidR="00000000" w:rsidDel="00000000" w:rsidP="00000000" w:rsidRDefault="00000000" w:rsidRPr="00000000" w14:paraId="0000006F">
      <w:pPr>
        <w:ind w:left="567" w:right="56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II. Confirmar, modificar o revocar las determinaciones que, en materia de ampliación del plazo de respuesta, clasificación de la información y declaración de inexistencia 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u w:val="single"/>
          <w:rtl w:val="0"/>
        </w:rPr>
        <w:t xml:space="preserve">de incompetencia realicen los titulares de las áreas de los sujetos obligados…” </w:t>
      </w:r>
      <w:r w:rsidDel="00000000" w:rsidR="00000000" w:rsidRPr="00000000">
        <w:rPr>
          <w:rFonts w:ascii="Palatino Linotype" w:cs="Palatino Linotype" w:eastAsia="Palatino Linotype" w:hAnsi="Palatino Linotype"/>
          <w:b w:val="1"/>
          <w:i w:val="1"/>
          <w:rtl w:val="0"/>
        </w:rPr>
        <w:t xml:space="preserve">(Sic)</w:t>
      </w:r>
      <w:r w:rsidDel="00000000" w:rsidR="00000000" w:rsidRPr="00000000">
        <w:rPr>
          <w:rtl w:val="0"/>
        </w:rPr>
      </w:r>
    </w:p>
    <w:p w:rsidR="00000000" w:rsidDel="00000000" w:rsidP="00000000" w:rsidRDefault="00000000" w:rsidRPr="00000000" w14:paraId="00000070">
      <w:pPr>
        <w:tabs>
          <w:tab w:val="left" w:leader="none" w:pos="142"/>
          <w:tab w:val="left" w:leader="none" w:pos="284"/>
        </w:tabs>
        <w:spacing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Del precepto citado se desprende que es atribución del Comité de Transparencia confirmar, modificar o revocar, en su caso, la declaración de incompetencia,</w:t>
      </w:r>
      <w:r w:rsidDel="00000000" w:rsidR="00000000" w:rsidRPr="00000000">
        <w:rPr>
          <w:rFonts w:ascii="Palatino Linotype" w:cs="Palatino Linotype" w:eastAsia="Palatino Linotype" w:hAnsi="Palatino Linotype"/>
          <w:b w:val="1"/>
          <w:sz w:val="24"/>
          <w:szCs w:val="24"/>
          <w:rtl w:val="0"/>
        </w:rPr>
        <w:t xml:space="preserve"> en aquellos casos en los que no se trate de una notoria incompetencia. </w:t>
      </w:r>
    </w:p>
    <w:p w:rsidR="00000000" w:rsidDel="00000000" w:rsidP="00000000" w:rsidRDefault="00000000" w:rsidRPr="00000000" w14:paraId="00000071">
      <w:pPr>
        <w:tabs>
          <w:tab w:val="left" w:leader="none" w:pos="142"/>
          <w:tab w:val="left" w:leader="none" w:pos="284"/>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b w:val="1"/>
          <w:sz w:val="24"/>
          <w:szCs w:val="24"/>
          <w:u w:val="single"/>
          <w:rtl w:val="0"/>
        </w:rPr>
        <w:t xml:space="preserve">duda razonable sobre la administración del documento materia de la solicitud de información</w:t>
      </w:r>
      <w:r w:rsidDel="00000000" w:rsidR="00000000" w:rsidRPr="00000000">
        <w:rPr>
          <w:rFonts w:ascii="Palatino Linotype" w:cs="Palatino Linotype" w:eastAsia="Palatino Linotype" w:hAnsi="Palatino Linotype"/>
          <w:sz w:val="24"/>
          <w:szCs w:val="24"/>
          <w:rtl w:val="0"/>
        </w:rPr>
        <w:t xml:space="preserve">, como se lee enseguida:</w:t>
      </w:r>
    </w:p>
    <w:p w:rsidR="00000000" w:rsidDel="00000000" w:rsidP="00000000" w:rsidRDefault="00000000" w:rsidRPr="00000000" w14:paraId="00000072">
      <w:pPr>
        <w:ind w:left="851" w:right="900"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rtl w:val="0"/>
        </w:rPr>
        <w:t xml:space="preserve">“DECLARATORIA DE INCOMPETENCIA DEL SUJETO OBLIGADO. SUPUESTO PARA CONFIRMARLA POR ACUERDO DEL COMITÉ DE TRANSPARENCIA. </w:t>
      </w:r>
      <w:r w:rsidDel="00000000" w:rsidR="00000000" w:rsidRPr="00000000">
        <w:rPr>
          <w:rFonts w:ascii="Palatino Linotype" w:cs="Palatino Linotype" w:eastAsia="Palatino Linotype" w:hAnsi="Palatino Linotype"/>
          <w:i w:val="1"/>
          <w:rtl w:val="0"/>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w:t>
      </w:r>
      <w:r w:rsidDel="00000000" w:rsidR="00000000" w:rsidRPr="00000000">
        <w:rPr>
          <w:rFonts w:ascii="Palatino Linotype" w:cs="Palatino Linotype" w:eastAsia="Palatino Linotype" w:hAnsi="Palatino Linotype"/>
          <w:b w:val="1"/>
          <w:i w:val="1"/>
          <w:rtl w:val="0"/>
        </w:rPr>
        <w:t xml:space="preserve">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w:t>
      </w:r>
      <w:r w:rsidDel="00000000" w:rsidR="00000000" w:rsidRPr="00000000">
        <w:rPr>
          <w:rFonts w:ascii="Palatino Linotype" w:cs="Palatino Linotype" w:eastAsia="Palatino Linotype" w:hAnsi="Palatino Linotype"/>
          <w:i w:val="1"/>
          <w:rtl w:val="0"/>
        </w:rPr>
        <w:t xml:space="preserve">, carece de facultades, competencias o funciones para poseer o generar la información requerida; lo anterior, sin perjuicio de que pueda gestionar la colaboración de otro Sujeto Obligado competente para atender la solicitud.”(Sic</w:t>
      </w:r>
      <w:r w:rsidDel="00000000" w:rsidR="00000000" w:rsidRPr="00000000">
        <w:rPr>
          <w:rFonts w:ascii="Palatino Linotype" w:cs="Palatino Linotype" w:eastAsia="Palatino Linotype" w:hAnsi="Palatino Linotype"/>
          <w:i w:val="1"/>
          <w:sz w:val="20"/>
          <w:szCs w:val="20"/>
          <w:rtl w:val="0"/>
        </w:rPr>
        <w:t xml:space="preserve">)</w:t>
      </w:r>
    </w:p>
    <w:p w:rsidR="00000000" w:rsidDel="00000000" w:rsidP="00000000" w:rsidRDefault="00000000" w:rsidRPr="00000000" w14:paraId="00000073">
      <w:pPr>
        <w:tabs>
          <w:tab w:val="left" w:leader="none" w:pos="142"/>
          <w:tab w:val="left" w:leader="none" w:pos="284"/>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por todo lo vertido en líneas argumentativas anteriores que la suscrita no comparte que se confirme la respuesta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sino se debió ordenar el acuerdo de incompetencia que de acuerdo al criterio mayoritario del Pleno de este Instituto, es factible que se ordene los acuerdos de incompetencia cuando no se trate de una notoria incompetencia. </w:t>
      </w:r>
    </w:p>
    <w:p w:rsidR="00000000" w:rsidDel="00000000" w:rsidP="00000000" w:rsidRDefault="00000000" w:rsidRPr="00000000" w14:paraId="00000074">
      <w:pPr>
        <w:spacing w:after="0" w:line="360" w:lineRule="auto"/>
        <w:jc w:val="both"/>
        <w:rPr>
          <w:rFonts w:ascii="Palatino Linotype" w:cs="Palatino Linotype" w:eastAsia="Palatino Linotype" w:hAnsi="Palatino Linotype"/>
          <w:sz w:val="24"/>
          <w:szCs w:val="24"/>
        </w:rPr>
        <w:sectPr>
          <w:headerReference r:id="rId11" w:type="default"/>
          <w:headerReference r:id="rId12" w:type="first"/>
          <w:headerReference r:id="rId13" w:type="even"/>
          <w:footerReference r:id="rId14" w:type="default"/>
          <w:pgSz w:h="15840" w:w="12240" w:orient="portrait"/>
          <w:pgMar w:bottom="3544" w:top="1276" w:left="1701" w:right="1701" w:header="709" w:footer="709"/>
          <w:pgNumType w:start="1"/>
        </w:sectPr>
      </w:pPr>
      <w:bookmarkStart w:colFirst="0" w:colLast="0" w:name="_heading=h.30j0zll" w:id="1"/>
      <w:bookmarkEnd w:id="1"/>
      <w:r w:rsidDel="00000000" w:rsidR="00000000" w:rsidRPr="00000000">
        <w:rPr>
          <w:rFonts w:ascii="Palatino Linotype" w:cs="Palatino Linotype" w:eastAsia="Palatino Linotype" w:hAnsi="Palatino Linotype"/>
          <w:sz w:val="24"/>
          <w:szCs w:val="24"/>
          <w:rtl w:val="0"/>
        </w:rPr>
        <w:t xml:space="preserve">Por todo lo expuesto es que se formula el presente voto particular, en los términos precisados.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762000</wp:posOffset>
                </wp:positionV>
                <wp:extent cx="5574462" cy="3829809"/>
                <wp:effectExtent b="0" l="0" r="0" t="0"/>
                <wp:wrapNone/>
                <wp:docPr id="7" name=""/>
                <a:graphic>
                  <a:graphicData uri="http://schemas.microsoft.com/office/word/2010/wordprocessingShape">
                    <wps:wsp>
                      <wps:cNvCnPr/>
                      <wps:spPr>
                        <a:xfrm>
                          <a:off x="2563532" y="1869858"/>
                          <a:ext cx="5564937" cy="3820284"/>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762000</wp:posOffset>
                </wp:positionV>
                <wp:extent cx="5574462" cy="3829809"/>
                <wp:effectExtent b="0" l="0" r="0" t="0"/>
                <wp:wrapNone/>
                <wp:docPr id="7"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5574462" cy="3829809"/>
                        </a:xfrm>
                        <a:prstGeom prst="rect"/>
                        <a:ln/>
                      </pic:spPr>
                    </pic:pic>
                  </a:graphicData>
                </a:graphic>
              </wp:anchor>
            </w:drawing>
          </mc:Fallback>
        </mc:AlternateContent>
      </w:r>
    </w:p>
    <w:p w:rsidR="00000000" w:rsidDel="00000000" w:rsidP="00000000" w:rsidRDefault="00000000" w:rsidRPr="00000000" w14:paraId="00000075">
      <w:pPr>
        <w:rPr>
          <w:rFonts w:ascii="Palatino Linotype" w:cs="Palatino Linotype" w:eastAsia="Palatino Linotype" w:hAnsi="Palatino Linotype"/>
          <w:sz w:val="24"/>
          <w:szCs w:val="24"/>
        </w:rPr>
      </w:pPr>
      <w:r w:rsidDel="00000000" w:rsidR="00000000" w:rsidRPr="00000000">
        <w:rPr>
          <w:rtl w:val="0"/>
        </w:rPr>
      </w:r>
    </w:p>
    <w:sectPr>
      <w:headerReference r:id="rId16" w:type="default"/>
      <w:type w:val="nextPage"/>
      <w:pgSz w:h="15840" w:w="12240" w:orient="portrait"/>
      <w:pgMar w:bottom="2211" w:top="1276" w:left="1701" w:right="170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12</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Artículo 150 de la Ley de Transparencia y Acceso a la Información Pública del Estado de México y Municipios</w:t>
      </w:r>
    </w:p>
  </w:footnote>
  <w:footnote w:id="1">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720" w:hanging="720"/>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w:t>
      </w:r>
      <w:r w:rsidDel="00000000" w:rsidR="00000000" w:rsidRPr="00000000">
        <w:rPr>
          <w:rFonts w:ascii="Palatino Linotype" w:cs="Palatino Linotype" w:eastAsia="Palatino Linotype" w:hAnsi="Palatino Linotype"/>
          <w:b w:val="1"/>
          <w:color w:val="000000"/>
          <w:sz w:val="16"/>
          <w:szCs w:val="16"/>
          <w:rtl w:val="0"/>
        </w:rPr>
        <w:t xml:space="preserve">Artículo 185.</w:t>
      </w:r>
      <w:r w:rsidDel="00000000" w:rsidR="00000000" w:rsidRPr="00000000">
        <w:rPr>
          <w:rFonts w:ascii="Palatino Linotype" w:cs="Palatino Linotype" w:eastAsia="Palatino Linotype" w:hAnsi="Palatino Linotype"/>
          <w:color w:val="000000"/>
          <w:sz w:val="16"/>
          <w:szCs w:val="16"/>
          <w:rtl w:val="0"/>
        </w:rPr>
        <w:t xml:space="preserve"> El Instituto resolverá el recurso de revisión conforme a lo siguiente: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Pr>
      <w:pict>
        <v:shape id="WordPictureWatermark2" style="position:absolute;width:598.5pt;height:779.25pt;rotation:0;z-index:-503316481;mso-position-horizontal-relative:margin;mso-position-horizontal:absolute;margin-left:-53.7pt;mso-position-vertical-relative:margin;mso-position-vertical:absolute;margin-top:-93.55pt;" alt="" type="#_x0000_t75">
          <v:imagedata cropbottom="0f" cropleft="0f" cropright="0f" croptop="0f" r:id="rId1" o:title="image2.jpg"/>
        </v:shape>
      </w:pic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VOTO PARTICULAR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RECURSO DE REVISIÓN 13750/INFOEM/IP/RR/2022 Y ACUMULADOS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598.5pt;height:779.25pt;rotation:0;z-index:-503316481;mso-position-horizontal-relative:margin;mso-position-horizontal:center;mso-position-vertical-relative:margin;mso-position-vertical:center;" alt="" type="#_x0000_t75">
          <v:imagedata cropbottom="0f" cropleft="0f" cropright="0f" croptop="0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598.5pt;height:779.25pt;rotation:0;z-index:-503316481;mso-position-horizontal-relative:margin;mso-position-horizontal:center;mso-position-vertical-relative:margin;mso-position-vertical:center;" alt="" type="#_x0000_t75">
          <v:imagedata cropbottom="0f" cropleft="0f" cropright="0f" croptop="0f" r:id="rId1" o:title="image2.jpg"/>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06490"/>
  </w:style>
  <w:style w:type="paragraph" w:styleId="Ttulo2">
    <w:name w:val="heading 2"/>
    <w:basedOn w:val="Normal"/>
    <w:next w:val="Normal"/>
    <w:link w:val="Ttulo2Car"/>
    <w:uiPriority w:val="9"/>
    <w:semiHidden w:val="1"/>
    <w:unhideWhenUsed w:val="1"/>
    <w:qFormat w:val="1"/>
    <w:rsid w:val="003446C4"/>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Ttulo5">
    <w:name w:val="heading 5"/>
    <w:basedOn w:val="Normal"/>
    <w:link w:val="Ttulo5Car"/>
    <w:uiPriority w:val="9"/>
    <w:qFormat w:val="1"/>
    <w:rsid w:val="00A77329"/>
    <w:pPr>
      <w:spacing w:after="100" w:afterAutospacing="1" w:before="100" w:beforeAutospacing="1" w:line="240" w:lineRule="auto"/>
      <w:outlineLvl w:val="4"/>
    </w:pPr>
    <w:rPr>
      <w:rFonts w:ascii="Times New Roman" w:cs="Times New Roman" w:eastAsia="Times New Roman" w:hAnsi="Times New Roman"/>
      <w:b w:val="1"/>
      <w:bCs w:val="1"/>
      <w:sz w:val="20"/>
      <w:szCs w:val="20"/>
      <w:lang w:eastAsia="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4E7F5E"/>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val="1"/>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BF688C"/>
    <w:pPr>
      <w:ind w:left="720"/>
      <w:contextualSpacing w:val="1"/>
    </w:pPr>
  </w:style>
  <w:style w:type="paragraph" w:styleId="Encabezado">
    <w:name w:val="header"/>
    <w:basedOn w:val="Normal"/>
    <w:link w:val="EncabezadoCar"/>
    <w:uiPriority w:val="99"/>
    <w:unhideWhenUsed w:val="1"/>
    <w:rsid w:val="001E33C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E33C5"/>
  </w:style>
  <w:style w:type="paragraph" w:styleId="Piedepgina">
    <w:name w:val="footer"/>
    <w:basedOn w:val="Normal"/>
    <w:link w:val="PiedepginaCar"/>
    <w:uiPriority w:val="99"/>
    <w:unhideWhenUsed w:val="1"/>
    <w:rsid w:val="001E33C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E33C5"/>
  </w:style>
  <w:style w:type="paragraph" w:styleId="justificadonormal" w:customStyle="1">
    <w:name w:val="justificadonormal"/>
    <w:basedOn w:val="Normal"/>
    <w:rsid w:val="00395EFC"/>
    <w:pPr>
      <w:spacing w:after="100" w:afterAutospacing="1" w:before="100" w:beforeAutospacing="1" w:line="240" w:lineRule="auto"/>
    </w:pPr>
    <w:rPr>
      <w:rFonts w:ascii="Times New Roman" w:cs="Times New Roman" w:eastAsia="Times New Roman" w:hAnsi="Times New Roman"/>
      <w:sz w:val="24"/>
      <w:szCs w:val="24"/>
      <w:lang w:eastAsia="es-MX"/>
    </w:rPr>
  </w:style>
  <w:style w:type="table" w:styleId="Tablaconcuadrcula">
    <w:name w:val="Table Grid"/>
    <w:basedOn w:val="Tablanormal"/>
    <w:uiPriority w:val="39"/>
    <w:rsid w:val="00136ED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7161AC"/>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161AC"/>
    <w:rPr>
      <w:rFonts w:ascii="Segoe UI" w:cs="Segoe UI" w:hAnsi="Segoe UI"/>
      <w:sz w:val="18"/>
      <w:szCs w:val="18"/>
    </w:rPr>
  </w:style>
  <w:style w:type="character" w:styleId="apple-converted-space" w:customStyle="1">
    <w:name w:val="apple-converted-space"/>
    <w:basedOn w:val="Fuentedeprrafopredeter"/>
    <w:rsid w:val="00622D24"/>
  </w:style>
  <w:style w:type="character" w:styleId="Hipervnculo">
    <w:name w:val="Hyperlink"/>
    <w:basedOn w:val="Fuentedeprrafopredeter"/>
    <w:uiPriority w:val="99"/>
    <w:unhideWhenUsed w:val="1"/>
    <w:rsid w:val="00751804"/>
    <w:rPr>
      <w:color w:val="0563c1" w:themeColor="hyperlink"/>
      <w:u w:val="single"/>
    </w:rPr>
  </w:style>
  <w:style w:type="paragraph" w:styleId="Textoindependiente">
    <w:name w:val="Body Text"/>
    <w:basedOn w:val="Normal"/>
    <w:link w:val="TextoindependienteCar"/>
    <w:uiPriority w:val="1"/>
    <w:qFormat w:val="1"/>
    <w:rsid w:val="00F27CE8"/>
    <w:pPr>
      <w:widowControl w:val="0"/>
      <w:spacing w:after="0" w:line="240" w:lineRule="auto"/>
      <w:ind w:left="2267"/>
    </w:pPr>
    <w:rPr>
      <w:rFonts w:ascii="Arial" w:eastAsia="Arial" w:hAnsi="Arial"/>
      <w:sz w:val="24"/>
      <w:szCs w:val="24"/>
      <w:lang w:val="en-US"/>
    </w:rPr>
  </w:style>
  <w:style w:type="character" w:styleId="TextoindependienteCar" w:customStyle="1">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val="1"/>
    <w:unhideWhenUsed w:val="1"/>
    <w:rsid w:val="000E6F9C"/>
    <w:pPr>
      <w:spacing w:after="100" w:afterAutospacing="1" w:before="100" w:beforeAutospacing="1" w:line="240" w:lineRule="auto"/>
    </w:pPr>
    <w:rPr>
      <w:rFonts w:ascii="Times New Roman" w:cs="Times New Roman" w:hAnsi="Times New Roman" w:eastAsiaTheme="minorEastAsia"/>
      <w:sz w:val="24"/>
      <w:szCs w:val="24"/>
      <w:lang w:eastAsia="es-MX"/>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235E34"/>
  </w:style>
  <w:style w:type="character" w:styleId="red" w:customStyle="1">
    <w:name w:val="red"/>
    <w:basedOn w:val="Fuentedeprrafopredeter"/>
    <w:rsid w:val="006A01D8"/>
  </w:style>
  <w:style w:type="paragraph" w:styleId="Sinespaciado">
    <w:name w:val="No Spacing"/>
    <w:aliases w:val="Francesa"/>
    <w:link w:val="SinespaciadoCar"/>
    <w:uiPriority w:val="1"/>
    <w:qFormat w:val="1"/>
    <w:rsid w:val="00EC02C5"/>
    <w:pPr>
      <w:spacing w:after="0" w:line="240" w:lineRule="auto"/>
    </w:pPr>
    <w:rPr>
      <w:rFonts w:eastAsiaTheme="minorEastAsia"/>
      <w:sz w:val="24"/>
      <w:szCs w:val="24"/>
      <w:lang w:eastAsia="es-ES" w:val="es-ES_tradnl"/>
    </w:rPr>
  </w:style>
  <w:style w:type="character" w:styleId="SinespaciadoCar" w:customStyle="1">
    <w:name w:val="Sin espaciado Car"/>
    <w:aliases w:val="Francesa Car"/>
    <w:link w:val="Sinespaciado"/>
    <w:uiPriority w:val="1"/>
    <w:locked w:val="1"/>
    <w:rsid w:val="00EC02C5"/>
    <w:rPr>
      <w:rFonts w:eastAsiaTheme="minorEastAsia"/>
      <w:sz w:val="24"/>
      <w:szCs w:val="24"/>
      <w:lang w:eastAsia="es-ES" w:val="es-ES_tradnl"/>
    </w:rPr>
  </w:style>
  <w:style w:type="character" w:styleId="normaltextrun" w:customStyle="1">
    <w:name w:val="normaltextrun"/>
    <w:basedOn w:val="Fuentedeprrafopredeter"/>
    <w:rsid w:val="0030280B"/>
  </w:style>
  <w:style w:type="paragraph" w:styleId="paragraph" w:customStyle="1">
    <w:name w:val="paragraph"/>
    <w:basedOn w:val="Normal"/>
    <w:rsid w:val="0030280B"/>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Hipervnculovisitado">
    <w:name w:val="FollowedHyperlink"/>
    <w:basedOn w:val="Fuentedeprrafopredeter"/>
    <w:uiPriority w:val="99"/>
    <w:semiHidden w:val="1"/>
    <w:unhideWhenUsed w:val="1"/>
    <w:rsid w:val="00A77329"/>
    <w:rPr>
      <w:color w:val="954f72" w:themeColor="followedHyperlink"/>
      <w:u w:val="single"/>
    </w:rPr>
  </w:style>
  <w:style w:type="character" w:styleId="Ttulo5Car" w:customStyle="1">
    <w:name w:val="Título 5 Car"/>
    <w:basedOn w:val="Fuentedeprrafopredeter"/>
    <w:link w:val="Ttulo5"/>
    <w:uiPriority w:val="9"/>
    <w:rsid w:val="00A77329"/>
    <w:rPr>
      <w:rFonts w:ascii="Times New Roman" w:cs="Times New Roman" w:eastAsia="Times New Roman" w:hAnsi="Times New Roman"/>
      <w:b w:val="1"/>
      <w:bCs w:val="1"/>
      <w:sz w:val="20"/>
      <w:szCs w:val="20"/>
      <w:lang w:eastAsia="es-MX"/>
    </w:rPr>
  </w:style>
  <w:style w:type="character" w:styleId="Ninguno" w:customStyle="1">
    <w:name w:val="Ninguno"/>
    <w:rsid w:val="0059541B"/>
    <w:rPr>
      <w:lang w:val="es-ES_tradnl"/>
    </w:rPr>
  </w:style>
  <w:style w:type="character" w:styleId="Ttulo2Car" w:customStyle="1">
    <w:name w:val="Título 2 Car"/>
    <w:basedOn w:val="Fuentedeprrafopredeter"/>
    <w:link w:val="Ttulo2"/>
    <w:uiPriority w:val="9"/>
    <w:semiHidden w:val="1"/>
    <w:rsid w:val="003446C4"/>
    <w:rPr>
      <w:rFonts w:asciiTheme="majorHAnsi" w:cstheme="majorBidi" w:eastAsiaTheme="majorEastAsia" w:hAnsiTheme="majorHAnsi"/>
      <w:color w:val="2e74b5"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png"/><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image" Target="media/image5.png"/><Relationship Id="rId14" Type="http://schemas.openxmlformats.org/officeDocument/2006/relationships/footer" Target="footer1.xml"/><Relationship Id="rId16" Type="http://schemas.openxmlformats.org/officeDocument/2006/relationships/header" Target="header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M1mafk0kWSnxlu57uXNUzSFlKw==">CgMxLjAyCGguZ2pkZ3hzMgloLjMwajB6bGw4AHIhMVhBaUVDajl2NVdQVmxheTJ2Ujh6elQwSEJxMkNUd0Mx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2023-07-07T17:20:00Z</dcterms:created>
  <dc:creator>César Barranco Crisantos</dc:creator>
</cp:coreProperties>
</file>