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09F" w:rsidRDefault="008B5910" w:rsidP="002827E5">
      <w:pPr>
        <w:pStyle w:val="Encabezado"/>
        <w:spacing w:line="360" w:lineRule="auto"/>
        <w:ind w:right="49"/>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D23322">
        <w:rPr>
          <w:rFonts w:ascii="Palatino Linotype" w:hAnsi="Palatino Linotype" w:cs="Arial"/>
          <w:b/>
          <w:bCs/>
          <w:lang w:val="es-MX" w:eastAsia="es-MX"/>
        </w:rPr>
        <w:t>14702</w:t>
      </w:r>
      <w:r w:rsidR="00D31FCF">
        <w:rPr>
          <w:rFonts w:ascii="Palatino Linotype" w:hAnsi="Palatino Linotype" w:cs="Arial"/>
          <w:b/>
          <w:bCs/>
          <w:lang w:val="es-MX" w:eastAsia="es-MX"/>
        </w:rPr>
        <w:t>/INFOEM/IP/RR/202</w:t>
      </w:r>
      <w:r w:rsidR="00D23322">
        <w:rPr>
          <w:rFonts w:ascii="Palatino Linotype" w:hAnsi="Palatino Linotype" w:cs="Arial"/>
          <w:b/>
          <w:bCs/>
          <w:lang w:val="es-MX" w:eastAsia="es-MX"/>
        </w:rPr>
        <w:t>2</w:t>
      </w:r>
      <w:r w:rsidR="00306972">
        <w:rPr>
          <w:rFonts w:ascii="Palatino Linotype" w:hAnsi="Palatino Linotype" w:cs="Arial"/>
          <w:b/>
          <w:bCs/>
          <w:lang w:val="es-MX" w:eastAsia="es-MX"/>
        </w:rPr>
        <w:t>,</w:t>
      </w:r>
      <w:r w:rsidRPr="006A7606">
        <w:rPr>
          <w:rFonts w:ascii="Palatino Linotype" w:hAnsi="Palatino Linotype" w:cs="Tahoma"/>
          <w:b/>
        </w:rPr>
        <w:t xml:space="preserve"> PROMOVIDO </w:t>
      </w:r>
      <w:r>
        <w:rPr>
          <w:rFonts w:ascii="Palatino Linotype" w:hAnsi="Palatino Linotype" w:cs="Tahoma"/>
          <w:b/>
        </w:rPr>
        <w:t>EN CONTRA DE</w:t>
      </w:r>
      <w:r w:rsidR="00BC111A">
        <w:rPr>
          <w:rFonts w:ascii="Palatino Linotype" w:hAnsi="Palatino Linotype" w:cs="Tahoma"/>
          <w:b/>
        </w:rPr>
        <w:t xml:space="preserve"> </w:t>
      </w:r>
      <w:r>
        <w:rPr>
          <w:rFonts w:ascii="Palatino Linotype" w:hAnsi="Palatino Linotype" w:cs="Tahoma"/>
          <w:b/>
        </w:rPr>
        <w:t>L</w:t>
      </w:r>
      <w:r w:rsidR="00BC111A">
        <w:rPr>
          <w:rFonts w:ascii="Palatino Linotype" w:hAnsi="Palatino Linotype" w:cs="Tahoma"/>
          <w:b/>
        </w:rPr>
        <w:t>A</w:t>
      </w:r>
      <w:r>
        <w:rPr>
          <w:rFonts w:ascii="Palatino Linotype" w:hAnsi="Palatino Linotype" w:cs="Tahoma"/>
          <w:b/>
        </w:rPr>
        <w:t xml:space="preserve"> </w:t>
      </w:r>
      <w:r w:rsidR="00BC111A" w:rsidRPr="00BC111A">
        <w:rPr>
          <w:rFonts w:ascii="Palatino Linotype" w:hAnsi="Palatino Linotype" w:cs="Tahoma"/>
          <w:b/>
        </w:rPr>
        <w:t>SECRETARÍA DE LA CONTRALORÍA</w:t>
      </w:r>
      <w:r w:rsidR="0046182D">
        <w:rPr>
          <w:rFonts w:ascii="Palatino Linotype" w:hAnsi="Palatino Linotype" w:cs="Tahoma"/>
          <w:b/>
        </w:rPr>
        <w:t>.</w:t>
      </w:r>
    </w:p>
    <w:p w:rsidR="002827E5" w:rsidRPr="002827E5" w:rsidRDefault="002827E5" w:rsidP="002827E5">
      <w:pPr>
        <w:pStyle w:val="Encabezado"/>
        <w:spacing w:line="360" w:lineRule="auto"/>
        <w:ind w:right="49"/>
        <w:jc w:val="both"/>
        <w:rPr>
          <w:rFonts w:ascii="Palatino Linotype" w:hAnsi="Palatino Linotype" w:cs="Tahoma"/>
          <w:b/>
        </w:rPr>
      </w:pPr>
    </w:p>
    <w:p w:rsidR="00D23322" w:rsidRPr="00274A5F" w:rsidRDefault="00D23322" w:rsidP="002827E5">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Pr>
          <w:rFonts w:ascii="Palatino Linotype" w:eastAsia="Palatino Linotype" w:hAnsi="Palatino Linotype" w:cs="Palatino Linotype"/>
          <w:b/>
        </w:rPr>
        <w:t>14702</w:t>
      </w:r>
      <w:r w:rsidRPr="00274A5F">
        <w:rPr>
          <w:rFonts w:ascii="Palatino Linotype" w:eastAsia="Palatino Linotype" w:hAnsi="Palatino Linotype" w:cs="Palatino Linotype"/>
          <w:b/>
        </w:rPr>
        <w:t>/INFOEM/IP/RR/2022</w:t>
      </w:r>
      <w:r w:rsidRPr="00274A5F">
        <w:rPr>
          <w:rFonts w:ascii="Palatino Linotype" w:hAnsi="Palatino Linotype"/>
          <w:b/>
          <w:lang w:val="es-MX"/>
        </w:rPr>
        <w:t>.</w:t>
      </w:r>
    </w:p>
    <w:p w:rsidR="00F84B95" w:rsidRPr="00905602" w:rsidRDefault="00F84B95" w:rsidP="002827E5">
      <w:pPr>
        <w:spacing w:after="0" w:line="360" w:lineRule="auto"/>
        <w:jc w:val="both"/>
        <w:rPr>
          <w:rFonts w:ascii="Palatino Linotype" w:hAnsi="Palatino Linotype" w:cs="Tahoma"/>
          <w:sz w:val="18"/>
        </w:rPr>
      </w:pPr>
    </w:p>
    <w:p w:rsidR="00BC111A" w:rsidRPr="003D0666" w:rsidRDefault="00F84B95" w:rsidP="002827E5">
      <w:pPr>
        <w:spacing w:after="0" w:line="360" w:lineRule="auto"/>
        <w:jc w:val="both"/>
        <w:rPr>
          <w:rFonts w:ascii="Palatino Linotype" w:hAnsi="Palatino Linotype" w:cs="Tahoma"/>
        </w:rPr>
      </w:pPr>
      <w:r w:rsidRPr="006A7606">
        <w:rPr>
          <w:rFonts w:ascii="Palatino Linotype" w:hAnsi="Palatino Linotype" w:cs="Tahoma"/>
        </w:rPr>
        <w:t>Como se desprende de la Resolución que nos ocupa</w:t>
      </w:r>
      <w:r>
        <w:rPr>
          <w:rFonts w:ascii="Palatino Linotype" w:hAnsi="Palatino Linotype" w:cs="Tahoma"/>
        </w:rPr>
        <w:t xml:space="preserve">, el </w:t>
      </w:r>
      <w:r w:rsidR="00CE380C">
        <w:rPr>
          <w:rFonts w:ascii="Palatino Linotype" w:hAnsi="Palatino Linotype" w:cs="Tahoma"/>
        </w:rPr>
        <w:t>s</w:t>
      </w:r>
      <w:r w:rsidR="00CE380C" w:rsidRPr="006A7606">
        <w:rPr>
          <w:rFonts w:ascii="Palatino Linotype" w:hAnsi="Palatino Linotype" w:cs="Tahoma"/>
        </w:rPr>
        <w:t xml:space="preserve">olicitante </w:t>
      </w:r>
      <w:r w:rsidRPr="006A7606">
        <w:rPr>
          <w:rFonts w:ascii="Palatino Linotype" w:hAnsi="Palatino Linotype" w:cs="Tahoma"/>
        </w:rPr>
        <w:t>requirió</w:t>
      </w:r>
      <w:r w:rsidR="00341B05">
        <w:rPr>
          <w:rFonts w:ascii="Palatino Linotype" w:hAnsi="Palatino Linotype" w:cs="Tahoma"/>
        </w:rPr>
        <w:t>, entre otras cosas,</w:t>
      </w:r>
      <w:r w:rsidR="00B45EC5">
        <w:rPr>
          <w:rFonts w:ascii="Palatino Linotype" w:hAnsi="Palatino Linotype" w:cs="Tahoma"/>
        </w:rPr>
        <w:t xml:space="preserve"> </w:t>
      </w:r>
      <w:r w:rsidR="003D0666">
        <w:rPr>
          <w:rFonts w:ascii="Palatino Linotype" w:hAnsi="Palatino Linotype" w:cs="Tahoma"/>
        </w:rPr>
        <w:t xml:space="preserve">por cuanto hace al expresidente Municipal de Huixquilucan, sus declaraciones de bienes y en su caso, las </w:t>
      </w:r>
      <w:r w:rsidR="00BC111A" w:rsidRPr="00BC111A">
        <w:rPr>
          <w:rFonts w:ascii="Palatino Linotype" w:hAnsi="Palatino Linotype" w:cs="Tahoma"/>
        </w:rPr>
        <w:t>modificaciones</w:t>
      </w:r>
      <w:r w:rsidR="003D0666">
        <w:rPr>
          <w:rFonts w:ascii="Palatino Linotype" w:hAnsi="Palatino Linotype" w:cs="Tahoma"/>
        </w:rPr>
        <w:t xml:space="preserve"> correspondientes</w:t>
      </w:r>
      <w:r w:rsidR="00393170">
        <w:rPr>
          <w:rFonts w:ascii="Palatino Linotype" w:hAnsi="Palatino Linotype" w:cs="Tahoma"/>
          <w:lang w:val="es-MX"/>
        </w:rPr>
        <w:t>;</w:t>
      </w:r>
      <w:r w:rsidR="003D0666">
        <w:rPr>
          <w:rFonts w:ascii="Palatino Linotype" w:hAnsi="Palatino Linotype" w:cs="Tahoma"/>
          <w:lang w:val="es-MX"/>
        </w:rPr>
        <w:t xml:space="preserve"> </w:t>
      </w:r>
      <w:r w:rsidR="003D0666">
        <w:rPr>
          <w:rFonts w:ascii="Palatino Linotype" w:hAnsi="Palatino Linotype" w:cs="Tahoma"/>
        </w:rPr>
        <w:t>e</w:t>
      </w:r>
      <w:r w:rsidR="00BC111A">
        <w:rPr>
          <w:rFonts w:ascii="Palatino Linotype" w:hAnsi="Palatino Linotype" w:cs="Tahoma"/>
        </w:rPr>
        <w:t>n ese sentido, la mayoría</w:t>
      </w:r>
      <w:r w:rsidR="00BC111A">
        <w:rPr>
          <w:rFonts w:ascii="Palatino Linotype" w:hAnsi="Palatino Linotype" w:cs="Tahoma"/>
          <w:lang w:val="x-none"/>
        </w:rPr>
        <w:t xml:space="preserve"> del Pleno de este Instituto, consideró procedente </w:t>
      </w:r>
      <w:r w:rsidR="003D0666">
        <w:rPr>
          <w:rFonts w:ascii="Palatino Linotype" w:hAnsi="Palatino Linotype" w:cs="Tahoma"/>
          <w:b/>
        </w:rPr>
        <w:t>REVOCAR</w:t>
      </w:r>
      <w:r w:rsidR="00BC111A">
        <w:rPr>
          <w:rFonts w:ascii="Palatino Linotype" w:hAnsi="Palatino Linotype" w:cs="Tahoma"/>
          <w:b/>
          <w:lang w:val="x-none"/>
        </w:rPr>
        <w:t xml:space="preserve"> </w:t>
      </w:r>
      <w:r w:rsidR="00BC111A">
        <w:rPr>
          <w:rFonts w:ascii="Palatino Linotype" w:hAnsi="Palatino Linotype" w:cs="Tahoma"/>
          <w:lang w:val="x-none"/>
        </w:rPr>
        <w:t>la respuesta</w:t>
      </w:r>
      <w:r w:rsidR="00BC111A">
        <w:rPr>
          <w:rFonts w:ascii="Palatino Linotype" w:hAnsi="Palatino Linotype" w:cs="Tahoma"/>
        </w:rPr>
        <w:t xml:space="preserve"> proporcionada por el Sujeto Obligado,</w:t>
      </w:r>
      <w:r w:rsidR="00BC111A">
        <w:rPr>
          <w:rFonts w:ascii="Palatino Linotype" w:hAnsi="Palatino Linotype" w:cs="Tahoma"/>
          <w:lang w:val="x-none"/>
        </w:rPr>
        <w:t xml:space="preserve"> a efecto de que proporcionará</w:t>
      </w:r>
      <w:r w:rsidR="00BC111A">
        <w:rPr>
          <w:rFonts w:ascii="Palatino Linotype" w:hAnsi="Palatino Linotype" w:cs="Tahoma"/>
        </w:rPr>
        <w:t xml:space="preserve"> </w:t>
      </w:r>
      <w:r w:rsidR="003D0666" w:rsidRPr="003D0666">
        <w:rPr>
          <w:rFonts w:ascii="Palatino Linotype" w:hAnsi="Palatino Linotype" w:cs="Tahoma"/>
        </w:rPr>
        <w:t>El Acuerdo emitido por el Comité d</w:t>
      </w:r>
      <w:r w:rsidR="003D0666">
        <w:rPr>
          <w:rFonts w:ascii="Palatino Linotype" w:hAnsi="Palatino Linotype" w:cs="Tahoma"/>
        </w:rPr>
        <w:t xml:space="preserve">e Transparencia donde de manera </w:t>
      </w:r>
      <w:r w:rsidR="003D0666" w:rsidRPr="003D0666">
        <w:rPr>
          <w:rFonts w:ascii="Palatino Linotype" w:hAnsi="Palatino Linotype" w:cs="Tahoma"/>
        </w:rPr>
        <w:t>fundada y motivada, de conformidad con lo</w:t>
      </w:r>
      <w:r w:rsidR="003D0666">
        <w:rPr>
          <w:rFonts w:ascii="Palatino Linotype" w:hAnsi="Palatino Linotype" w:cs="Tahoma"/>
        </w:rPr>
        <w:t xml:space="preserve">s artículos 49, fracciones II y </w:t>
      </w:r>
      <w:r w:rsidR="003D0666" w:rsidRPr="003D0666">
        <w:rPr>
          <w:rFonts w:ascii="Palatino Linotype" w:hAnsi="Palatino Linotype" w:cs="Tahoma"/>
        </w:rPr>
        <w:t xml:space="preserve">VIII, 132, fracción II, 143, fracción I, y 149 de la Ley de Transparencia </w:t>
      </w:r>
      <w:r w:rsidR="003D0666">
        <w:rPr>
          <w:rFonts w:ascii="Palatino Linotype" w:hAnsi="Palatino Linotype" w:cs="Tahoma"/>
        </w:rPr>
        <w:t xml:space="preserve">y </w:t>
      </w:r>
      <w:r w:rsidR="003D0666" w:rsidRPr="003D0666">
        <w:rPr>
          <w:rFonts w:ascii="Palatino Linotype" w:hAnsi="Palatino Linotype" w:cs="Tahoma"/>
        </w:rPr>
        <w:t>Acceso a la Información Pública del</w:t>
      </w:r>
      <w:r w:rsidR="003D0666">
        <w:rPr>
          <w:rFonts w:ascii="Palatino Linotype" w:hAnsi="Palatino Linotype" w:cs="Tahoma"/>
        </w:rPr>
        <w:t xml:space="preserve"> Estado de México y Municipios, </w:t>
      </w:r>
      <w:r w:rsidR="003D0666" w:rsidRPr="003D0666">
        <w:rPr>
          <w:rFonts w:ascii="Palatino Linotype" w:hAnsi="Palatino Linotype" w:cs="Tahoma"/>
        </w:rPr>
        <w:t>confirme la clasificación como co</w:t>
      </w:r>
      <w:r w:rsidR="003D0666">
        <w:rPr>
          <w:rFonts w:ascii="Palatino Linotype" w:hAnsi="Palatino Linotype" w:cs="Tahoma"/>
        </w:rPr>
        <w:t xml:space="preserve">nfidencial de las Declaraciones </w:t>
      </w:r>
      <w:r w:rsidR="003D0666" w:rsidRPr="003D0666">
        <w:rPr>
          <w:rFonts w:ascii="Palatino Linotype" w:hAnsi="Palatino Linotype" w:cs="Tahoma"/>
        </w:rPr>
        <w:t>Patrimoniales del expresidente de Huixquil</w:t>
      </w:r>
      <w:r w:rsidR="003D0666">
        <w:rPr>
          <w:rFonts w:ascii="Palatino Linotype" w:hAnsi="Palatino Linotype" w:cs="Tahoma"/>
        </w:rPr>
        <w:t xml:space="preserve">ucan respecto de los ejercicios </w:t>
      </w:r>
      <w:r w:rsidR="003D0666" w:rsidRPr="003D0666">
        <w:rPr>
          <w:rFonts w:ascii="Palatino Linotype" w:hAnsi="Palatino Linotype" w:cs="Tahoma"/>
        </w:rPr>
        <w:t>2016, 2017 y 2018</w:t>
      </w:r>
      <w:r w:rsidR="00393170" w:rsidRPr="00393170">
        <w:rPr>
          <w:rFonts w:ascii="Palatino Linotype" w:hAnsi="Palatino Linotype" w:cs="Tahoma"/>
        </w:rPr>
        <w:t>.</w:t>
      </w:r>
      <w:r w:rsidR="00393170">
        <w:rPr>
          <w:rFonts w:ascii="Palatino Linotype" w:hAnsi="Palatino Linotype" w:cs="Tahoma"/>
          <w:lang w:val="es-MX"/>
        </w:rPr>
        <w:t xml:space="preserve"> </w:t>
      </w:r>
    </w:p>
    <w:p w:rsidR="00BC111A" w:rsidRPr="008028AC" w:rsidRDefault="00BC111A" w:rsidP="002827E5">
      <w:pPr>
        <w:tabs>
          <w:tab w:val="left" w:pos="4962"/>
        </w:tabs>
        <w:spacing w:after="0" w:line="360" w:lineRule="auto"/>
        <w:jc w:val="both"/>
        <w:rPr>
          <w:rFonts w:ascii="Palatino Linotype" w:eastAsia="Calibri" w:hAnsi="Palatino Linotype" w:cs="Tahoma"/>
          <w:iCs/>
          <w:lang w:eastAsia="es-ES_tradnl"/>
        </w:rPr>
      </w:pPr>
    </w:p>
    <w:p w:rsidR="00BC111A" w:rsidRPr="008028AC" w:rsidRDefault="00BC111A" w:rsidP="002827E5">
      <w:pPr>
        <w:tabs>
          <w:tab w:val="left" w:pos="4962"/>
        </w:tabs>
        <w:spacing w:after="0" w:line="360" w:lineRule="auto"/>
        <w:jc w:val="both"/>
        <w:rPr>
          <w:rFonts w:ascii="Palatino Linotype" w:eastAsia="Calibri" w:hAnsi="Palatino Linotype" w:cs="Tahoma"/>
          <w:iCs/>
          <w:lang w:eastAsia="es-ES_tradnl"/>
        </w:rPr>
      </w:pPr>
      <w:r w:rsidRPr="008028AC">
        <w:rPr>
          <w:rFonts w:ascii="Palatino Linotype" w:eastAsia="Calibri" w:hAnsi="Palatino Linotype" w:cs="Tahoma"/>
          <w:iCs/>
          <w:lang w:eastAsia="es-ES_tradnl"/>
        </w:rPr>
        <w:lastRenderedPageBreak/>
        <w:t>Al respecto, la Ley de Responsabilidades Administrativas del Estado de México y Municipios, la cual en su artículo 9°, fracci</w:t>
      </w:r>
      <w:r w:rsidR="006B487D">
        <w:rPr>
          <w:rFonts w:ascii="Palatino Linotype" w:eastAsia="Calibri" w:hAnsi="Palatino Linotype" w:cs="Tahoma"/>
          <w:iCs/>
          <w:lang w:eastAsia="es-ES_tradnl"/>
        </w:rPr>
        <w:t>ón</w:t>
      </w:r>
      <w:r w:rsidRPr="008028AC">
        <w:rPr>
          <w:rFonts w:ascii="Palatino Linotype" w:eastAsia="Calibri" w:hAnsi="Palatino Linotype" w:cs="Tahoma"/>
          <w:iCs/>
          <w:lang w:eastAsia="es-ES_tradnl"/>
        </w:rPr>
        <w:t xml:space="preserve"> </w:t>
      </w:r>
      <w:r w:rsidR="006B487D">
        <w:rPr>
          <w:rFonts w:ascii="Palatino Linotype" w:eastAsia="Calibri" w:hAnsi="Palatino Linotype" w:cs="Tahoma"/>
          <w:iCs/>
          <w:lang w:eastAsia="es-ES_tradnl"/>
        </w:rPr>
        <w:t>I</w:t>
      </w:r>
      <w:r w:rsidRPr="008028AC">
        <w:rPr>
          <w:rFonts w:ascii="Palatino Linotype" w:eastAsia="Calibri" w:hAnsi="Palatino Linotype" w:cs="Tahoma"/>
          <w:iCs/>
          <w:lang w:eastAsia="es-ES_tradnl"/>
        </w:rPr>
        <w:t>, faculta a</w:t>
      </w:r>
      <w:r w:rsidR="00E857C7">
        <w:rPr>
          <w:rFonts w:ascii="Palatino Linotype" w:eastAsia="Calibri" w:hAnsi="Palatino Linotype" w:cs="Tahoma"/>
          <w:iCs/>
          <w:lang w:eastAsia="es-ES_tradnl"/>
        </w:rPr>
        <w:t>l</w:t>
      </w:r>
      <w:r w:rsidRPr="008028AC">
        <w:rPr>
          <w:rFonts w:ascii="Palatino Linotype" w:eastAsia="Calibri" w:hAnsi="Palatino Linotype" w:cs="Tahoma"/>
          <w:iCs/>
          <w:lang w:eastAsia="es-ES_tradnl"/>
        </w:rPr>
        <w:t xml:space="preserve">  </w:t>
      </w:r>
      <w:r w:rsidR="00E857C7">
        <w:rPr>
          <w:rFonts w:ascii="Palatino Linotype" w:eastAsia="Calibri" w:hAnsi="Palatino Linotype" w:cs="Tahoma"/>
          <w:iCs/>
          <w:lang w:eastAsia="es-ES_tradnl"/>
        </w:rPr>
        <w:t>Sujeto Obligado</w:t>
      </w:r>
      <w:r w:rsidRPr="008028AC">
        <w:rPr>
          <w:rFonts w:ascii="Palatino Linotype" w:eastAsia="Calibri" w:hAnsi="Palatino Linotype" w:cs="Tahoma"/>
          <w:iCs/>
          <w:lang w:eastAsia="es-ES_tradnl"/>
        </w:rPr>
        <w:t>, para aplicar dicha normatividad, ya</w:t>
      </w:r>
      <w:r w:rsidR="00E857C7">
        <w:rPr>
          <w:rFonts w:ascii="Palatino Linotype" w:eastAsia="Calibri" w:hAnsi="Palatino Linotype" w:cs="Tahoma"/>
          <w:iCs/>
          <w:lang w:eastAsia="es-ES_tradnl"/>
        </w:rPr>
        <w:t xml:space="preserve"> que</w:t>
      </w:r>
      <w:r w:rsidRPr="008028AC">
        <w:rPr>
          <w:rFonts w:ascii="Palatino Linotype" w:eastAsia="Calibri" w:hAnsi="Palatino Linotype" w:cs="Tahoma"/>
          <w:iCs/>
          <w:lang w:eastAsia="es-ES_tradnl"/>
        </w:rPr>
        <w:t xml:space="preserve"> prevé como instrumentos de rendición de cuantas la declaración patrimonial, de intereses y la Constancia de present</w:t>
      </w:r>
      <w:r w:rsidR="002827E5">
        <w:rPr>
          <w:rFonts w:ascii="Palatino Linotype" w:eastAsia="Calibri" w:hAnsi="Palatino Linotype" w:cs="Tahoma"/>
          <w:iCs/>
          <w:lang w:eastAsia="es-ES_tradnl"/>
        </w:rPr>
        <w:t>ación de la declaración fiscal.</w:t>
      </w:r>
    </w:p>
    <w:p w:rsidR="00BC111A" w:rsidRPr="008028AC" w:rsidRDefault="00BC111A" w:rsidP="002827E5">
      <w:pPr>
        <w:tabs>
          <w:tab w:val="left" w:pos="4962"/>
        </w:tabs>
        <w:spacing w:after="0" w:line="360" w:lineRule="auto"/>
        <w:jc w:val="both"/>
        <w:rPr>
          <w:rFonts w:ascii="Palatino Linotype" w:eastAsia="Calibri" w:hAnsi="Palatino Linotype" w:cs="Tahoma"/>
          <w:iCs/>
          <w:lang w:eastAsia="es-ES_tradnl"/>
        </w:rPr>
      </w:pPr>
    </w:p>
    <w:p w:rsidR="00BC111A" w:rsidRPr="008028AC" w:rsidRDefault="00BC111A" w:rsidP="002827E5">
      <w:pPr>
        <w:tabs>
          <w:tab w:val="left" w:pos="4962"/>
        </w:tabs>
        <w:spacing w:after="0" w:line="360" w:lineRule="auto"/>
        <w:jc w:val="both"/>
        <w:rPr>
          <w:rFonts w:ascii="Palatino Linotype" w:eastAsia="Calibri" w:hAnsi="Palatino Linotype" w:cs="Tahoma"/>
          <w:iCs/>
          <w:lang w:eastAsia="es-ES_tradnl"/>
        </w:rPr>
      </w:pPr>
      <w:r w:rsidRPr="008028AC">
        <w:rPr>
          <w:rFonts w:ascii="Palatino Linotype" w:eastAsia="Calibri" w:hAnsi="Palatino Linotype" w:cs="Tahoma"/>
          <w:iCs/>
          <w:lang w:eastAsia="es-ES_tradnl"/>
        </w:rPr>
        <w:t xml:space="preserve">Asimismo, en sus artículos 30, 31 y 32, establece que </w:t>
      </w:r>
      <w:r w:rsidRPr="008028AC">
        <w:rPr>
          <w:rFonts w:ascii="Palatino Linotype" w:eastAsia="Calibri" w:hAnsi="Palatino Linotype" w:cs="Tahoma"/>
          <w:iCs/>
          <w:lang w:val="es-MX" w:eastAsia="es-ES_tradnl"/>
        </w:rPr>
        <w:t>las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 siendo la Secretaría de la Contraloría y los órganos internos de control, según sea el caso, quienes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 y en caso de no existir ninguna anomalía o inconsistencia, expedirán la certificación correspondiente, la cual se anotará en dicho sistema, en caso contrario se iniciará la investigación respectiva, siendo además responsables de inscribir y mantener actualizada en el sistema de evolución patrimonial, de declaración de intereses y de presentación de la constancia de declaración fiscal, la información correspondiente a sus servidores públicos declarantes.</w:t>
      </w:r>
    </w:p>
    <w:p w:rsidR="00BC111A" w:rsidRPr="008028AC" w:rsidRDefault="002827E5" w:rsidP="002827E5">
      <w:pPr>
        <w:tabs>
          <w:tab w:val="left" w:pos="1140"/>
        </w:tabs>
        <w:spacing w:after="0" w:line="360" w:lineRule="auto"/>
        <w:jc w:val="both"/>
        <w:rPr>
          <w:rFonts w:ascii="Palatino Linotype" w:eastAsia="Calibri" w:hAnsi="Palatino Linotype" w:cs="Tahoma"/>
          <w:iCs/>
          <w:lang w:val="es-ES_tradnl" w:eastAsia="es-ES_tradnl"/>
        </w:rPr>
      </w:pPr>
      <w:r>
        <w:rPr>
          <w:rFonts w:ascii="Palatino Linotype" w:eastAsia="Calibri" w:hAnsi="Palatino Linotype" w:cs="Tahoma"/>
          <w:iCs/>
          <w:lang w:val="es-ES_tradnl" w:eastAsia="es-ES_tradnl"/>
        </w:rPr>
        <w:tab/>
      </w:r>
    </w:p>
    <w:p w:rsidR="00BC111A" w:rsidRPr="008028AC" w:rsidRDefault="00BC111A" w:rsidP="002827E5">
      <w:pPr>
        <w:tabs>
          <w:tab w:val="left" w:pos="4962"/>
        </w:tabs>
        <w:spacing w:after="0" w:line="360" w:lineRule="auto"/>
        <w:jc w:val="both"/>
        <w:rPr>
          <w:rFonts w:ascii="Palatino Linotype" w:eastAsia="Calibri" w:hAnsi="Palatino Linotype" w:cs="Tahoma"/>
          <w:iCs/>
          <w:lang w:val="es-ES_tradnl" w:eastAsia="es-ES_tradnl"/>
        </w:rPr>
      </w:pPr>
      <w:r w:rsidRPr="008028AC">
        <w:rPr>
          <w:rFonts w:ascii="Palatino Linotype" w:eastAsia="Calibri" w:hAnsi="Palatino Linotype" w:cs="Tahoma"/>
          <w:iCs/>
          <w:lang w:val="es-ES_tradnl" w:eastAsia="es-ES_tradnl"/>
        </w:rPr>
        <w:t xml:space="preserve">Por su parte, a manera de referencia, el Transitorio Tercero de la Ley General de Responsabilidades Administrativas, determina que el cumplimiento de las obligaciones previstas en la Ley General de Responsabilidades Administrativas, una vez que ésta entre en vigor, serán exigibles, en lo que resulte aplicable, hasta en tanto el Comité Coordinador </w:t>
      </w:r>
      <w:r w:rsidRPr="008028AC">
        <w:rPr>
          <w:rFonts w:ascii="Palatino Linotype" w:eastAsia="Calibri" w:hAnsi="Palatino Linotype" w:cs="Tahoma"/>
          <w:iCs/>
          <w:lang w:val="es-ES_tradnl" w:eastAsia="es-ES_tradnl"/>
        </w:rPr>
        <w:lastRenderedPageBreak/>
        <w:t>del Sistema Nacional Anticorrupción, de conformidad con la ley de la materia, emita los lineamientos, criterios y demás resoluciones conducentes de su competencia.</w:t>
      </w:r>
      <w:r>
        <w:rPr>
          <w:rFonts w:ascii="Palatino Linotype" w:eastAsia="Calibri" w:hAnsi="Palatino Linotype" w:cs="Tahoma"/>
          <w:iCs/>
          <w:lang w:val="es-ES_tradnl" w:eastAsia="es-ES_tradnl"/>
        </w:rPr>
        <w:t xml:space="preserve"> Sin embargo, resulta importante dejar en claro que los formatos ya fueron emitidos y los servidores públicos a la fecha, ya debieron cargar sus declaraciones en la Plataforma, respectiva que se intercomunicará con la Plataforma Nacional, de tal suerte que el argumento de los formatos, si bien fue motivo de controversias en su inicio hoy no debe ser una justificación para no entregar la información.</w:t>
      </w:r>
    </w:p>
    <w:p w:rsidR="00BC111A" w:rsidRPr="008028AC" w:rsidRDefault="00BC111A" w:rsidP="002827E5">
      <w:pPr>
        <w:tabs>
          <w:tab w:val="left" w:pos="4962"/>
        </w:tabs>
        <w:spacing w:after="0" w:line="360" w:lineRule="auto"/>
        <w:jc w:val="both"/>
        <w:rPr>
          <w:rFonts w:ascii="Palatino Linotype" w:eastAsia="Calibri" w:hAnsi="Palatino Linotype" w:cs="Tahoma"/>
          <w:iCs/>
          <w:lang w:val="es-ES_tradnl" w:eastAsia="es-ES_tradnl"/>
        </w:rPr>
      </w:pPr>
    </w:p>
    <w:p w:rsidR="00BC111A" w:rsidRPr="008028AC" w:rsidRDefault="00BC111A" w:rsidP="002827E5">
      <w:pPr>
        <w:tabs>
          <w:tab w:val="left" w:pos="4962"/>
        </w:tabs>
        <w:spacing w:after="0" w:line="360" w:lineRule="auto"/>
        <w:jc w:val="both"/>
        <w:rPr>
          <w:rFonts w:ascii="Palatino Linotype" w:eastAsia="Calibri" w:hAnsi="Palatino Linotype" w:cs="Tahoma"/>
          <w:iCs/>
          <w:lang w:val="es-ES_tradnl" w:eastAsia="es-ES_tradnl"/>
        </w:rPr>
      </w:pPr>
      <w:r>
        <w:rPr>
          <w:rFonts w:ascii="Palatino Linotype" w:eastAsia="Calibri" w:hAnsi="Palatino Linotype" w:cs="Tahoma"/>
          <w:iCs/>
          <w:lang w:val="es-ES_tradnl" w:eastAsia="es-ES_tradnl"/>
        </w:rPr>
        <w:t>Abona a lo anterior y para la información de años posteriores que</w:t>
      </w:r>
      <w:r w:rsidRPr="008028AC">
        <w:rPr>
          <w:rFonts w:ascii="Palatino Linotype" w:eastAsia="Calibri" w:hAnsi="Palatino Linotype" w:cs="Tahoma"/>
          <w:iCs/>
          <w:lang w:val="es-ES_tradnl" w:eastAsia="es-ES_tradnl"/>
        </w:rPr>
        <w:t xml:space="preserve">, el Transitorio Tercero de la Ley General del Sistema Nacional Anticorrupción indica que el cumplimiento de las obligaciones previstas en la Ley General de Responsabilidades Administrativas, una vez que </w:t>
      </w:r>
      <w:r>
        <w:rPr>
          <w:rFonts w:ascii="Palatino Linotype" w:eastAsia="Calibri" w:hAnsi="Palatino Linotype" w:cs="Tahoma"/>
          <w:iCs/>
          <w:lang w:val="es-ES_tradnl" w:eastAsia="es-ES_tradnl"/>
        </w:rPr>
        <w:t>e</w:t>
      </w:r>
      <w:r w:rsidRPr="008028AC">
        <w:rPr>
          <w:rFonts w:ascii="Palatino Linotype" w:eastAsia="Calibri" w:hAnsi="Palatino Linotype" w:cs="Tahoma"/>
          <w:iCs/>
          <w:lang w:val="es-ES_tradnl" w:eastAsia="es-ES_tradnl"/>
        </w:rPr>
        <w:t xml:space="preserve">sta entre en vigor, serán exigibles, en lo que resulte aplicable, </w:t>
      </w:r>
      <w:r w:rsidRPr="008028AC">
        <w:rPr>
          <w:rFonts w:ascii="Palatino Linotype" w:eastAsia="Calibri" w:hAnsi="Palatino Linotype" w:cs="Tahoma"/>
          <w:iCs/>
          <w:u w:val="single"/>
          <w:lang w:val="es-ES_tradnl" w:eastAsia="es-ES_tradnl"/>
        </w:rPr>
        <w:t>hasta en tanto</w:t>
      </w:r>
      <w:r w:rsidRPr="008028AC">
        <w:rPr>
          <w:rFonts w:ascii="Palatino Linotype" w:eastAsia="Calibri" w:hAnsi="Palatino Linotype" w:cs="Tahoma"/>
          <w:iCs/>
          <w:lang w:val="es-ES_tradnl" w:eastAsia="es-ES_tradnl"/>
        </w:rPr>
        <w:t xml:space="preserve"> el Comité Coordinador del Sistema Nacional Anticorrupción, de conformidad con la ley de la materia, emita los lineamientos, criterios y demás resoluciones conducentes de su competencia, una vez en entrada en vigor la Ley General de Responsabilidades Administrativas y hasta en tanto el Comité Coordinador del Sistema Nacional Anticorrupción determina los formatos para la presentación de las declaraciones patrimonial y de intereses, </w:t>
      </w:r>
      <w:r w:rsidRPr="008028AC">
        <w:rPr>
          <w:rFonts w:ascii="Palatino Linotype" w:eastAsia="Calibri" w:hAnsi="Palatino Linotype" w:cs="Tahoma"/>
          <w:iCs/>
          <w:u w:val="single"/>
          <w:lang w:val="es-ES_tradnl" w:eastAsia="es-ES_tradnl"/>
        </w:rPr>
        <w:t>los servidores públicos de todos los órdenes de gobierno presentarán sus declaraciones en los formatos que</w:t>
      </w:r>
      <w:r w:rsidRPr="008028AC">
        <w:rPr>
          <w:rFonts w:ascii="Palatino Linotype" w:eastAsia="Calibri" w:hAnsi="Palatino Linotype" w:cs="Tahoma"/>
          <w:iCs/>
          <w:lang w:val="es-ES_tradnl" w:eastAsia="es-ES_tradnl"/>
        </w:rPr>
        <w:t xml:space="preserve"> a la entrada en vigor de la referida Ley General, </w:t>
      </w:r>
      <w:r w:rsidRPr="008028AC">
        <w:rPr>
          <w:rFonts w:ascii="Palatino Linotype" w:eastAsia="Calibri" w:hAnsi="Palatino Linotype" w:cs="Tahoma"/>
          <w:iCs/>
          <w:u w:val="single"/>
          <w:lang w:val="es-ES_tradnl" w:eastAsia="es-ES_tradnl"/>
        </w:rPr>
        <w:t>se utilicen</w:t>
      </w:r>
      <w:r w:rsidRPr="008028AC">
        <w:rPr>
          <w:rFonts w:ascii="Palatino Linotype" w:eastAsia="Calibri" w:hAnsi="Palatino Linotype" w:cs="Tahoma"/>
          <w:iCs/>
          <w:lang w:val="es-ES_tradnl" w:eastAsia="es-ES_tradnl"/>
        </w:rPr>
        <w:t xml:space="preserve"> en el ámbito federal. </w:t>
      </w:r>
    </w:p>
    <w:p w:rsidR="00BC111A" w:rsidRPr="008028AC" w:rsidRDefault="00BC111A" w:rsidP="002827E5">
      <w:pPr>
        <w:tabs>
          <w:tab w:val="left" w:pos="4962"/>
        </w:tabs>
        <w:spacing w:after="0" w:line="360" w:lineRule="auto"/>
        <w:jc w:val="both"/>
        <w:rPr>
          <w:rFonts w:ascii="Palatino Linotype" w:eastAsia="Calibri" w:hAnsi="Palatino Linotype" w:cs="Tahoma"/>
          <w:iCs/>
          <w:lang w:val="es-MX" w:eastAsia="es-ES_tradnl"/>
        </w:rPr>
      </w:pPr>
    </w:p>
    <w:p w:rsidR="00BC111A" w:rsidRPr="00427C74" w:rsidRDefault="00BC111A" w:rsidP="002827E5">
      <w:pPr>
        <w:tabs>
          <w:tab w:val="left" w:pos="4962"/>
        </w:tabs>
        <w:spacing w:after="0" w:line="360" w:lineRule="auto"/>
        <w:jc w:val="both"/>
        <w:rPr>
          <w:rFonts w:ascii="Palatino Linotype" w:eastAsia="Calibri" w:hAnsi="Palatino Linotype" w:cs="Tahoma"/>
          <w:b/>
          <w:iCs/>
          <w:u w:val="single"/>
          <w:lang w:val="es-MX" w:eastAsia="es-ES_tradnl"/>
        </w:rPr>
      </w:pPr>
      <w:r w:rsidRPr="008028AC">
        <w:rPr>
          <w:rFonts w:ascii="Palatino Linotype" w:eastAsia="Calibri" w:hAnsi="Palatino Linotype" w:cs="Tahoma"/>
          <w:iCs/>
          <w:lang w:val="es-MX" w:eastAsia="es-ES_tradnl"/>
        </w:rPr>
        <w:t xml:space="preserve">De los preceptos jurídicos invocados, se advierte que, en efecto, </w:t>
      </w:r>
      <w:r>
        <w:rPr>
          <w:rFonts w:ascii="Palatino Linotype" w:eastAsia="Calibri" w:hAnsi="Palatino Linotype" w:cs="Tahoma"/>
          <w:iCs/>
          <w:lang w:val="es-MX" w:eastAsia="es-ES_tradnl"/>
        </w:rPr>
        <w:t>correspondía a</w:t>
      </w:r>
      <w:r w:rsidRPr="008028AC">
        <w:rPr>
          <w:rFonts w:ascii="Palatino Linotype" w:eastAsia="Calibri" w:hAnsi="Palatino Linotype" w:cs="Tahoma"/>
          <w:iCs/>
          <w:lang w:val="es-MX" w:eastAsia="es-ES_tradnl"/>
        </w:rPr>
        <w:t>l Comité Coordinad</w:t>
      </w:r>
      <w:r w:rsidR="003C4562">
        <w:rPr>
          <w:rFonts w:ascii="Palatino Linotype" w:eastAsia="Calibri" w:hAnsi="Palatino Linotype" w:cs="Tahoma"/>
          <w:iCs/>
          <w:lang w:val="es-MX" w:eastAsia="es-ES_tradnl"/>
        </w:rPr>
        <w:t>or del Estado de México, emitir</w:t>
      </w:r>
      <w:r w:rsidRPr="008028AC">
        <w:rPr>
          <w:rFonts w:ascii="Palatino Linotype" w:eastAsia="Calibri" w:hAnsi="Palatino Linotype" w:cs="Tahoma"/>
          <w:iCs/>
          <w:lang w:val="es-MX" w:eastAsia="es-ES_tradnl"/>
        </w:rPr>
        <w:t xml:space="preserve"> los formatos para la presentación de las declaraciones de situación patrimonial y de intereses en los que se salvaguarde la información relacionada con la vida privada y los datos personales de los servidores públicos, información que es de carácter confidencial en términos del artículo 143, fracción </w:t>
      </w:r>
      <w:r w:rsidRPr="008028AC">
        <w:rPr>
          <w:rFonts w:ascii="Palatino Linotype" w:eastAsia="Calibri" w:hAnsi="Palatino Linotype" w:cs="Tahoma"/>
          <w:iCs/>
          <w:lang w:val="es-MX" w:eastAsia="es-ES_tradnl"/>
        </w:rPr>
        <w:lastRenderedPageBreak/>
        <w:t>I, de la Ley de Transparencia y Acceso a la Información Pública del Estado de México y Municipios</w:t>
      </w:r>
      <w:r>
        <w:rPr>
          <w:rFonts w:ascii="Palatino Linotype" w:eastAsia="Calibri" w:hAnsi="Palatino Linotype" w:cs="Tahoma"/>
          <w:iCs/>
          <w:lang w:val="es-MX" w:eastAsia="es-ES_tradnl"/>
        </w:rPr>
        <w:t xml:space="preserve">, </w:t>
      </w:r>
      <w:r w:rsidRPr="00427C74">
        <w:rPr>
          <w:rFonts w:ascii="Palatino Linotype" w:eastAsia="Calibri" w:hAnsi="Palatino Linotype" w:cs="Tahoma"/>
          <w:b/>
          <w:iCs/>
          <w:u w:val="single"/>
          <w:lang w:val="es-MX" w:eastAsia="es-ES_tradnl"/>
        </w:rPr>
        <w:t>situación que en la especie ya aconteció.</w:t>
      </w:r>
    </w:p>
    <w:p w:rsidR="00BC111A" w:rsidRPr="008028AC" w:rsidRDefault="00BC111A" w:rsidP="002827E5">
      <w:pPr>
        <w:tabs>
          <w:tab w:val="left" w:pos="4962"/>
        </w:tabs>
        <w:spacing w:after="0" w:line="360" w:lineRule="auto"/>
        <w:jc w:val="both"/>
        <w:rPr>
          <w:rFonts w:ascii="Palatino Linotype" w:eastAsia="Calibri" w:hAnsi="Palatino Linotype" w:cs="Tahoma"/>
          <w:iCs/>
          <w:lang w:val="es-MX" w:eastAsia="es-ES_tradnl"/>
        </w:rPr>
      </w:pPr>
    </w:p>
    <w:p w:rsidR="00BC111A" w:rsidRPr="008028AC" w:rsidRDefault="00BC111A" w:rsidP="002827E5">
      <w:pPr>
        <w:tabs>
          <w:tab w:val="left" w:pos="4962"/>
        </w:tabs>
        <w:spacing w:after="0" w:line="360" w:lineRule="auto"/>
        <w:jc w:val="both"/>
        <w:rPr>
          <w:rFonts w:ascii="Palatino Linotype" w:eastAsia="Calibri" w:hAnsi="Palatino Linotype" w:cs="Tahoma"/>
          <w:b/>
          <w:iCs/>
          <w:lang w:val="es-MX" w:eastAsia="es-ES_tradnl"/>
        </w:rPr>
      </w:pPr>
      <w:r w:rsidRPr="008028AC">
        <w:rPr>
          <w:rFonts w:ascii="Palatino Linotype" w:eastAsia="Calibri" w:hAnsi="Palatino Linotype" w:cs="Tahoma"/>
          <w:iCs/>
          <w:lang w:val="es-MX" w:eastAsia="es-ES_tradnl"/>
        </w:rPr>
        <w:t xml:space="preserve">Además se determina puntualmente que </w:t>
      </w:r>
      <w:r w:rsidRPr="008028AC">
        <w:rPr>
          <w:rFonts w:ascii="Palatino Linotype" w:eastAsia="Calibri" w:hAnsi="Palatino Linotype" w:cs="Tahoma"/>
          <w:b/>
          <w:iCs/>
          <w:lang w:val="es-MX" w:eastAsia="es-ES_tradnl"/>
        </w:rPr>
        <w:t>las declaraciones patrimonial y de intereses serán públicas excepto la información concerniente a la vida privada y datos personales de los servidores públicos, lo cual permite considerar la viabilidad de elaborar una versión pública del documento en el que se suprima la información de carácter confidencial.</w:t>
      </w:r>
    </w:p>
    <w:p w:rsidR="00BC111A" w:rsidRPr="008028AC" w:rsidRDefault="00BC111A" w:rsidP="002827E5">
      <w:pPr>
        <w:tabs>
          <w:tab w:val="left" w:pos="4962"/>
        </w:tabs>
        <w:spacing w:after="0" w:line="360" w:lineRule="auto"/>
        <w:jc w:val="both"/>
        <w:rPr>
          <w:rFonts w:ascii="Palatino Linotype" w:eastAsia="Calibri" w:hAnsi="Palatino Linotype" w:cs="Tahoma"/>
          <w:iCs/>
          <w:lang w:val="es-MX" w:eastAsia="es-ES_tradnl"/>
        </w:rPr>
      </w:pPr>
      <w:bookmarkStart w:id="0" w:name="_GoBack"/>
      <w:bookmarkEnd w:id="0"/>
    </w:p>
    <w:p w:rsidR="00BC111A" w:rsidRPr="008028AC" w:rsidRDefault="00BC111A" w:rsidP="002827E5">
      <w:pPr>
        <w:tabs>
          <w:tab w:val="left" w:pos="4962"/>
        </w:tabs>
        <w:spacing w:after="0" w:line="360" w:lineRule="auto"/>
        <w:jc w:val="both"/>
        <w:rPr>
          <w:rFonts w:ascii="Palatino Linotype" w:eastAsia="Calibri" w:hAnsi="Palatino Linotype" w:cs="Tahoma"/>
          <w:iCs/>
          <w:lang w:val="es-MX" w:eastAsia="es-ES_tradnl"/>
        </w:rPr>
      </w:pPr>
      <w:r w:rsidRPr="008028AC">
        <w:rPr>
          <w:rFonts w:ascii="Palatino Linotype" w:eastAsia="Calibri" w:hAnsi="Palatino Linotype" w:cs="Tahoma"/>
          <w:iCs/>
          <w:lang w:val="es-MX" w:eastAsia="es-ES_tradnl"/>
        </w:rPr>
        <w:t>Al respecto, cabe mencionar que el artículo 137, de la Ley de Transparencia y Acceso a la Información Pública del Estado de México y Municipios, determina que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C111A" w:rsidRPr="008028AC" w:rsidRDefault="00BC111A" w:rsidP="002827E5">
      <w:pPr>
        <w:tabs>
          <w:tab w:val="left" w:pos="4962"/>
        </w:tabs>
        <w:spacing w:after="0" w:line="360" w:lineRule="auto"/>
        <w:jc w:val="both"/>
        <w:rPr>
          <w:rFonts w:ascii="Palatino Linotype" w:eastAsia="Calibri" w:hAnsi="Palatino Linotype" w:cs="Tahoma"/>
          <w:iCs/>
          <w:lang w:val="es-MX" w:eastAsia="es-ES_tradnl"/>
        </w:rPr>
      </w:pPr>
    </w:p>
    <w:p w:rsidR="00BC111A" w:rsidRDefault="00BC111A" w:rsidP="002827E5">
      <w:pPr>
        <w:tabs>
          <w:tab w:val="left" w:pos="4962"/>
        </w:tabs>
        <w:spacing w:after="0" w:line="360" w:lineRule="auto"/>
        <w:jc w:val="both"/>
        <w:rPr>
          <w:rFonts w:ascii="Palatino Linotype" w:hAnsi="Palatino Linotype" w:cs="Tahoma"/>
        </w:rPr>
      </w:pPr>
      <w:r w:rsidRPr="008028AC">
        <w:rPr>
          <w:rFonts w:ascii="Palatino Linotype" w:eastAsia="Calibri" w:hAnsi="Palatino Linotype" w:cs="Tahoma"/>
          <w:iCs/>
          <w:lang w:val="es-MX" w:eastAsia="es-ES_tradnl"/>
        </w:rPr>
        <w:t>Como se puede observar, los Sujeto Obligados están constreñidos a elaborar la versión pública de los documentos que contengan información c</w:t>
      </w:r>
      <w:r>
        <w:rPr>
          <w:rFonts w:ascii="Palatino Linotype" w:eastAsia="Calibri" w:hAnsi="Palatino Linotype" w:cs="Tahoma"/>
          <w:iCs/>
          <w:lang w:val="es-MX" w:eastAsia="es-ES_tradnl"/>
        </w:rPr>
        <w:t xml:space="preserve">lasificada y conceder su acceso; </w:t>
      </w:r>
      <w:r w:rsidRPr="00163C13">
        <w:rPr>
          <w:rFonts w:ascii="Palatino Linotype" w:eastAsia="Calibri" w:hAnsi="Palatino Linotype" w:cs="Tahoma"/>
          <w:bCs/>
        </w:rPr>
        <w:t xml:space="preserve">Ahora bien, es importante mencionar, que como ha quedado descrito, la información requerida forma parte de las Obligaciones comunes de transparencia establecidas en el artículo 92, fracción XIII, de la </w:t>
      </w:r>
      <w:r w:rsidRPr="00163C13">
        <w:rPr>
          <w:rFonts w:ascii="Palatino Linotype" w:hAnsi="Palatino Linotype" w:cs="Tahoma"/>
        </w:rPr>
        <w:t>Ley de Transparencia y Acceso a la Información Pública del Estado de México y Municipios, precepto que señala puntualmente que se deberá hacer pública en versión pública las declaraciones patrimoniales y de intereses</w:t>
      </w:r>
      <w:r>
        <w:rPr>
          <w:rFonts w:ascii="Palatino Linotype" w:hAnsi="Palatino Linotype" w:cs="Tahoma"/>
        </w:rPr>
        <w:t>.</w:t>
      </w:r>
    </w:p>
    <w:p w:rsidR="00BC111A" w:rsidRDefault="00BC111A" w:rsidP="002827E5">
      <w:pPr>
        <w:tabs>
          <w:tab w:val="left" w:pos="4962"/>
        </w:tabs>
        <w:spacing w:after="0" w:line="360" w:lineRule="auto"/>
        <w:jc w:val="both"/>
        <w:rPr>
          <w:rFonts w:ascii="Palatino Linotype" w:hAnsi="Palatino Linotype" w:cs="Tahoma"/>
        </w:rPr>
      </w:pPr>
    </w:p>
    <w:p w:rsidR="00BC111A" w:rsidRPr="002E228F" w:rsidRDefault="00BC111A" w:rsidP="002827E5">
      <w:pPr>
        <w:spacing w:after="0" w:line="360" w:lineRule="auto"/>
        <w:jc w:val="both"/>
        <w:rPr>
          <w:rFonts w:ascii="Palatino Linotype" w:eastAsia="Calibri" w:hAnsi="Palatino Linotype" w:cs="Tahoma"/>
          <w:bCs/>
          <w:lang w:val="x-none"/>
        </w:rPr>
      </w:pPr>
      <w:r w:rsidRPr="002E228F">
        <w:rPr>
          <w:rFonts w:ascii="Palatino Linotype" w:eastAsia="Calibri" w:hAnsi="Palatino Linotype" w:cs="Tahoma"/>
          <w:bCs/>
          <w:lang w:val="x-none"/>
        </w:rPr>
        <w:t>Conforme a lo anterior, es que consider</w:t>
      </w:r>
      <w:r w:rsidRPr="002E228F">
        <w:rPr>
          <w:rFonts w:ascii="Palatino Linotype" w:eastAsia="Calibri" w:hAnsi="Palatino Linotype" w:cs="Tahoma"/>
          <w:bCs/>
        </w:rPr>
        <w:t>o</w:t>
      </w:r>
      <w:r w:rsidRPr="002E228F">
        <w:rPr>
          <w:rFonts w:ascii="Palatino Linotype" w:eastAsia="Calibri" w:hAnsi="Palatino Linotype" w:cs="Tahoma"/>
          <w:bCs/>
          <w:lang w:val="x-none"/>
        </w:rPr>
        <w:t xml:space="preserve"> que </w:t>
      </w:r>
      <w:r>
        <w:rPr>
          <w:rFonts w:ascii="Palatino Linotype" w:eastAsia="Calibri" w:hAnsi="Palatino Linotype" w:cs="Tahoma"/>
          <w:bCs/>
        </w:rPr>
        <w:t>se debió ordenar la entrega en versión pública de l</w:t>
      </w:r>
      <w:r>
        <w:rPr>
          <w:rFonts w:ascii="Palatino Linotype" w:eastAsia="Calibri" w:hAnsi="Palatino Linotype" w:cs="Tahoma"/>
          <w:iCs/>
          <w:lang w:eastAsia="es-ES_tradnl"/>
        </w:rPr>
        <w:t xml:space="preserve">a </w:t>
      </w:r>
      <w:r w:rsidR="00DF0257" w:rsidRPr="00DF0257">
        <w:rPr>
          <w:rFonts w:ascii="Palatino Linotype" w:eastAsia="Calibri" w:hAnsi="Palatino Linotype" w:cs="Tahoma"/>
          <w:iCs/>
          <w:lang w:eastAsia="es-ES_tradnl"/>
        </w:rPr>
        <w:t xml:space="preserve">Manifestaciones de Bienes por Anualidad </w:t>
      </w:r>
      <w:r w:rsidR="003C4562">
        <w:rPr>
          <w:rFonts w:ascii="Palatino Linotype" w:eastAsia="Calibri" w:hAnsi="Palatino Linotype" w:cs="Tahoma"/>
          <w:iCs/>
          <w:lang w:eastAsia="es-ES_tradnl"/>
        </w:rPr>
        <w:t xml:space="preserve">2016, 2017 y 2018, respecto </w:t>
      </w:r>
      <w:r w:rsidR="00427C74">
        <w:rPr>
          <w:rFonts w:ascii="Palatino Linotype" w:eastAsia="Calibri" w:hAnsi="Palatino Linotype" w:cs="Tahoma"/>
          <w:iCs/>
          <w:lang w:eastAsia="es-ES_tradnl"/>
        </w:rPr>
        <w:t>del servidor público requerido en la solicitud, quien además ostentara el cargo de P</w:t>
      </w:r>
      <w:r w:rsidR="00DF0257" w:rsidRPr="00DF0257">
        <w:rPr>
          <w:rFonts w:ascii="Palatino Linotype" w:eastAsia="Calibri" w:hAnsi="Palatino Linotype" w:cs="Tahoma"/>
          <w:iCs/>
          <w:lang w:eastAsia="es-ES_tradnl"/>
        </w:rPr>
        <w:t xml:space="preserve">residente Municipal </w:t>
      </w:r>
      <w:r w:rsidR="00DF0257" w:rsidRPr="00DF0257">
        <w:rPr>
          <w:rFonts w:ascii="Palatino Linotype" w:eastAsia="Calibri" w:hAnsi="Palatino Linotype" w:cs="Tahoma"/>
          <w:iCs/>
          <w:lang w:eastAsia="es-ES_tradnl"/>
        </w:rPr>
        <w:lastRenderedPageBreak/>
        <w:t>Constitucional</w:t>
      </w:r>
      <w:r w:rsidR="003C4562">
        <w:rPr>
          <w:rFonts w:ascii="Palatino Linotype" w:eastAsia="Calibri" w:hAnsi="Palatino Linotype" w:cs="Tahoma"/>
          <w:iCs/>
          <w:lang w:eastAsia="es-ES_tradnl"/>
        </w:rPr>
        <w:t xml:space="preserve"> de Huixquilucan</w:t>
      </w:r>
      <w:r w:rsidRPr="002E228F">
        <w:rPr>
          <w:rFonts w:ascii="Palatino Linotype" w:eastAsia="Calibri" w:hAnsi="Palatino Linotype" w:cs="Tahoma"/>
          <w:bCs/>
          <w:lang w:val="x-none"/>
        </w:rPr>
        <w:t xml:space="preserve">; </w:t>
      </w:r>
      <w:r>
        <w:rPr>
          <w:rFonts w:ascii="Palatino Linotype" w:eastAsia="Calibri" w:hAnsi="Palatino Linotype" w:cs="Tahoma"/>
          <w:iCs/>
          <w:lang w:eastAsia="es-ES_tradnl"/>
        </w:rPr>
        <w:t>ya que</w:t>
      </w:r>
      <w:r w:rsidRPr="00326A0C">
        <w:rPr>
          <w:rFonts w:ascii="Palatino Linotype" w:eastAsia="Calibri" w:hAnsi="Palatino Linotype" w:cs="Tahoma"/>
          <w:iCs/>
          <w:lang w:eastAsia="es-ES_tradnl"/>
        </w:rPr>
        <w:t xml:space="preserve"> las </w:t>
      </w:r>
      <w:r w:rsidR="00DF0257">
        <w:rPr>
          <w:rFonts w:ascii="Palatino Linotype" w:eastAsia="Calibri" w:hAnsi="Palatino Linotype" w:cs="Tahoma"/>
          <w:iCs/>
          <w:lang w:eastAsia="es-ES_tradnl"/>
        </w:rPr>
        <w:t>mismas</w:t>
      </w:r>
      <w:r w:rsidRPr="00326A0C">
        <w:rPr>
          <w:rFonts w:ascii="Palatino Linotype" w:eastAsia="Calibri" w:hAnsi="Palatino Linotype" w:cs="Tahoma"/>
          <w:iCs/>
          <w:lang w:eastAsia="es-ES_tradnl"/>
        </w:rPr>
        <w:t>, serán públicas salvo los rubros cuya publicidad pueda afectar la vida privada o los datos personales protegidos por las Constituciones federal y local.</w:t>
      </w:r>
    </w:p>
    <w:p w:rsidR="00BC111A" w:rsidRPr="002E228F" w:rsidRDefault="00BC111A" w:rsidP="002827E5">
      <w:pPr>
        <w:spacing w:after="0" w:line="360" w:lineRule="auto"/>
        <w:jc w:val="both"/>
        <w:rPr>
          <w:rFonts w:ascii="Palatino Linotype" w:eastAsia="Calibri" w:hAnsi="Palatino Linotype" w:cs="Tahoma"/>
          <w:lang w:val="es-ES_tradnl"/>
        </w:rPr>
      </w:pPr>
    </w:p>
    <w:p w:rsidR="00BC111A" w:rsidRDefault="00BC111A" w:rsidP="002827E5">
      <w:pPr>
        <w:spacing w:after="0" w:line="360" w:lineRule="auto"/>
        <w:jc w:val="both"/>
        <w:rPr>
          <w:rFonts w:ascii="Palatino Linotype" w:hAnsi="Palatino Linotype" w:cs="Tahoma"/>
        </w:rPr>
      </w:pPr>
      <w:r w:rsidRPr="002E228F">
        <w:rPr>
          <w:rFonts w:ascii="Palatino Linotype" w:eastAsia="Calibri" w:hAnsi="Palatino Linotype" w:cs="Tahoma"/>
        </w:rPr>
        <w:t xml:space="preserve">Por las consideraciones antes expuestas, se emite el </w:t>
      </w:r>
      <w:r w:rsidR="00DF0257" w:rsidRPr="000B4CB2">
        <w:rPr>
          <w:rFonts w:ascii="Palatino Linotype" w:hAnsi="Palatino Linotype" w:cs="Tahoma"/>
        </w:rPr>
        <w:t>Presente Voto Particular</w:t>
      </w:r>
      <w:r w:rsidRPr="002E228F">
        <w:rPr>
          <w:rFonts w:ascii="Palatino Linotype" w:eastAsia="Calibri" w:hAnsi="Palatino Linotype" w:cs="Tahoma"/>
        </w:rPr>
        <w:t xml:space="preserve">, </w:t>
      </w:r>
      <w:r>
        <w:rPr>
          <w:rFonts w:ascii="Palatino Linotype" w:eastAsia="Calibri" w:hAnsi="Palatino Linotype" w:cs="Tahoma"/>
        </w:rPr>
        <w:t>------------------------------------------------------------------------------------------------------------------------------------------</w:t>
      </w:r>
    </w:p>
    <w:p w:rsidR="0038777F" w:rsidRDefault="00DF0257" w:rsidP="00BC111A">
      <w:pPr>
        <w:spacing w:after="0" w:line="360" w:lineRule="auto"/>
        <w:jc w:val="both"/>
      </w:pPr>
      <w:r>
        <w:t xml:space="preserve"> </w:t>
      </w: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p w:rsidR="003C4562" w:rsidRDefault="003C4562" w:rsidP="00BC111A">
      <w:pPr>
        <w:spacing w:after="0" w:line="360" w:lineRule="auto"/>
        <w:jc w:val="both"/>
      </w:pPr>
    </w:p>
    <w:sectPr w:rsidR="003C4562" w:rsidSect="00950355">
      <w:headerReference w:type="even" r:id="rId7"/>
      <w:headerReference w:type="default" r:id="rId8"/>
      <w:footerReference w:type="default" r:id="rId9"/>
      <w:headerReference w:type="firs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050" w:rsidRDefault="00F91050" w:rsidP="00A80C30">
      <w:pPr>
        <w:spacing w:after="0" w:line="240" w:lineRule="auto"/>
      </w:pPr>
      <w:r>
        <w:separator/>
      </w:r>
    </w:p>
  </w:endnote>
  <w:endnote w:type="continuationSeparator" w:id="0">
    <w:p w:rsidR="00F91050" w:rsidRDefault="00F91050"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27C74">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27C74">
              <w:rPr>
                <w:b/>
                <w:bCs/>
                <w:noProof/>
              </w:rPr>
              <w:t>6</w:t>
            </w:r>
            <w:r>
              <w:rPr>
                <w:b/>
                <w:bCs/>
                <w:sz w:val="24"/>
                <w:szCs w:val="24"/>
              </w:rPr>
              <w:fldChar w:fldCharType="end"/>
            </w:r>
          </w:p>
        </w:sdtContent>
      </w:sdt>
    </w:sdtContent>
  </w:sdt>
  <w:p w:rsidR="00AC333A" w:rsidRDefault="00F910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050" w:rsidRDefault="00F91050" w:rsidP="00A80C30">
      <w:pPr>
        <w:spacing w:after="0" w:line="240" w:lineRule="auto"/>
      </w:pPr>
      <w:r>
        <w:separator/>
      </w:r>
    </w:p>
  </w:footnote>
  <w:footnote w:type="continuationSeparator" w:id="0">
    <w:p w:rsidR="00F91050" w:rsidRDefault="00F91050"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F91050">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3"/>
    </w:tblGrid>
    <w:tr w:rsidR="0077694E" w:rsidRPr="001106EA" w:rsidTr="00D23322">
      <w:trPr>
        <w:trHeight w:val="1843"/>
      </w:trPr>
      <w:tc>
        <w:tcPr>
          <w:tcW w:w="3686"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285C7B" w:rsidRDefault="00285C7B" w:rsidP="00285C7B">
          <w:pPr>
            <w:pStyle w:val="Encabezado"/>
            <w:tabs>
              <w:tab w:val="clear" w:pos="4252"/>
              <w:tab w:val="center" w:pos="2614"/>
            </w:tabs>
            <w:ind w:left="-255"/>
          </w:pPr>
        </w:p>
      </w:tc>
      <w:tc>
        <w:tcPr>
          <w:tcW w:w="5953" w:type="dxa"/>
          <w:vAlign w:val="center"/>
        </w:tcPr>
        <w:p w:rsidR="001106EA" w:rsidRPr="00B9745A" w:rsidRDefault="00F91050" w:rsidP="00285C7B">
          <w:pPr>
            <w:pStyle w:val="Encabezado"/>
            <w:ind w:right="-250"/>
            <w:jc w:val="both"/>
            <w:rPr>
              <w:rFonts w:ascii="Palatino Linotype" w:hAnsi="Palatino Linotype" w:cs="Tahoma"/>
            </w:rPr>
          </w:pPr>
        </w:p>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B45EC5" w:rsidRDefault="00DB3F93" w:rsidP="00D31FCF">
          <w:pPr>
            <w:pStyle w:val="Encabezado"/>
            <w:ind w:left="-108" w:right="175"/>
            <w:jc w:val="both"/>
            <w:rPr>
              <w:rFonts w:ascii="Palatino Linotype" w:hAnsi="Palatino Linotype"/>
              <w:lang w:val="es-MX"/>
            </w:rPr>
          </w:pPr>
          <w:r>
            <w:rPr>
              <w:rFonts w:ascii="Palatino Linotype" w:hAnsi="Palatino Linotype" w:cs="Tahoma"/>
              <w:b/>
            </w:rPr>
            <w:t xml:space="preserve">Recurso de Revisión: </w:t>
          </w:r>
          <w:r w:rsidR="00D23322">
            <w:rPr>
              <w:rFonts w:ascii="Palatino Linotype" w:hAnsi="Palatino Linotype"/>
              <w:lang w:val="es-MX"/>
            </w:rPr>
            <w:t>14702</w:t>
          </w:r>
          <w:r w:rsidR="00924615">
            <w:rPr>
              <w:rFonts w:ascii="Palatino Linotype" w:hAnsi="Palatino Linotype"/>
              <w:lang w:val="es-MX"/>
            </w:rPr>
            <w:t>/INFOEM/IP/RR/202</w:t>
          </w:r>
          <w:r w:rsidR="00D23322">
            <w:rPr>
              <w:rFonts w:ascii="Palatino Linotype" w:hAnsi="Palatino Linotype"/>
              <w:lang w:val="es-MX"/>
            </w:rPr>
            <w:t>2</w:t>
          </w:r>
        </w:p>
        <w:p w:rsidR="00100065" w:rsidRDefault="001F75E5" w:rsidP="00306972">
          <w:pPr>
            <w:pStyle w:val="Encabezado"/>
            <w:ind w:left="-108" w:right="-250"/>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BC111A" w:rsidRPr="00BC111A">
            <w:rPr>
              <w:rFonts w:ascii="Palatino Linotype" w:hAnsi="Palatino Linotype"/>
              <w:bCs/>
              <w:lang w:val="es-MX"/>
            </w:rPr>
            <w:t>Secretaría de la Contraloría</w:t>
          </w:r>
        </w:p>
        <w:p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D23322">
            <w:rPr>
              <w:rFonts w:ascii="Palatino Linotype" w:hAnsi="Palatino Linotype" w:cs="Tahoma"/>
            </w:rPr>
            <w:t>Sharon Cristina Morales Martínez</w:t>
          </w:r>
        </w:p>
        <w:p w:rsidR="00285C7B" w:rsidRPr="00285C7B" w:rsidRDefault="00285C7B" w:rsidP="00285C7B">
          <w:pPr>
            <w:pStyle w:val="Encabezado"/>
            <w:ind w:left="-108" w:right="-250"/>
            <w:jc w:val="both"/>
            <w:rPr>
              <w:rFonts w:ascii="Palatino Linotype" w:hAnsi="Palatino Linotype"/>
              <w:bCs/>
              <w:lang w:val="es-ES_tradnl"/>
            </w:rPr>
          </w:pPr>
        </w:p>
      </w:tc>
    </w:tr>
  </w:tbl>
  <w:p w:rsidR="00D55429" w:rsidRPr="001106EA" w:rsidRDefault="00F91050">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F91050">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74690"/>
    <w:multiLevelType w:val="hybridMultilevel"/>
    <w:tmpl w:val="83D2900A"/>
    <w:lvl w:ilvl="0" w:tplc="DBB656B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432E0"/>
    <w:rsid w:val="000501A4"/>
    <w:rsid w:val="0005576B"/>
    <w:rsid w:val="00061988"/>
    <w:rsid w:val="00082310"/>
    <w:rsid w:val="00100065"/>
    <w:rsid w:val="00146293"/>
    <w:rsid w:val="0015666C"/>
    <w:rsid w:val="00163D0D"/>
    <w:rsid w:val="00166081"/>
    <w:rsid w:val="0017358C"/>
    <w:rsid w:val="001971A0"/>
    <w:rsid w:val="001C3F27"/>
    <w:rsid w:val="001D3CC9"/>
    <w:rsid w:val="001F75E5"/>
    <w:rsid w:val="00205B02"/>
    <w:rsid w:val="00270543"/>
    <w:rsid w:val="00276117"/>
    <w:rsid w:val="002827E5"/>
    <w:rsid w:val="00285C7B"/>
    <w:rsid w:val="002A3487"/>
    <w:rsid w:val="002D499A"/>
    <w:rsid w:val="002D6AB3"/>
    <w:rsid w:val="002E6AA8"/>
    <w:rsid w:val="00304A0F"/>
    <w:rsid w:val="00306972"/>
    <w:rsid w:val="00314859"/>
    <w:rsid w:val="00331BF4"/>
    <w:rsid w:val="00341B05"/>
    <w:rsid w:val="00343DF9"/>
    <w:rsid w:val="003674F2"/>
    <w:rsid w:val="003769CB"/>
    <w:rsid w:val="0038777F"/>
    <w:rsid w:val="00393170"/>
    <w:rsid w:val="003C4562"/>
    <w:rsid w:val="003D0666"/>
    <w:rsid w:val="003E197C"/>
    <w:rsid w:val="003E56C5"/>
    <w:rsid w:val="004120C8"/>
    <w:rsid w:val="00427C74"/>
    <w:rsid w:val="004412C6"/>
    <w:rsid w:val="00452E47"/>
    <w:rsid w:val="0046182D"/>
    <w:rsid w:val="004659A1"/>
    <w:rsid w:val="00466582"/>
    <w:rsid w:val="00470ABE"/>
    <w:rsid w:val="004738C3"/>
    <w:rsid w:val="00486BD3"/>
    <w:rsid w:val="00494387"/>
    <w:rsid w:val="004B5796"/>
    <w:rsid w:val="004B6C8D"/>
    <w:rsid w:val="004C0D87"/>
    <w:rsid w:val="004C7D91"/>
    <w:rsid w:val="004D26F6"/>
    <w:rsid w:val="004E5B48"/>
    <w:rsid w:val="004E600B"/>
    <w:rsid w:val="004F55E2"/>
    <w:rsid w:val="0050010A"/>
    <w:rsid w:val="00506560"/>
    <w:rsid w:val="00506AB5"/>
    <w:rsid w:val="00514DA7"/>
    <w:rsid w:val="00533E57"/>
    <w:rsid w:val="00541BAC"/>
    <w:rsid w:val="00543C9A"/>
    <w:rsid w:val="00555F21"/>
    <w:rsid w:val="005974CA"/>
    <w:rsid w:val="00601591"/>
    <w:rsid w:val="00632BB1"/>
    <w:rsid w:val="0063326A"/>
    <w:rsid w:val="00684986"/>
    <w:rsid w:val="00690441"/>
    <w:rsid w:val="006B487D"/>
    <w:rsid w:val="006C2B09"/>
    <w:rsid w:val="006D2495"/>
    <w:rsid w:val="006D42AE"/>
    <w:rsid w:val="006D6161"/>
    <w:rsid w:val="00716333"/>
    <w:rsid w:val="00720137"/>
    <w:rsid w:val="007416FB"/>
    <w:rsid w:val="00756729"/>
    <w:rsid w:val="00790A7C"/>
    <w:rsid w:val="007B7B1E"/>
    <w:rsid w:val="007E044C"/>
    <w:rsid w:val="007F32AC"/>
    <w:rsid w:val="008212C6"/>
    <w:rsid w:val="00823E1B"/>
    <w:rsid w:val="0083177F"/>
    <w:rsid w:val="00842979"/>
    <w:rsid w:val="008444A9"/>
    <w:rsid w:val="008B5910"/>
    <w:rsid w:val="008C5CD3"/>
    <w:rsid w:val="008F78B8"/>
    <w:rsid w:val="00905602"/>
    <w:rsid w:val="00922026"/>
    <w:rsid w:val="00924615"/>
    <w:rsid w:val="00940F06"/>
    <w:rsid w:val="0094703B"/>
    <w:rsid w:val="00960C5A"/>
    <w:rsid w:val="00961702"/>
    <w:rsid w:val="00986337"/>
    <w:rsid w:val="009A21FA"/>
    <w:rsid w:val="009A3B6C"/>
    <w:rsid w:val="009A6633"/>
    <w:rsid w:val="009A6952"/>
    <w:rsid w:val="009F23B2"/>
    <w:rsid w:val="009F37BE"/>
    <w:rsid w:val="00A16DDF"/>
    <w:rsid w:val="00A43EFA"/>
    <w:rsid w:val="00A478F1"/>
    <w:rsid w:val="00A54CCC"/>
    <w:rsid w:val="00A56D01"/>
    <w:rsid w:val="00A72D99"/>
    <w:rsid w:val="00A80C30"/>
    <w:rsid w:val="00A9782A"/>
    <w:rsid w:val="00AA3FE2"/>
    <w:rsid w:val="00AA72D0"/>
    <w:rsid w:val="00AD77D2"/>
    <w:rsid w:val="00AE249C"/>
    <w:rsid w:val="00AE284F"/>
    <w:rsid w:val="00AE29DD"/>
    <w:rsid w:val="00AF7632"/>
    <w:rsid w:val="00AF77D3"/>
    <w:rsid w:val="00B43526"/>
    <w:rsid w:val="00B45EC5"/>
    <w:rsid w:val="00B55282"/>
    <w:rsid w:val="00B56DE2"/>
    <w:rsid w:val="00B70A3F"/>
    <w:rsid w:val="00B76A5E"/>
    <w:rsid w:val="00B97313"/>
    <w:rsid w:val="00BA54EE"/>
    <w:rsid w:val="00BC111A"/>
    <w:rsid w:val="00BE26EC"/>
    <w:rsid w:val="00C00E77"/>
    <w:rsid w:val="00C341C6"/>
    <w:rsid w:val="00C51EFD"/>
    <w:rsid w:val="00C60C1A"/>
    <w:rsid w:val="00C75F6B"/>
    <w:rsid w:val="00CC24D8"/>
    <w:rsid w:val="00CC3A0F"/>
    <w:rsid w:val="00CD5FC6"/>
    <w:rsid w:val="00CD67D3"/>
    <w:rsid w:val="00CD7937"/>
    <w:rsid w:val="00CE380C"/>
    <w:rsid w:val="00D02886"/>
    <w:rsid w:val="00D11D78"/>
    <w:rsid w:val="00D23322"/>
    <w:rsid w:val="00D31FCF"/>
    <w:rsid w:val="00D60170"/>
    <w:rsid w:val="00DB3F93"/>
    <w:rsid w:val="00DB609F"/>
    <w:rsid w:val="00DD5D61"/>
    <w:rsid w:val="00DD7DD4"/>
    <w:rsid w:val="00DF0257"/>
    <w:rsid w:val="00E21609"/>
    <w:rsid w:val="00E43FEA"/>
    <w:rsid w:val="00E678EF"/>
    <w:rsid w:val="00E7322A"/>
    <w:rsid w:val="00E857C7"/>
    <w:rsid w:val="00E878DE"/>
    <w:rsid w:val="00EB135A"/>
    <w:rsid w:val="00EC3610"/>
    <w:rsid w:val="00F00E66"/>
    <w:rsid w:val="00F1426D"/>
    <w:rsid w:val="00F24795"/>
    <w:rsid w:val="00F35BFB"/>
    <w:rsid w:val="00F46F8E"/>
    <w:rsid w:val="00F60B97"/>
    <w:rsid w:val="00F642D7"/>
    <w:rsid w:val="00F7440B"/>
    <w:rsid w:val="00F84B95"/>
    <w:rsid w:val="00F91050"/>
    <w:rsid w:val="00FA5870"/>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1253</Words>
  <Characters>6892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3</cp:revision>
  <cp:lastPrinted>2023-04-10T15:07:00Z</cp:lastPrinted>
  <dcterms:created xsi:type="dcterms:W3CDTF">2023-09-04T17:19:00Z</dcterms:created>
  <dcterms:modified xsi:type="dcterms:W3CDTF">2023-09-04T17:30:00Z</dcterms:modified>
</cp:coreProperties>
</file>