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D7" w:rsidRPr="00B078C8" w:rsidRDefault="006F1FF3">
      <w:pPr>
        <w:tabs>
          <w:tab w:val="left" w:pos="3686"/>
        </w:tabs>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B078C8">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B078C8">
        <w:rPr>
          <w:rFonts w:ascii="Palatino Linotype" w:eastAsia="Palatino Linotype" w:hAnsi="Palatino Linotype" w:cs="Palatino Linotype"/>
          <w:b/>
          <w:sz w:val="24"/>
          <w:szCs w:val="24"/>
        </w:rPr>
        <w:t>SEXTA SESIÓN ORDINARIA DEL VEINTIUNO DE FEBRERO DE DOS MIL VEINTICUATRO, EN LOS RECURSOS DE REVISIÓN 04895/INFOEM/IP/RR/2023, 04896/INFOEM/IP/RR/2023, 04897/INFOEM/IP/RR/2023 Y 04898/INFOEM/IP/RR/2023, ACUMULADOS.</w:t>
      </w:r>
    </w:p>
    <w:p w:rsidR="00F34FD7" w:rsidRPr="00B078C8" w:rsidRDefault="006F1FF3">
      <w:pPr>
        <w:spacing w:before="240" w:after="240" w:line="360" w:lineRule="auto"/>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Con fundamento en lo dispuesto por el artí</w:t>
      </w:r>
      <w:r w:rsidRPr="00B078C8">
        <w:rPr>
          <w:rFonts w:ascii="Palatino Linotype" w:eastAsia="Palatino Linotype" w:hAnsi="Palatino Linotype" w:cs="Palatino Linotype"/>
          <w:sz w:val="24"/>
          <w:szCs w:val="24"/>
        </w:rPr>
        <w:t xml:space="preserve">culo 14, fracciones X y XI, del Reglamento del Instituto de Transparencia, Acceso a la Información Pública y Protección de Datos Personales del Estado de México, la que suscribe </w:t>
      </w:r>
      <w:r w:rsidRPr="00B078C8">
        <w:rPr>
          <w:rFonts w:ascii="Palatino Linotype" w:eastAsia="Palatino Linotype" w:hAnsi="Palatino Linotype" w:cs="Palatino Linotype"/>
          <w:b/>
          <w:sz w:val="24"/>
          <w:szCs w:val="24"/>
        </w:rPr>
        <w:t xml:space="preserve">Guadalupe Ramírez Peña, </w:t>
      </w:r>
      <w:r w:rsidRPr="00B078C8">
        <w:rPr>
          <w:rFonts w:ascii="Palatino Linotype" w:eastAsia="Palatino Linotype" w:hAnsi="Palatino Linotype" w:cs="Palatino Linotype"/>
          <w:sz w:val="24"/>
          <w:szCs w:val="24"/>
        </w:rPr>
        <w:t xml:space="preserve">emite </w:t>
      </w:r>
      <w:r w:rsidRPr="00B078C8">
        <w:rPr>
          <w:rFonts w:ascii="Palatino Linotype" w:eastAsia="Palatino Linotype" w:hAnsi="Palatino Linotype" w:cs="Palatino Linotype"/>
          <w:b/>
          <w:sz w:val="24"/>
          <w:szCs w:val="24"/>
        </w:rPr>
        <w:t xml:space="preserve">Voto Particular </w:t>
      </w:r>
      <w:r w:rsidRPr="00B078C8">
        <w:rPr>
          <w:rFonts w:ascii="Palatino Linotype" w:eastAsia="Palatino Linotype" w:hAnsi="Palatino Linotype" w:cs="Palatino Linotype"/>
          <w:sz w:val="24"/>
          <w:szCs w:val="24"/>
        </w:rPr>
        <w:t>respecto a la resolución dictada</w:t>
      </w:r>
      <w:r w:rsidRPr="00B078C8">
        <w:rPr>
          <w:rFonts w:ascii="Palatino Linotype" w:eastAsia="Palatino Linotype" w:hAnsi="Palatino Linotype" w:cs="Palatino Linotype"/>
          <w:sz w:val="24"/>
          <w:szCs w:val="24"/>
        </w:rPr>
        <w:t xml:space="preserve"> en los recursos de revisión</w:t>
      </w:r>
      <w:r w:rsidRPr="00B078C8">
        <w:rPr>
          <w:rFonts w:ascii="Palatino Linotype" w:eastAsia="Palatino Linotype" w:hAnsi="Palatino Linotype" w:cs="Palatino Linotype"/>
          <w:b/>
          <w:sz w:val="24"/>
          <w:szCs w:val="24"/>
        </w:rPr>
        <w:t xml:space="preserve"> 04895/INFOEM/IP/RR/2023, 04896/INFOEM/IP/RR/2023, 04897/INFOEM/IP/RR/2023 </w:t>
      </w:r>
      <w:r w:rsidRPr="00B078C8">
        <w:rPr>
          <w:rFonts w:ascii="Palatino Linotype" w:eastAsia="Palatino Linotype" w:hAnsi="Palatino Linotype" w:cs="Palatino Linotype"/>
          <w:sz w:val="24"/>
          <w:szCs w:val="24"/>
        </w:rPr>
        <w:t>y</w:t>
      </w:r>
      <w:r w:rsidRPr="00B078C8">
        <w:rPr>
          <w:rFonts w:ascii="Palatino Linotype" w:eastAsia="Palatino Linotype" w:hAnsi="Palatino Linotype" w:cs="Palatino Linotype"/>
          <w:b/>
          <w:sz w:val="24"/>
          <w:szCs w:val="24"/>
        </w:rPr>
        <w:t xml:space="preserve"> 04898/INFOEM/IP/RR/2023, acumulados</w:t>
      </w:r>
      <w:r w:rsidRPr="00B078C8">
        <w:rPr>
          <w:rFonts w:ascii="Palatino Linotype" w:eastAsia="Palatino Linotype" w:hAnsi="Palatino Linotype" w:cs="Palatino Linotype"/>
          <w:sz w:val="24"/>
          <w:szCs w:val="24"/>
        </w:rPr>
        <w:t xml:space="preserve">, pronunciada con el </w:t>
      </w:r>
      <w:r w:rsidRPr="00B078C8">
        <w:rPr>
          <w:rFonts w:ascii="Palatino Linotype" w:eastAsia="Palatino Linotype" w:hAnsi="Palatino Linotype" w:cs="Palatino Linotype"/>
          <w:sz w:val="24"/>
          <w:szCs w:val="24"/>
        </w:rPr>
        <w:t xml:space="preserve">criterio mayoritario </w:t>
      </w:r>
      <w:r w:rsidRPr="00B078C8">
        <w:rPr>
          <w:rFonts w:ascii="Palatino Linotype" w:eastAsia="Palatino Linotype" w:hAnsi="Palatino Linotype" w:cs="Palatino Linotype"/>
          <w:sz w:val="24"/>
          <w:szCs w:val="24"/>
        </w:rPr>
        <w:t>del Pleno de este Instituto ante el proyecto presentado por el Comisionado</w:t>
      </w:r>
      <w:r w:rsidRPr="00B078C8">
        <w:rPr>
          <w:rFonts w:ascii="Palatino Linotype" w:eastAsia="Palatino Linotype" w:hAnsi="Palatino Linotype" w:cs="Palatino Linotype"/>
          <w:b/>
          <w:sz w:val="24"/>
          <w:szCs w:val="24"/>
        </w:rPr>
        <w:t xml:space="preserve"> José Martínez Vilchis</w:t>
      </w:r>
      <w:r w:rsidRPr="00B078C8">
        <w:rPr>
          <w:rFonts w:ascii="Palatino Linotype" w:eastAsia="Palatino Linotype" w:hAnsi="Palatino Linotype" w:cs="Palatino Linotype"/>
          <w:sz w:val="24"/>
          <w:szCs w:val="24"/>
        </w:rPr>
        <w:t>, el cual es al tenor siguiente:</w:t>
      </w:r>
    </w:p>
    <w:p w:rsidR="00F34FD7" w:rsidRPr="00B078C8" w:rsidRDefault="006F1FF3">
      <w:pPr>
        <w:numPr>
          <w:ilvl w:val="0"/>
          <w:numId w:val="5"/>
        </w:numPr>
        <w:tabs>
          <w:tab w:val="left" w:pos="567"/>
        </w:tabs>
        <w:spacing w:after="0" w:line="360" w:lineRule="auto"/>
        <w:ind w:left="284" w:firstLine="0"/>
        <w:jc w:val="both"/>
        <w:rPr>
          <w:rFonts w:ascii="Palatino Linotype" w:eastAsia="Palatino Linotype" w:hAnsi="Palatino Linotype" w:cs="Palatino Linotype"/>
          <w:b/>
          <w:sz w:val="24"/>
          <w:szCs w:val="24"/>
        </w:rPr>
      </w:pPr>
      <w:r w:rsidRPr="00B078C8">
        <w:rPr>
          <w:rFonts w:ascii="Palatino Linotype" w:eastAsia="Palatino Linotype" w:hAnsi="Palatino Linotype" w:cs="Palatino Linotype"/>
          <w:b/>
          <w:sz w:val="24"/>
          <w:szCs w:val="24"/>
        </w:rPr>
        <w:t>Antecedentes.</w:t>
      </w:r>
    </w:p>
    <w:p w:rsidR="00F34FD7" w:rsidRPr="00B078C8" w:rsidRDefault="006F1FF3">
      <w:pPr>
        <w:spacing w:after="0" w:line="360" w:lineRule="auto"/>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En el asunto que nos ocupa, la parte </w:t>
      </w:r>
      <w:r w:rsidRPr="00B078C8">
        <w:rPr>
          <w:rFonts w:ascii="Palatino Linotype" w:eastAsia="Palatino Linotype" w:hAnsi="Palatino Linotype" w:cs="Palatino Linotype"/>
          <w:b/>
          <w:sz w:val="24"/>
          <w:szCs w:val="24"/>
        </w:rPr>
        <w:t>Recurrente</w:t>
      </w:r>
      <w:r w:rsidRPr="00B078C8">
        <w:rPr>
          <w:rFonts w:ascii="Palatino Linotype" w:eastAsia="Palatino Linotype" w:hAnsi="Palatino Linotype" w:cs="Palatino Linotype"/>
          <w:sz w:val="24"/>
          <w:szCs w:val="24"/>
        </w:rPr>
        <w:t xml:space="preserve"> solicitó al </w:t>
      </w:r>
      <w:r w:rsidRPr="00B078C8">
        <w:rPr>
          <w:rFonts w:ascii="Palatino Linotype" w:eastAsia="Palatino Linotype" w:hAnsi="Palatino Linotype" w:cs="Palatino Linotype"/>
          <w:b/>
          <w:sz w:val="24"/>
          <w:szCs w:val="24"/>
        </w:rPr>
        <w:t>Sujeto Obligado</w:t>
      </w:r>
      <w:r w:rsidRPr="00B078C8">
        <w:rPr>
          <w:rFonts w:ascii="Palatino Linotype" w:eastAsia="Palatino Linotype" w:hAnsi="Palatino Linotype" w:cs="Palatino Linotype"/>
          <w:sz w:val="24"/>
          <w:szCs w:val="24"/>
        </w:rPr>
        <w:t xml:space="preserve">, le proporcionara, </w:t>
      </w:r>
      <w:r w:rsidRPr="00B078C8">
        <w:rPr>
          <w:rFonts w:ascii="Palatino Linotype" w:eastAsia="Palatino Linotype" w:hAnsi="Palatino Linotype" w:cs="Palatino Linotype"/>
          <w:sz w:val="24"/>
          <w:szCs w:val="24"/>
        </w:rPr>
        <w:t>en versión pública y en formato PDF,</w:t>
      </w:r>
      <w:r w:rsidRPr="00B078C8">
        <w:rPr>
          <w:rFonts w:ascii="Palatino Linotype" w:eastAsia="Palatino Linotype" w:hAnsi="Palatino Linotype" w:cs="Palatino Linotype"/>
          <w:b/>
          <w:sz w:val="24"/>
          <w:szCs w:val="24"/>
        </w:rPr>
        <w:t xml:space="preserve"> </w:t>
      </w:r>
      <w:r w:rsidRPr="00B078C8">
        <w:rPr>
          <w:rFonts w:ascii="Palatino Linotype" w:eastAsia="Palatino Linotype" w:hAnsi="Palatino Linotype" w:cs="Palatino Linotype"/>
          <w:sz w:val="24"/>
          <w:szCs w:val="24"/>
        </w:rPr>
        <w:t xml:space="preserve">los contratos correspondientes, </w:t>
      </w:r>
      <w:r w:rsidRPr="00B078C8">
        <w:rPr>
          <w:rFonts w:ascii="Palatino Linotype" w:eastAsia="Palatino Linotype" w:hAnsi="Palatino Linotype" w:cs="Palatino Linotype"/>
          <w:sz w:val="24"/>
          <w:szCs w:val="24"/>
        </w:rPr>
        <w:lastRenderedPageBreak/>
        <w:t>de conformidad al dispu</w:t>
      </w:r>
      <w:r w:rsidRPr="00B078C8">
        <w:rPr>
          <w:rFonts w:ascii="Palatino Linotype" w:eastAsia="Palatino Linotype" w:hAnsi="Palatino Linotype" w:cs="Palatino Linotype"/>
          <w:sz w:val="24"/>
          <w:szCs w:val="24"/>
        </w:rPr>
        <w:t>esto en la Ley de Contratación Pública del Estado de México y Municipios,</w:t>
      </w:r>
      <w:r w:rsidRPr="00B078C8">
        <w:rPr>
          <w:rFonts w:ascii="Palatino Linotype" w:eastAsia="Palatino Linotype" w:hAnsi="Palatino Linotype" w:cs="Palatino Linotype"/>
          <w:b/>
          <w:sz w:val="24"/>
          <w:szCs w:val="24"/>
        </w:rPr>
        <w:t xml:space="preserve"> </w:t>
      </w:r>
      <w:r w:rsidRPr="00B078C8">
        <w:rPr>
          <w:rFonts w:ascii="Palatino Linotype" w:eastAsia="Palatino Linotype" w:hAnsi="Palatino Linotype" w:cs="Palatino Linotype"/>
          <w:sz w:val="24"/>
          <w:szCs w:val="24"/>
        </w:rPr>
        <w:t>la siguiente</w:t>
      </w:r>
      <w:r w:rsidRPr="00B078C8">
        <w:rPr>
          <w:rFonts w:ascii="Palatino Linotype" w:eastAsia="Palatino Linotype" w:hAnsi="Palatino Linotype" w:cs="Palatino Linotype"/>
          <w:b/>
          <w:sz w:val="24"/>
          <w:szCs w:val="24"/>
        </w:rPr>
        <w:t xml:space="preserve"> </w:t>
      </w:r>
      <w:r w:rsidRPr="00B078C8">
        <w:rPr>
          <w:rFonts w:ascii="Palatino Linotype" w:eastAsia="Palatino Linotype" w:hAnsi="Palatino Linotype" w:cs="Palatino Linotype"/>
          <w:sz w:val="24"/>
          <w:szCs w:val="24"/>
        </w:rPr>
        <w:t>información:</w:t>
      </w:r>
    </w:p>
    <w:p w:rsidR="00F34FD7" w:rsidRPr="00B078C8" w:rsidRDefault="006F1FF3">
      <w:pPr>
        <w:numPr>
          <w:ilvl w:val="0"/>
          <w:numId w:val="1"/>
        </w:numPr>
        <w:pBdr>
          <w:top w:val="nil"/>
          <w:left w:val="nil"/>
          <w:bottom w:val="nil"/>
          <w:right w:val="nil"/>
          <w:between w:val="nil"/>
        </w:pBdr>
        <w:spacing w:before="240" w:after="240" w:line="276" w:lineRule="auto"/>
        <w:ind w:left="426"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Los costos totales </w:t>
      </w:r>
      <w:r w:rsidRPr="00B078C8">
        <w:rPr>
          <w:rFonts w:ascii="Palatino Linotype" w:eastAsia="Palatino Linotype" w:hAnsi="Palatino Linotype" w:cs="Palatino Linotype"/>
          <w:i/>
          <w:sz w:val="24"/>
          <w:szCs w:val="24"/>
        </w:rPr>
        <w:t>(IVA incluido)</w:t>
      </w:r>
      <w:r w:rsidRPr="00B078C8">
        <w:rPr>
          <w:rFonts w:ascii="Palatino Linotype" w:eastAsia="Palatino Linotype" w:hAnsi="Palatino Linotype" w:cs="Palatino Linotype"/>
          <w:sz w:val="24"/>
          <w:szCs w:val="24"/>
        </w:rPr>
        <w:t xml:space="preserve"> en moneda nacional; los Convenios celebrados, facturas, contratos celebrados; las pólizas de cheques del gasto, efectuado, pago y/o realizó y el padrón de beneficiarios. </w:t>
      </w:r>
    </w:p>
    <w:p w:rsidR="00F34FD7" w:rsidRPr="00B078C8" w:rsidRDefault="006F1FF3">
      <w:pPr>
        <w:numPr>
          <w:ilvl w:val="1"/>
          <w:numId w:val="2"/>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compra de Nuevos Uniformes y equipos de seguridad de la Dirección de Servicio</w:t>
      </w:r>
      <w:r w:rsidRPr="00B078C8">
        <w:rPr>
          <w:rFonts w:ascii="Palatino Linotype" w:eastAsia="Palatino Linotype" w:hAnsi="Palatino Linotype" w:cs="Palatino Linotype"/>
          <w:sz w:val="24"/>
          <w:szCs w:val="24"/>
        </w:rPr>
        <w:t xml:space="preserve">s Públicos. Para todo el personal operativo de la Dirección de Servicios Públicos y sus áreas de Residuos Sólidos, Parques y Jardines, Control Vehicular, Panteones, Alumbrado Público y la Unidad de Control y Bienestar Animal. </w:t>
      </w:r>
    </w:p>
    <w:p w:rsidR="00F34FD7" w:rsidRPr="00B078C8" w:rsidRDefault="006F1FF3">
      <w:pPr>
        <w:numPr>
          <w:ilvl w:val="1"/>
          <w:numId w:val="2"/>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compra de los CHALECOS</w:t>
      </w:r>
      <w:r w:rsidRPr="00B078C8">
        <w:rPr>
          <w:rFonts w:ascii="Palatino Linotype" w:eastAsia="Palatino Linotype" w:hAnsi="Palatino Linotype" w:cs="Palatino Linotype"/>
          <w:sz w:val="24"/>
          <w:szCs w:val="24"/>
        </w:rPr>
        <w:t xml:space="preserve"> que se entregaron a la Organización de Bici taxis de San Jacinto. </w:t>
      </w:r>
    </w:p>
    <w:p w:rsidR="00F34FD7" w:rsidRPr="00B078C8" w:rsidRDefault="006F1FF3">
      <w:pPr>
        <w:numPr>
          <w:ilvl w:val="1"/>
          <w:numId w:val="2"/>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Por la compra de los CHALECOS que se entregaron a la organización de moto taxis de Hornos de Santa Bárbara. </w:t>
      </w:r>
    </w:p>
    <w:p w:rsidR="00F34FD7" w:rsidRPr="00B078C8" w:rsidRDefault="006F1FF3">
      <w:pPr>
        <w:numPr>
          <w:ilvl w:val="1"/>
          <w:numId w:val="2"/>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compra y la instalación de 300 metros lineales de cable del montaje eléctrico de la primaria Andrés Quintana Roo, en la Col. Alfredo del Mazo.</w:t>
      </w:r>
    </w:p>
    <w:p w:rsidR="00F34FD7" w:rsidRPr="00B078C8" w:rsidRDefault="006F1FF3">
      <w:pPr>
        <w:numPr>
          <w:ilvl w:val="0"/>
          <w:numId w:val="1"/>
        </w:numPr>
        <w:pBdr>
          <w:top w:val="nil"/>
          <w:left w:val="nil"/>
          <w:bottom w:val="nil"/>
          <w:right w:val="nil"/>
          <w:between w:val="nil"/>
        </w:pBdr>
        <w:spacing w:before="240" w:after="240" w:line="276" w:lineRule="auto"/>
        <w:ind w:left="426"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Los costos totales </w:t>
      </w:r>
      <w:r w:rsidRPr="00B078C8">
        <w:rPr>
          <w:rFonts w:ascii="Palatino Linotype" w:eastAsia="Palatino Linotype" w:hAnsi="Palatino Linotype" w:cs="Palatino Linotype"/>
          <w:i/>
          <w:sz w:val="24"/>
          <w:szCs w:val="24"/>
        </w:rPr>
        <w:t>(IVA incluido)</w:t>
      </w:r>
      <w:r w:rsidRPr="00B078C8">
        <w:rPr>
          <w:rFonts w:ascii="Palatino Linotype" w:eastAsia="Palatino Linotype" w:hAnsi="Palatino Linotype" w:cs="Palatino Linotype"/>
          <w:sz w:val="24"/>
          <w:szCs w:val="24"/>
        </w:rPr>
        <w:t xml:space="preserve"> en moneda nacional, así como su entrega en versión pública de los conven</w:t>
      </w:r>
      <w:r w:rsidRPr="00B078C8">
        <w:rPr>
          <w:rFonts w:ascii="Palatino Linotype" w:eastAsia="Palatino Linotype" w:hAnsi="Palatino Linotype" w:cs="Palatino Linotype"/>
          <w:sz w:val="24"/>
          <w:szCs w:val="24"/>
        </w:rPr>
        <w:t xml:space="preserve">ios celebrados, facturas, contratos celebrados, Pólizas de cheques del gasto, efectuado, pago y/o realizó, así como el total de población de beneficiada </w:t>
      </w:r>
    </w:p>
    <w:p w:rsidR="00F34FD7" w:rsidRPr="00B078C8" w:rsidRDefault="006F1FF3">
      <w:pPr>
        <w:numPr>
          <w:ilvl w:val="1"/>
          <w:numId w:val="3"/>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lastRenderedPageBreak/>
        <w:t>Por la Instalación de alumbrado público eléctrico llevado a cabo en todo el Municipio en forma detalla</w:t>
      </w:r>
      <w:r w:rsidRPr="00B078C8">
        <w:rPr>
          <w:rFonts w:ascii="Palatino Linotype" w:eastAsia="Palatino Linotype" w:hAnsi="Palatino Linotype" w:cs="Palatino Linotype"/>
          <w:sz w:val="24"/>
          <w:szCs w:val="24"/>
        </w:rPr>
        <w:t xml:space="preserve">da y separada de los ejercicios fiscales 2022 y 2023, por colonias y/o delegaciones, unidades habitacionales. </w:t>
      </w:r>
    </w:p>
    <w:p w:rsidR="00F34FD7" w:rsidRPr="00B078C8" w:rsidRDefault="006F1FF3">
      <w:pPr>
        <w:numPr>
          <w:ilvl w:val="1"/>
          <w:numId w:val="3"/>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Instalación de cámaras de vigilancia llevada a cabo en todo el Municipio en forma detallada y separada de los ejercicios fiscales 2022 y 2</w:t>
      </w:r>
      <w:r w:rsidRPr="00B078C8">
        <w:rPr>
          <w:rFonts w:ascii="Palatino Linotype" w:eastAsia="Palatino Linotype" w:hAnsi="Palatino Linotype" w:cs="Palatino Linotype"/>
          <w:sz w:val="24"/>
          <w:szCs w:val="24"/>
        </w:rPr>
        <w:t xml:space="preserve">023, por colonias y/o delegaciones, unidades habitacionales. </w:t>
      </w:r>
    </w:p>
    <w:p w:rsidR="00F34FD7" w:rsidRPr="00B078C8" w:rsidRDefault="006F1FF3">
      <w:pPr>
        <w:numPr>
          <w:ilvl w:val="1"/>
          <w:numId w:val="3"/>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Instalación de alarmas vecinales llevado a cabo en todo el Municipio en forma detallada y separada de los ejercicios fiscales 2022 y 2023, por colonias y/o delegaciones, unidades habitaci</w:t>
      </w:r>
      <w:r w:rsidRPr="00B078C8">
        <w:rPr>
          <w:rFonts w:ascii="Palatino Linotype" w:eastAsia="Palatino Linotype" w:hAnsi="Palatino Linotype" w:cs="Palatino Linotype"/>
          <w:sz w:val="24"/>
          <w:szCs w:val="24"/>
        </w:rPr>
        <w:t>onales.</w:t>
      </w:r>
    </w:p>
    <w:p w:rsidR="00F34FD7" w:rsidRPr="00B078C8" w:rsidRDefault="006F1FF3">
      <w:pPr>
        <w:numPr>
          <w:ilvl w:val="0"/>
          <w:numId w:val="3"/>
        </w:numPr>
        <w:pBdr>
          <w:top w:val="nil"/>
          <w:left w:val="nil"/>
          <w:bottom w:val="nil"/>
          <w:right w:val="nil"/>
          <w:between w:val="nil"/>
        </w:pBdr>
        <w:spacing w:before="240" w:after="240" w:line="276" w:lineRule="auto"/>
        <w:ind w:left="426"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Los costos totales </w:t>
      </w:r>
      <w:r w:rsidRPr="00B078C8">
        <w:rPr>
          <w:rFonts w:ascii="Palatino Linotype" w:eastAsia="Palatino Linotype" w:hAnsi="Palatino Linotype" w:cs="Palatino Linotype"/>
          <w:i/>
          <w:sz w:val="24"/>
          <w:szCs w:val="24"/>
        </w:rPr>
        <w:t>(IVA incluido)</w:t>
      </w:r>
      <w:r w:rsidRPr="00B078C8">
        <w:rPr>
          <w:rFonts w:ascii="Palatino Linotype" w:eastAsia="Palatino Linotype" w:hAnsi="Palatino Linotype" w:cs="Palatino Linotype"/>
          <w:sz w:val="24"/>
          <w:szCs w:val="24"/>
        </w:rPr>
        <w:t xml:space="preserve"> en moneda nacional, así como su entrega en versión pública de los convenios celebrados, facturas, contratos celebrados, pólizas de cheques del gasto, efectuado, pago y/o realizó, así como el padrón de beneficiarios por colonias y/o delegaciones.</w:t>
      </w:r>
    </w:p>
    <w:p w:rsidR="00F34FD7" w:rsidRPr="00B078C8" w:rsidRDefault="006F1FF3">
      <w:pPr>
        <w:numPr>
          <w:ilvl w:val="1"/>
          <w:numId w:val="3"/>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co</w:t>
      </w:r>
      <w:r w:rsidRPr="00B078C8">
        <w:rPr>
          <w:rFonts w:ascii="Palatino Linotype" w:eastAsia="Palatino Linotype" w:hAnsi="Palatino Linotype" w:cs="Palatino Linotype"/>
          <w:sz w:val="24"/>
          <w:szCs w:val="24"/>
        </w:rPr>
        <w:t xml:space="preserve">mpra de avena y fertilizantes entregada a los 796 productores del campo </w:t>
      </w:r>
      <w:proofErr w:type="spellStart"/>
      <w:r w:rsidRPr="00B078C8">
        <w:rPr>
          <w:rFonts w:ascii="Palatino Linotype" w:eastAsia="Palatino Linotype" w:hAnsi="Palatino Linotype" w:cs="Palatino Linotype"/>
          <w:sz w:val="24"/>
          <w:szCs w:val="24"/>
        </w:rPr>
        <w:t>Ixtapaluquenses</w:t>
      </w:r>
      <w:proofErr w:type="spellEnd"/>
      <w:r w:rsidRPr="00B078C8">
        <w:rPr>
          <w:rFonts w:ascii="Palatino Linotype" w:eastAsia="Palatino Linotype" w:hAnsi="Palatino Linotype" w:cs="Palatino Linotype"/>
          <w:sz w:val="24"/>
          <w:szCs w:val="24"/>
        </w:rPr>
        <w:t xml:space="preserve"> como apoyo anual.</w:t>
      </w:r>
    </w:p>
    <w:p w:rsidR="00F34FD7" w:rsidRPr="00B078C8" w:rsidRDefault="006F1FF3">
      <w:pPr>
        <w:numPr>
          <w:ilvl w:val="0"/>
          <w:numId w:val="3"/>
        </w:numPr>
        <w:pBdr>
          <w:top w:val="nil"/>
          <w:left w:val="nil"/>
          <w:bottom w:val="nil"/>
          <w:right w:val="nil"/>
          <w:between w:val="nil"/>
        </w:pBdr>
        <w:spacing w:before="240" w:after="240" w:line="276" w:lineRule="auto"/>
        <w:ind w:left="426"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Los costos totales (IVA incluido) en moneda nacional, así como su entrega en versión pública de los convenios celebrados, facturas, contratos celebrad</w:t>
      </w:r>
      <w:r w:rsidRPr="00B078C8">
        <w:rPr>
          <w:rFonts w:ascii="Palatino Linotype" w:eastAsia="Palatino Linotype" w:hAnsi="Palatino Linotype" w:cs="Palatino Linotype"/>
          <w:sz w:val="24"/>
          <w:szCs w:val="24"/>
        </w:rPr>
        <w:t>os, pólizas de cheques del gasto efectuado, pago y/o realizó, además de especificar el tipo de recurso utilizado si fue Federal, Estatal o Municipal.</w:t>
      </w:r>
    </w:p>
    <w:p w:rsidR="00F34FD7" w:rsidRPr="00B078C8" w:rsidRDefault="006F1FF3">
      <w:pPr>
        <w:numPr>
          <w:ilvl w:val="1"/>
          <w:numId w:val="3"/>
        </w:numPr>
        <w:pBdr>
          <w:top w:val="nil"/>
          <w:left w:val="nil"/>
          <w:bottom w:val="nil"/>
          <w:right w:val="nil"/>
          <w:between w:val="nil"/>
        </w:pBdr>
        <w:spacing w:before="240" w:after="240" w:line="276" w:lineRule="auto"/>
        <w:ind w:hanging="357"/>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la compra de 21 nuevas Moto Patrullas entregadas a la dirección de Seguridad Pública.</w:t>
      </w:r>
    </w:p>
    <w:p w:rsidR="00F34FD7" w:rsidRPr="00B078C8" w:rsidRDefault="006F1FF3">
      <w:pPr>
        <w:spacing w:line="360" w:lineRule="auto"/>
        <w:ind w:right="49"/>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En atención a la</w:t>
      </w:r>
      <w:r w:rsidRPr="00B078C8">
        <w:rPr>
          <w:rFonts w:ascii="Palatino Linotype" w:eastAsia="Palatino Linotype" w:hAnsi="Palatino Linotype" w:cs="Palatino Linotype"/>
          <w:sz w:val="24"/>
          <w:szCs w:val="24"/>
        </w:rPr>
        <w:t xml:space="preserve">s solicitudes de información, el </w:t>
      </w:r>
      <w:r w:rsidRPr="00B078C8">
        <w:rPr>
          <w:rFonts w:ascii="Palatino Linotype" w:eastAsia="Palatino Linotype" w:hAnsi="Palatino Linotype" w:cs="Palatino Linotype"/>
          <w:b/>
          <w:sz w:val="24"/>
          <w:szCs w:val="24"/>
        </w:rPr>
        <w:t>Sujeto Obligado</w:t>
      </w:r>
      <w:r w:rsidRPr="00B078C8">
        <w:rPr>
          <w:rFonts w:ascii="Palatino Linotype" w:eastAsia="Palatino Linotype" w:hAnsi="Palatino Linotype" w:cs="Palatino Linotype"/>
          <w:sz w:val="24"/>
          <w:szCs w:val="24"/>
        </w:rPr>
        <w:t>, emitió sus respuestas; en las cuales, informó lo siguiente:</w:t>
      </w:r>
    </w:p>
    <w:p w:rsidR="00F34FD7" w:rsidRPr="00B078C8" w:rsidRDefault="006F1FF3">
      <w:pPr>
        <w:spacing w:after="0" w:line="360" w:lineRule="auto"/>
        <w:ind w:right="49"/>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lastRenderedPageBreak/>
        <w:t xml:space="preserve">Los costos totales (IVA incluido) en moneda nacional; los Convenios celebrados, facturas, contratos celebrados; las pólizas de cheques del gasto, </w:t>
      </w:r>
      <w:r w:rsidRPr="00B078C8">
        <w:rPr>
          <w:rFonts w:ascii="Palatino Linotype" w:eastAsia="Palatino Linotype" w:hAnsi="Palatino Linotype" w:cs="Palatino Linotype"/>
          <w:sz w:val="24"/>
          <w:szCs w:val="24"/>
        </w:rPr>
        <w:t>efectuado, pago y/o realizó y el padrón de beneficiarios/</w:t>
      </w:r>
      <w:r w:rsidRPr="00B078C8">
        <w:rPr>
          <w:rFonts w:ascii="Palatino Linotype" w:hAnsi="Palatino Linotype"/>
        </w:rPr>
        <w:t xml:space="preserve"> </w:t>
      </w:r>
      <w:r w:rsidRPr="00B078C8">
        <w:rPr>
          <w:rFonts w:ascii="Palatino Linotype" w:eastAsia="Palatino Linotype" w:hAnsi="Palatino Linotype" w:cs="Palatino Linotype"/>
          <w:sz w:val="24"/>
          <w:szCs w:val="24"/>
        </w:rPr>
        <w:t>así como el total de población de beneficiada/</w:t>
      </w:r>
      <w:r w:rsidRPr="00B078C8">
        <w:rPr>
          <w:rFonts w:ascii="Palatino Linotype" w:hAnsi="Palatino Linotype"/>
        </w:rPr>
        <w:t xml:space="preserve"> </w:t>
      </w:r>
      <w:r w:rsidRPr="00B078C8">
        <w:rPr>
          <w:rFonts w:ascii="Palatino Linotype" w:eastAsia="Palatino Linotype" w:hAnsi="Palatino Linotype" w:cs="Palatino Linotype"/>
          <w:sz w:val="24"/>
          <w:szCs w:val="24"/>
        </w:rPr>
        <w:t>así como el padrón de beneficiarios por colonias y/o delegaciones/</w:t>
      </w:r>
      <w:r w:rsidRPr="00B078C8">
        <w:rPr>
          <w:rFonts w:ascii="Palatino Linotype" w:hAnsi="Palatino Linotype"/>
        </w:rPr>
        <w:t xml:space="preserve"> </w:t>
      </w:r>
      <w:r w:rsidRPr="00B078C8">
        <w:rPr>
          <w:rFonts w:ascii="Palatino Linotype" w:eastAsia="Palatino Linotype" w:hAnsi="Palatino Linotype" w:cs="Palatino Linotype"/>
          <w:sz w:val="24"/>
          <w:szCs w:val="24"/>
        </w:rPr>
        <w:t>además de especificar el tipo de recurso utilizado si fue Federal, Estatal o Municip</w:t>
      </w:r>
      <w:r w:rsidRPr="00B078C8">
        <w:rPr>
          <w:rFonts w:ascii="Palatino Linotype" w:eastAsia="Palatino Linotype" w:hAnsi="Palatino Linotype" w:cs="Palatino Linotype"/>
          <w:sz w:val="24"/>
          <w:szCs w:val="24"/>
        </w:rPr>
        <w:t>al.</w:t>
      </w:r>
    </w:p>
    <w:tbl>
      <w:tblPr>
        <w:tblStyle w:val="a0"/>
        <w:tblW w:w="876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521"/>
        <w:gridCol w:w="5245"/>
      </w:tblGrid>
      <w:tr w:rsidR="00B078C8" w:rsidRPr="00B078C8">
        <w:trPr>
          <w:tblHeader/>
        </w:trPr>
        <w:tc>
          <w:tcPr>
            <w:tcW w:w="3521" w:type="dxa"/>
            <w:shd w:val="clear" w:color="auto" w:fill="D9D9D9"/>
            <w:vAlign w:val="center"/>
          </w:tcPr>
          <w:p w:rsidR="00F34FD7" w:rsidRPr="00B078C8" w:rsidRDefault="006F1FF3">
            <w:pPr>
              <w:ind w:right="49"/>
              <w:jc w:val="center"/>
              <w:rPr>
                <w:rFonts w:ascii="Palatino Linotype" w:eastAsia="Palatino Linotype" w:hAnsi="Palatino Linotype" w:cs="Palatino Linotype"/>
                <w:b/>
                <w:sz w:val="24"/>
                <w:szCs w:val="24"/>
              </w:rPr>
            </w:pPr>
            <w:r w:rsidRPr="00B078C8">
              <w:rPr>
                <w:rFonts w:ascii="Palatino Linotype" w:eastAsia="Palatino Linotype" w:hAnsi="Palatino Linotype" w:cs="Palatino Linotype"/>
                <w:b/>
                <w:sz w:val="24"/>
                <w:szCs w:val="24"/>
              </w:rPr>
              <w:t>Solicitud de Información</w:t>
            </w:r>
          </w:p>
        </w:tc>
        <w:tc>
          <w:tcPr>
            <w:tcW w:w="5245" w:type="dxa"/>
            <w:shd w:val="clear" w:color="auto" w:fill="D9D9D9"/>
            <w:vAlign w:val="center"/>
          </w:tcPr>
          <w:p w:rsidR="00F34FD7" w:rsidRPr="00B078C8" w:rsidRDefault="006F1FF3">
            <w:pPr>
              <w:ind w:right="49"/>
              <w:jc w:val="center"/>
              <w:rPr>
                <w:rFonts w:ascii="Palatino Linotype" w:eastAsia="Palatino Linotype" w:hAnsi="Palatino Linotype" w:cs="Palatino Linotype"/>
                <w:b/>
                <w:sz w:val="24"/>
                <w:szCs w:val="24"/>
              </w:rPr>
            </w:pPr>
            <w:r w:rsidRPr="00B078C8">
              <w:rPr>
                <w:rFonts w:ascii="Palatino Linotype" w:eastAsia="Palatino Linotype" w:hAnsi="Palatino Linotype" w:cs="Palatino Linotype"/>
                <w:b/>
                <w:sz w:val="24"/>
                <w:szCs w:val="24"/>
              </w:rPr>
              <w:t>Respuesta</w:t>
            </w:r>
          </w:p>
        </w:tc>
      </w:tr>
      <w:tr w:rsidR="00B078C8" w:rsidRPr="00B078C8">
        <w:tc>
          <w:tcPr>
            <w:tcW w:w="3521" w:type="dxa"/>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1.1.</w:t>
            </w:r>
            <w:r w:rsidRPr="00B078C8">
              <w:rPr>
                <w:rFonts w:ascii="Palatino Linotype" w:eastAsia="Palatino Linotype" w:hAnsi="Palatino Linotype" w:cs="Palatino Linotype"/>
                <w:sz w:val="18"/>
                <w:szCs w:val="18"/>
              </w:rPr>
              <w:tab/>
            </w:r>
            <w:r w:rsidRPr="00B078C8">
              <w:rPr>
                <w:rFonts w:ascii="Palatino Linotype" w:eastAsia="Palatino Linotype" w:hAnsi="Palatino Linotype" w:cs="Palatino Linotype"/>
                <w:sz w:val="18"/>
                <w:szCs w:val="18"/>
              </w:rPr>
              <w:t>Por la compra de Nuevos Uniformes y equipos de seguridad de la Dirección de Servicios Públicos. Para todo el personal operativo de la Dirección de Servicios Públicos y sus áreas de Residuos Sólidos, Parques y Jardines, Control Vehicular, Panteones, Alumbra</w:t>
            </w:r>
            <w:r w:rsidRPr="00B078C8">
              <w:rPr>
                <w:rFonts w:ascii="Palatino Linotype" w:eastAsia="Palatino Linotype" w:hAnsi="Palatino Linotype" w:cs="Palatino Linotype"/>
                <w:sz w:val="18"/>
                <w:szCs w:val="18"/>
              </w:rPr>
              <w:t xml:space="preserve">do Público y la Unidad de Control y Bienestar Animal. </w:t>
            </w:r>
          </w:p>
        </w:tc>
        <w:tc>
          <w:tcPr>
            <w:tcW w:w="5245" w:type="dxa"/>
            <w:vMerge w:val="restart"/>
            <w:shd w:val="clear" w:color="auto" w:fill="auto"/>
            <w:vAlign w:val="center"/>
          </w:tcPr>
          <w:p w:rsidR="00F34FD7" w:rsidRPr="00B078C8" w:rsidRDefault="006F1FF3">
            <w:pPr>
              <w:ind w:right="49"/>
              <w:jc w:val="both"/>
              <w:rPr>
                <w:rFonts w:ascii="Palatino Linotype" w:eastAsia="Palatino Linotype" w:hAnsi="Palatino Linotype" w:cs="Palatino Linotype"/>
                <w:sz w:val="19"/>
                <w:szCs w:val="19"/>
              </w:rPr>
            </w:pPr>
            <w:r w:rsidRPr="00B078C8">
              <w:rPr>
                <w:rFonts w:ascii="Palatino Linotype" w:eastAsia="Palatino Linotype" w:hAnsi="Palatino Linotype" w:cs="Palatino Linotype"/>
                <w:sz w:val="19"/>
                <w:szCs w:val="19"/>
              </w:rPr>
              <w:t xml:space="preserve">Mediante el oficio número </w:t>
            </w:r>
            <w:r w:rsidRPr="00B078C8">
              <w:rPr>
                <w:rFonts w:ascii="Palatino Linotype" w:eastAsia="Palatino Linotype" w:hAnsi="Palatino Linotype" w:cs="Palatino Linotype"/>
                <w:b/>
                <w:sz w:val="19"/>
                <w:szCs w:val="19"/>
              </w:rPr>
              <w:t>IXTA/SUBADMON/00863/2023</w:t>
            </w:r>
            <w:r w:rsidRPr="00B078C8">
              <w:rPr>
                <w:rFonts w:ascii="Palatino Linotype" w:eastAsia="Palatino Linotype" w:hAnsi="Palatino Linotype" w:cs="Palatino Linotype"/>
                <w:sz w:val="19"/>
                <w:szCs w:val="19"/>
              </w:rPr>
              <w:t xml:space="preserve">, firmado por el Subdirector de Administración, informó que, están imposibilitados para otorgar dicha información, toda vez que se cuenta con un aviso </w:t>
            </w:r>
            <w:r w:rsidRPr="00B078C8">
              <w:rPr>
                <w:rFonts w:ascii="Palatino Linotype" w:eastAsia="Palatino Linotype" w:hAnsi="Palatino Linotype" w:cs="Palatino Linotype"/>
                <w:sz w:val="19"/>
                <w:szCs w:val="19"/>
              </w:rPr>
              <w:t>de privacidad que resguarda la información y fue firmado por la empresa, en caso de hacerlo, se estaría incurriendo en los artículos de la Ley de Protección de Datos Personales.</w:t>
            </w:r>
          </w:p>
          <w:p w:rsidR="00F34FD7" w:rsidRPr="00B078C8" w:rsidRDefault="00F34FD7">
            <w:pPr>
              <w:ind w:right="49"/>
              <w:jc w:val="both"/>
              <w:rPr>
                <w:rFonts w:ascii="Palatino Linotype" w:eastAsia="Palatino Linotype" w:hAnsi="Palatino Linotype" w:cs="Palatino Linotype"/>
                <w:sz w:val="19"/>
                <w:szCs w:val="19"/>
              </w:rPr>
            </w:pPr>
          </w:p>
          <w:p w:rsidR="00F34FD7" w:rsidRPr="00B078C8" w:rsidRDefault="006F1FF3">
            <w:pPr>
              <w:ind w:right="49"/>
              <w:jc w:val="both"/>
              <w:rPr>
                <w:rFonts w:ascii="Palatino Linotype" w:eastAsia="Palatino Linotype" w:hAnsi="Palatino Linotype" w:cs="Palatino Linotype"/>
                <w:sz w:val="19"/>
                <w:szCs w:val="19"/>
              </w:rPr>
            </w:pPr>
            <w:r w:rsidRPr="00B078C8">
              <w:rPr>
                <w:rFonts w:ascii="Palatino Linotype" w:eastAsia="Palatino Linotype" w:hAnsi="Palatino Linotype" w:cs="Palatino Linotype"/>
                <w:sz w:val="19"/>
                <w:szCs w:val="19"/>
              </w:rPr>
              <w:t xml:space="preserve">Adicionalmente, mediante el oficio número </w:t>
            </w:r>
            <w:r w:rsidRPr="00B078C8">
              <w:rPr>
                <w:rFonts w:ascii="Palatino Linotype" w:eastAsia="Palatino Linotype" w:hAnsi="Palatino Linotype" w:cs="Palatino Linotype"/>
                <w:b/>
                <w:sz w:val="19"/>
                <w:szCs w:val="19"/>
              </w:rPr>
              <w:t>IXTA/DE/1523/2023</w:t>
            </w:r>
            <w:r w:rsidRPr="00B078C8">
              <w:rPr>
                <w:rFonts w:ascii="Palatino Linotype" w:eastAsia="Palatino Linotype" w:hAnsi="Palatino Linotype" w:cs="Palatino Linotype"/>
                <w:sz w:val="19"/>
                <w:szCs w:val="19"/>
              </w:rPr>
              <w:t xml:space="preserve">, suscrito por la </w:t>
            </w:r>
            <w:r w:rsidRPr="00B078C8">
              <w:rPr>
                <w:rFonts w:ascii="Palatino Linotype" w:eastAsia="Palatino Linotype" w:hAnsi="Palatino Linotype" w:cs="Palatino Linotype"/>
                <w:sz w:val="19"/>
                <w:szCs w:val="19"/>
              </w:rPr>
              <w:t>Directora de Ecología, comunicó que no cuenta con el padrón de beneficiarios, debido a que dicha información son referentes a programas sociales y los uniformes y equipos de seguridad no pertenecen a un programa social. Sin embargo, remitió las listas deta</w:t>
            </w:r>
            <w:r w:rsidRPr="00B078C8">
              <w:rPr>
                <w:rFonts w:ascii="Palatino Linotype" w:eastAsia="Palatino Linotype" w:hAnsi="Palatino Linotype" w:cs="Palatino Linotype"/>
                <w:sz w:val="19"/>
                <w:szCs w:val="19"/>
              </w:rPr>
              <w:t xml:space="preserve">lladas de todos los servidores públicos adscritos a la Unidad de Control y Bienestar Animal que recibieron uniformes durante el año 2023. </w:t>
            </w:r>
          </w:p>
          <w:p w:rsidR="00F34FD7" w:rsidRPr="00B078C8" w:rsidRDefault="00F34FD7">
            <w:pPr>
              <w:ind w:right="49"/>
              <w:jc w:val="both"/>
              <w:rPr>
                <w:rFonts w:ascii="Palatino Linotype" w:eastAsia="Palatino Linotype" w:hAnsi="Palatino Linotype" w:cs="Palatino Linotype"/>
                <w:sz w:val="19"/>
                <w:szCs w:val="19"/>
              </w:rPr>
            </w:pPr>
          </w:p>
          <w:p w:rsidR="00F34FD7" w:rsidRPr="00B078C8" w:rsidRDefault="006F1FF3">
            <w:pPr>
              <w:ind w:right="49"/>
              <w:jc w:val="both"/>
              <w:rPr>
                <w:rFonts w:ascii="Palatino Linotype" w:eastAsia="Palatino Linotype" w:hAnsi="Palatino Linotype" w:cs="Palatino Linotype"/>
                <w:sz w:val="19"/>
                <w:szCs w:val="19"/>
              </w:rPr>
            </w:pPr>
            <w:r w:rsidRPr="00B078C8">
              <w:rPr>
                <w:rFonts w:ascii="Palatino Linotype" w:eastAsia="Palatino Linotype" w:hAnsi="Palatino Linotype" w:cs="Palatino Linotype"/>
                <w:sz w:val="19"/>
                <w:szCs w:val="19"/>
              </w:rPr>
              <w:t xml:space="preserve">Asimismo, con oficio número </w:t>
            </w:r>
            <w:r w:rsidRPr="00B078C8">
              <w:rPr>
                <w:rFonts w:ascii="Palatino Linotype" w:eastAsia="Palatino Linotype" w:hAnsi="Palatino Linotype" w:cs="Palatino Linotype"/>
                <w:b/>
                <w:sz w:val="19"/>
                <w:szCs w:val="19"/>
              </w:rPr>
              <w:t>IXT/DSP/0720/2023</w:t>
            </w:r>
            <w:r w:rsidRPr="00B078C8">
              <w:rPr>
                <w:rFonts w:ascii="Palatino Linotype" w:eastAsia="Palatino Linotype" w:hAnsi="Palatino Linotype" w:cs="Palatino Linotype"/>
                <w:sz w:val="19"/>
                <w:szCs w:val="19"/>
              </w:rPr>
              <w:t>, signado por el Director de Servicios Públicos, remitió la estadística</w:t>
            </w:r>
            <w:r w:rsidRPr="00B078C8">
              <w:rPr>
                <w:rFonts w:ascii="Palatino Linotype" w:eastAsia="Palatino Linotype" w:hAnsi="Palatino Linotype" w:cs="Palatino Linotype"/>
                <w:sz w:val="19"/>
                <w:szCs w:val="19"/>
              </w:rPr>
              <w:t xml:space="preserve"> del total del personal que recibió uniformes, de dicha Dirección, así como, de Control Vehicular, Residuos Sólidos, Parques y Jardines, Panteones y Alumbrado Público. </w:t>
            </w:r>
          </w:p>
          <w:p w:rsidR="00F34FD7" w:rsidRPr="00B078C8" w:rsidRDefault="006F1FF3">
            <w:pPr>
              <w:ind w:right="49"/>
              <w:jc w:val="both"/>
              <w:rPr>
                <w:rFonts w:ascii="Palatino Linotype" w:eastAsia="Palatino Linotype" w:hAnsi="Palatino Linotype" w:cs="Palatino Linotype"/>
                <w:sz w:val="19"/>
                <w:szCs w:val="19"/>
              </w:rPr>
            </w:pPr>
            <w:r w:rsidRPr="00B078C8">
              <w:rPr>
                <w:rFonts w:ascii="Palatino Linotype" w:eastAsia="Palatino Linotype" w:hAnsi="Palatino Linotype" w:cs="Palatino Linotype"/>
                <w:sz w:val="19"/>
                <w:szCs w:val="19"/>
              </w:rPr>
              <w:t>Finalmente, tocante al punto relativo del instalación de 300 metros lineales de cable d</w:t>
            </w:r>
            <w:r w:rsidRPr="00B078C8">
              <w:rPr>
                <w:rFonts w:ascii="Palatino Linotype" w:eastAsia="Palatino Linotype" w:hAnsi="Palatino Linotype" w:cs="Palatino Linotype"/>
                <w:sz w:val="19"/>
                <w:szCs w:val="19"/>
              </w:rPr>
              <w:t xml:space="preserve">el montaje eléctrico de la primaria Andrés Quintana Roo, en la Col. Alfredo del Mazo, el Director de infraestructura y Obras Públicas, con oficio número IXTA-DIYOP-2166-2023, comunicó que, dicha área no llevó a cabo el procedimiento de adquisición, por lo </w:t>
            </w:r>
            <w:r w:rsidRPr="00B078C8">
              <w:rPr>
                <w:rFonts w:ascii="Palatino Linotype" w:eastAsia="Palatino Linotype" w:hAnsi="Palatino Linotype" w:cs="Palatino Linotype"/>
                <w:sz w:val="19"/>
                <w:szCs w:val="19"/>
              </w:rPr>
              <w:t xml:space="preserve">que sugirió consultar a la Dirección de Administración y </w:t>
            </w:r>
            <w:r w:rsidRPr="00B078C8">
              <w:rPr>
                <w:rFonts w:ascii="Palatino Linotype" w:eastAsia="Palatino Linotype" w:hAnsi="Palatino Linotype" w:cs="Palatino Linotype"/>
                <w:sz w:val="19"/>
                <w:szCs w:val="19"/>
              </w:rPr>
              <w:lastRenderedPageBreak/>
              <w:t>Finanzas o a la Oficina de Presidencia, en dado caso si se tratará de algún apoyo.</w:t>
            </w:r>
          </w:p>
        </w:tc>
      </w:tr>
      <w:tr w:rsidR="00B078C8" w:rsidRPr="00B078C8">
        <w:tc>
          <w:tcPr>
            <w:tcW w:w="3521" w:type="dxa"/>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1.2.</w:t>
            </w:r>
            <w:r w:rsidRPr="00B078C8">
              <w:rPr>
                <w:rFonts w:ascii="Palatino Linotype" w:eastAsia="Palatino Linotype" w:hAnsi="Palatino Linotype" w:cs="Palatino Linotype"/>
                <w:sz w:val="18"/>
                <w:szCs w:val="18"/>
              </w:rPr>
              <w:tab/>
              <w:t xml:space="preserve">Por la compra de los CHALECOS que se entregaron a la Organización de Bici taxis de San Jacinto. </w:t>
            </w:r>
          </w:p>
        </w:tc>
        <w:tc>
          <w:tcPr>
            <w:tcW w:w="5245" w:type="dxa"/>
            <w:vMerge/>
            <w:shd w:val="clear" w:color="auto" w:fill="auto"/>
            <w:vAlign w:val="center"/>
          </w:tcPr>
          <w:p w:rsidR="00F34FD7" w:rsidRPr="00B078C8" w:rsidRDefault="00F34FD7">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B078C8" w:rsidRPr="00B078C8">
        <w:tc>
          <w:tcPr>
            <w:tcW w:w="3521" w:type="dxa"/>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1.3.</w:t>
            </w:r>
            <w:r w:rsidRPr="00B078C8">
              <w:rPr>
                <w:rFonts w:ascii="Palatino Linotype" w:eastAsia="Palatino Linotype" w:hAnsi="Palatino Linotype" w:cs="Palatino Linotype"/>
                <w:sz w:val="18"/>
                <w:szCs w:val="18"/>
              </w:rPr>
              <w:tab/>
            </w:r>
            <w:r w:rsidRPr="00B078C8">
              <w:rPr>
                <w:rFonts w:ascii="Palatino Linotype" w:eastAsia="Palatino Linotype" w:hAnsi="Palatino Linotype" w:cs="Palatino Linotype"/>
                <w:sz w:val="18"/>
                <w:szCs w:val="18"/>
              </w:rPr>
              <w:t xml:space="preserve">Por la compra de los CHALECOS que se entregaron a la organización de moto taxis de Hornos de Santa Bárbara. </w:t>
            </w:r>
          </w:p>
        </w:tc>
        <w:tc>
          <w:tcPr>
            <w:tcW w:w="5245" w:type="dxa"/>
            <w:vMerge/>
            <w:shd w:val="clear" w:color="auto" w:fill="auto"/>
            <w:vAlign w:val="center"/>
          </w:tcPr>
          <w:p w:rsidR="00F34FD7" w:rsidRPr="00B078C8" w:rsidRDefault="00F34FD7">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B078C8" w:rsidRPr="00B078C8">
        <w:tc>
          <w:tcPr>
            <w:tcW w:w="3521" w:type="dxa"/>
            <w:tcBorders>
              <w:bottom w:val="single" w:sz="6" w:space="0" w:color="000000"/>
            </w:tcBorders>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1.4.</w:t>
            </w:r>
            <w:r w:rsidRPr="00B078C8">
              <w:rPr>
                <w:rFonts w:ascii="Palatino Linotype" w:eastAsia="Palatino Linotype" w:hAnsi="Palatino Linotype" w:cs="Palatino Linotype"/>
                <w:sz w:val="18"/>
                <w:szCs w:val="18"/>
              </w:rPr>
              <w:tab/>
              <w:t xml:space="preserve">Por la compra y la instalación de 300 metros lineales de cable del montaje eléctrico de la primaria Andrés Quintana Roo, en </w:t>
            </w:r>
            <w:proofErr w:type="gramStart"/>
            <w:r w:rsidRPr="00B078C8">
              <w:rPr>
                <w:rFonts w:ascii="Palatino Linotype" w:eastAsia="Palatino Linotype" w:hAnsi="Palatino Linotype" w:cs="Palatino Linotype"/>
                <w:sz w:val="18"/>
                <w:szCs w:val="18"/>
              </w:rPr>
              <w:t>la</w:t>
            </w:r>
            <w:proofErr w:type="gramEnd"/>
            <w:r w:rsidRPr="00B078C8">
              <w:rPr>
                <w:rFonts w:ascii="Palatino Linotype" w:eastAsia="Palatino Linotype" w:hAnsi="Palatino Linotype" w:cs="Palatino Linotype"/>
                <w:sz w:val="18"/>
                <w:szCs w:val="18"/>
              </w:rPr>
              <w:t xml:space="preserve"> Col. Alfredo </w:t>
            </w:r>
            <w:r w:rsidRPr="00B078C8">
              <w:rPr>
                <w:rFonts w:ascii="Palatino Linotype" w:eastAsia="Palatino Linotype" w:hAnsi="Palatino Linotype" w:cs="Palatino Linotype"/>
                <w:sz w:val="18"/>
                <w:szCs w:val="18"/>
              </w:rPr>
              <w:t>del Mazo.</w:t>
            </w:r>
          </w:p>
        </w:tc>
        <w:tc>
          <w:tcPr>
            <w:tcW w:w="5245" w:type="dxa"/>
            <w:vMerge/>
            <w:shd w:val="clear" w:color="auto" w:fill="auto"/>
            <w:vAlign w:val="center"/>
          </w:tcPr>
          <w:p w:rsidR="00F34FD7" w:rsidRPr="00B078C8" w:rsidRDefault="00F34FD7">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B078C8" w:rsidRPr="00B078C8">
        <w:tc>
          <w:tcPr>
            <w:tcW w:w="3521" w:type="dxa"/>
            <w:tcBorders>
              <w:bottom w:val="single" w:sz="6" w:space="0" w:color="000000"/>
            </w:tcBorders>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2.1.</w:t>
            </w:r>
            <w:r w:rsidRPr="00B078C8">
              <w:rPr>
                <w:rFonts w:ascii="Palatino Linotype" w:eastAsia="Palatino Linotype" w:hAnsi="Palatino Linotype" w:cs="Palatino Linotype"/>
                <w:sz w:val="18"/>
                <w:szCs w:val="18"/>
              </w:rPr>
              <w:tab/>
              <w:t xml:space="preserve">Por la Instalación de alumbrado público eléctrico llevado a cabo en todo el Municipio en forma detallada y separada de los ejercicios fiscales 2022 y 2023, por colonias y/o delegaciones, unidades habitacionales. </w:t>
            </w:r>
          </w:p>
        </w:tc>
        <w:tc>
          <w:tcPr>
            <w:tcW w:w="5245" w:type="dxa"/>
            <w:tcBorders>
              <w:bottom w:val="single" w:sz="6" w:space="0" w:color="000000"/>
            </w:tcBorders>
            <w:shd w:val="clear" w:color="auto" w:fill="auto"/>
            <w:vAlign w:val="center"/>
          </w:tcPr>
          <w:p w:rsidR="00F34FD7" w:rsidRPr="00B078C8" w:rsidRDefault="006F1FF3">
            <w:pPr>
              <w:ind w:right="49"/>
              <w:jc w:val="both"/>
              <w:rPr>
                <w:rFonts w:ascii="Palatino Linotype" w:eastAsia="Palatino Linotype" w:hAnsi="Palatino Linotype" w:cs="Palatino Linotype"/>
                <w:b/>
                <w:sz w:val="24"/>
                <w:szCs w:val="24"/>
              </w:rPr>
            </w:pPr>
            <w:r w:rsidRPr="00B078C8">
              <w:rPr>
                <w:rFonts w:ascii="Palatino Linotype" w:eastAsia="Palatino Linotype" w:hAnsi="Palatino Linotype" w:cs="Palatino Linotype"/>
                <w:sz w:val="19"/>
                <w:szCs w:val="19"/>
              </w:rPr>
              <w:t xml:space="preserve">Mediante el oficio número </w:t>
            </w:r>
            <w:r w:rsidRPr="00B078C8">
              <w:rPr>
                <w:rFonts w:ascii="Palatino Linotype" w:eastAsia="Palatino Linotype" w:hAnsi="Palatino Linotype" w:cs="Palatino Linotype"/>
                <w:b/>
                <w:sz w:val="19"/>
                <w:szCs w:val="19"/>
              </w:rPr>
              <w:t>IXT/DSP/0721/2023</w:t>
            </w:r>
            <w:r w:rsidRPr="00B078C8">
              <w:rPr>
                <w:rFonts w:ascii="Palatino Linotype" w:eastAsia="Palatino Linotype" w:hAnsi="Palatino Linotype" w:cs="Palatino Linotype"/>
                <w:sz w:val="19"/>
                <w:szCs w:val="19"/>
              </w:rPr>
              <w:t xml:space="preserve">, firmado por el Director de Servicios Públicos, informó que no se cuenta con la información total de habitantes por colonias y/o delegaciones, unidades habitacionales, </w:t>
            </w:r>
            <w:r w:rsidRPr="00B078C8">
              <w:rPr>
                <w:rFonts w:ascii="Palatino Linotype" w:eastAsia="Palatino Linotype" w:hAnsi="Palatino Linotype" w:cs="Palatino Linotype"/>
                <w:b/>
                <w:sz w:val="19"/>
                <w:szCs w:val="19"/>
                <w:u w:val="single"/>
              </w:rPr>
              <w:t>únicamente se tiene el conocimiento del total de población en Ixtapalu</w:t>
            </w:r>
            <w:r w:rsidRPr="00B078C8">
              <w:rPr>
                <w:rFonts w:ascii="Palatino Linotype" w:eastAsia="Palatino Linotype" w:hAnsi="Palatino Linotype" w:cs="Palatino Linotype"/>
                <w:b/>
                <w:sz w:val="19"/>
                <w:szCs w:val="19"/>
                <w:u w:val="single"/>
              </w:rPr>
              <w:t>ca, que de acuerdo con el Censo de Población y Vivienda 2020 del INEGI, Ixtapaluca cuenta con 542 mil 211 habitantes, mismo que la Jefatura de alumbrado Público ha realizado trabajos de instalación de luminarias en la totalidad de las comunidades de Ixtapa</w:t>
            </w:r>
            <w:r w:rsidRPr="00B078C8">
              <w:rPr>
                <w:rFonts w:ascii="Palatino Linotype" w:eastAsia="Palatino Linotype" w:hAnsi="Palatino Linotype" w:cs="Palatino Linotype"/>
                <w:b/>
                <w:sz w:val="19"/>
                <w:szCs w:val="19"/>
                <w:u w:val="single"/>
              </w:rPr>
              <w:t>luca</w:t>
            </w:r>
            <w:r w:rsidRPr="00B078C8">
              <w:rPr>
                <w:rFonts w:ascii="Palatino Linotype" w:eastAsia="Palatino Linotype" w:hAnsi="Palatino Linotype" w:cs="Palatino Linotype"/>
                <w:sz w:val="19"/>
                <w:szCs w:val="19"/>
              </w:rPr>
              <w:t>.</w:t>
            </w:r>
          </w:p>
        </w:tc>
      </w:tr>
      <w:tr w:rsidR="00B078C8" w:rsidRPr="00B078C8">
        <w:tc>
          <w:tcPr>
            <w:tcW w:w="3521" w:type="dxa"/>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2.2.</w:t>
            </w:r>
            <w:r w:rsidRPr="00B078C8">
              <w:rPr>
                <w:rFonts w:ascii="Palatino Linotype" w:eastAsia="Palatino Linotype" w:hAnsi="Palatino Linotype" w:cs="Palatino Linotype"/>
                <w:sz w:val="18"/>
                <w:szCs w:val="18"/>
              </w:rPr>
              <w:tab/>
              <w:t xml:space="preserve">Por la Instalación de </w:t>
            </w:r>
            <w:r w:rsidRPr="00B078C8">
              <w:rPr>
                <w:rFonts w:ascii="Palatino Linotype" w:eastAsia="Palatino Linotype" w:hAnsi="Palatino Linotype" w:cs="Palatino Linotype"/>
                <w:b/>
                <w:sz w:val="18"/>
                <w:szCs w:val="18"/>
                <w:u w:val="single"/>
              </w:rPr>
              <w:t>cámaras de vigilancia</w:t>
            </w:r>
            <w:r w:rsidRPr="00B078C8">
              <w:rPr>
                <w:rFonts w:ascii="Palatino Linotype" w:eastAsia="Palatino Linotype" w:hAnsi="Palatino Linotype" w:cs="Palatino Linotype"/>
                <w:sz w:val="18"/>
                <w:szCs w:val="18"/>
              </w:rPr>
              <w:t xml:space="preserve"> llevada a cabo en todo el Municipio en forma detallada y separada de los ejercicios fiscales 2022 y 2023, por colonias y/o delegaciones, unidades habitacionales. </w:t>
            </w:r>
          </w:p>
        </w:tc>
        <w:tc>
          <w:tcPr>
            <w:tcW w:w="5245" w:type="dxa"/>
            <w:vMerge w:val="restart"/>
            <w:tcBorders>
              <w:top w:val="single" w:sz="6" w:space="0" w:color="000000"/>
            </w:tcBorders>
            <w:shd w:val="clear" w:color="auto" w:fill="auto"/>
            <w:vAlign w:val="center"/>
          </w:tcPr>
          <w:p w:rsidR="00F34FD7" w:rsidRPr="00B078C8" w:rsidRDefault="006F1FF3">
            <w:pPr>
              <w:ind w:right="49"/>
              <w:jc w:val="both"/>
              <w:rPr>
                <w:rFonts w:ascii="Palatino Linotype" w:eastAsia="Palatino Linotype" w:hAnsi="Palatino Linotype" w:cs="Palatino Linotype"/>
                <w:sz w:val="19"/>
                <w:szCs w:val="19"/>
              </w:rPr>
            </w:pPr>
            <w:r w:rsidRPr="00B078C8">
              <w:rPr>
                <w:rFonts w:ascii="Palatino Linotype" w:eastAsia="Palatino Linotype" w:hAnsi="Palatino Linotype" w:cs="Palatino Linotype"/>
                <w:sz w:val="19"/>
                <w:szCs w:val="19"/>
              </w:rPr>
              <w:t xml:space="preserve">Mediante el oficio número </w:t>
            </w:r>
            <w:proofErr w:type="spellStart"/>
            <w:r w:rsidRPr="00B078C8">
              <w:rPr>
                <w:rFonts w:ascii="Palatino Linotype" w:eastAsia="Palatino Linotype" w:hAnsi="Palatino Linotype" w:cs="Palatino Linotype"/>
                <w:b/>
                <w:sz w:val="19"/>
                <w:szCs w:val="19"/>
              </w:rPr>
              <w:t>DGSyPCI</w:t>
            </w:r>
            <w:proofErr w:type="spellEnd"/>
            <w:r w:rsidRPr="00B078C8">
              <w:rPr>
                <w:rFonts w:ascii="Palatino Linotype" w:eastAsia="Palatino Linotype" w:hAnsi="Palatino Linotype" w:cs="Palatino Linotype"/>
                <w:b/>
                <w:sz w:val="19"/>
                <w:szCs w:val="19"/>
              </w:rPr>
              <w:t>/JUR/1767/2023</w:t>
            </w:r>
            <w:r w:rsidRPr="00B078C8">
              <w:rPr>
                <w:rFonts w:ascii="Palatino Linotype" w:eastAsia="Palatino Linotype" w:hAnsi="Palatino Linotype" w:cs="Palatino Linotype"/>
                <w:sz w:val="19"/>
                <w:szCs w:val="19"/>
              </w:rPr>
              <w:t xml:space="preserve">, firmado por el Director General de Seguridad y Prevención Ciudadana de Ixtapaluca, informó que, por parte de dicha Dirección, no se han realizado ninguna instalación de cámaras de vigilancia ni alarmas vecinales en los años fiscales </w:t>
            </w:r>
            <w:r w:rsidRPr="00B078C8">
              <w:rPr>
                <w:rFonts w:ascii="Palatino Linotype" w:eastAsia="Palatino Linotype" w:hAnsi="Palatino Linotype" w:cs="Palatino Linotype"/>
                <w:sz w:val="19"/>
                <w:szCs w:val="19"/>
              </w:rPr>
              <w:t>solicitados.</w:t>
            </w:r>
          </w:p>
          <w:p w:rsidR="00F34FD7" w:rsidRPr="00B078C8" w:rsidRDefault="00F34FD7">
            <w:pPr>
              <w:ind w:right="49"/>
              <w:jc w:val="both"/>
              <w:rPr>
                <w:rFonts w:ascii="Palatino Linotype" w:eastAsia="Palatino Linotype" w:hAnsi="Palatino Linotype" w:cs="Palatino Linotype"/>
                <w:sz w:val="19"/>
                <w:szCs w:val="19"/>
              </w:rPr>
            </w:pPr>
          </w:p>
          <w:p w:rsidR="00F34FD7" w:rsidRPr="00B078C8" w:rsidRDefault="006F1FF3">
            <w:pPr>
              <w:ind w:right="49"/>
              <w:jc w:val="both"/>
              <w:rPr>
                <w:rFonts w:ascii="Palatino Linotype" w:eastAsia="Palatino Linotype" w:hAnsi="Palatino Linotype" w:cs="Palatino Linotype"/>
                <w:b/>
                <w:sz w:val="24"/>
                <w:szCs w:val="24"/>
              </w:rPr>
            </w:pPr>
            <w:bookmarkStart w:id="1" w:name="_heading=h.3znysh7" w:colFirst="0" w:colLast="0"/>
            <w:bookmarkEnd w:id="1"/>
            <w:r w:rsidRPr="00B078C8">
              <w:rPr>
                <w:rFonts w:ascii="Palatino Linotype" w:eastAsia="Palatino Linotype" w:hAnsi="Palatino Linotype" w:cs="Palatino Linotype"/>
                <w:sz w:val="19"/>
                <w:szCs w:val="19"/>
              </w:rPr>
              <w:t xml:space="preserve">Adicionalmente, con oficio número </w:t>
            </w:r>
            <w:r w:rsidRPr="00B078C8">
              <w:rPr>
                <w:rFonts w:ascii="Palatino Linotype" w:eastAsia="Palatino Linotype" w:hAnsi="Palatino Linotype" w:cs="Palatino Linotype"/>
                <w:b/>
                <w:sz w:val="19"/>
                <w:szCs w:val="19"/>
              </w:rPr>
              <w:t>IXTA/SUBADMON/00866/2023</w:t>
            </w:r>
            <w:r w:rsidRPr="00B078C8">
              <w:rPr>
                <w:rFonts w:ascii="Palatino Linotype" w:eastAsia="Palatino Linotype" w:hAnsi="Palatino Linotype" w:cs="Palatino Linotype"/>
                <w:sz w:val="19"/>
                <w:szCs w:val="19"/>
              </w:rPr>
              <w:t>, firmado por el Subdirector de Administración, informó que, están imposibilitados para otorgar dicha información, toda vez que se cuenta con un aviso de privacidad que resguarda la in</w:t>
            </w:r>
            <w:r w:rsidRPr="00B078C8">
              <w:rPr>
                <w:rFonts w:ascii="Palatino Linotype" w:eastAsia="Palatino Linotype" w:hAnsi="Palatino Linotype" w:cs="Palatino Linotype"/>
                <w:sz w:val="19"/>
                <w:szCs w:val="19"/>
              </w:rPr>
              <w:t>formación y fue firmado por la empresa, en caso de hacerlo, se estaría incurriendo en los artículos de la Ley de Protección de Datos Personales.</w:t>
            </w:r>
          </w:p>
        </w:tc>
      </w:tr>
      <w:tr w:rsidR="00B078C8" w:rsidRPr="00B078C8">
        <w:tc>
          <w:tcPr>
            <w:tcW w:w="3521" w:type="dxa"/>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2.3.</w:t>
            </w:r>
            <w:r w:rsidRPr="00B078C8">
              <w:rPr>
                <w:rFonts w:ascii="Palatino Linotype" w:eastAsia="Palatino Linotype" w:hAnsi="Palatino Linotype" w:cs="Palatino Linotype"/>
                <w:sz w:val="18"/>
                <w:szCs w:val="18"/>
              </w:rPr>
              <w:tab/>
              <w:t xml:space="preserve">Por la Instalación de </w:t>
            </w:r>
            <w:r w:rsidRPr="00B078C8">
              <w:rPr>
                <w:rFonts w:ascii="Palatino Linotype" w:eastAsia="Palatino Linotype" w:hAnsi="Palatino Linotype" w:cs="Palatino Linotype"/>
                <w:b/>
                <w:sz w:val="18"/>
                <w:szCs w:val="18"/>
                <w:u w:val="single"/>
              </w:rPr>
              <w:t>alarmas vecinales</w:t>
            </w:r>
            <w:r w:rsidRPr="00B078C8">
              <w:rPr>
                <w:rFonts w:ascii="Palatino Linotype" w:eastAsia="Palatino Linotype" w:hAnsi="Palatino Linotype" w:cs="Palatino Linotype"/>
                <w:sz w:val="18"/>
                <w:szCs w:val="18"/>
              </w:rPr>
              <w:t xml:space="preserve"> llevado a cabo en todo el Municipio en forma detallada y separada de los ejercicios fiscales 2022 y 2023, por colonias y/o delegaciones, unidades habitacionales.</w:t>
            </w:r>
          </w:p>
        </w:tc>
        <w:tc>
          <w:tcPr>
            <w:tcW w:w="5245" w:type="dxa"/>
            <w:vMerge/>
            <w:tcBorders>
              <w:top w:val="single" w:sz="6" w:space="0" w:color="000000"/>
            </w:tcBorders>
            <w:shd w:val="clear" w:color="auto" w:fill="auto"/>
            <w:vAlign w:val="center"/>
          </w:tcPr>
          <w:p w:rsidR="00F34FD7" w:rsidRPr="00B078C8" w:rsidRDefault="00F34FD7">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B078C8" w:rsidRPr="00B078C8">
        <w:tc>
          <w:tcPr>
            <w:tcW w:w="3521" w:type="dxa"/>
            <w:tcBorders>
              <w:top w:val="nil"/>
            </w:tcBorders>
            <w:shd w:val="clear" w:color="auto" w:fill="auto"/>
            <w:vAlign w:val="center"/>
          </w:tcPr>
          <w:p w:rsidR="00F34FD7" w:rsidRPr="00B078C8" w:rsidRDefault="006F1FF3">
            <w:pPr>
              <w:ind w:right="49"/>
              <w:jc w:val="both"/>
              <w:rPr>
                <w:rFonts w:ascii="Palatino Linotype" w:eastAsia="Palatino Linotype" w:hAnsi="Palatino Linotype" w:cs="Palatino Linotype"/>
                <w:sz w:val="18"/>
                <w:szCs w:val="18"/>
              </w:rPr>
            </w:pPr>
            <w:r w:rsidRPr="00B078C8">
              <w:rPr>
                <w:rFonts w:ascii="Palatino Linotype" w:eastAsia="Palatino Linotype" w:hAnsi="Palatino Linotype" w:cs="Palatino Linotype"/>
                <w:sz w:val="18"/>
                <w:szCs w:val="18"/>
              </w:rPr>
              <w:t>3.1.</w:t>
            </w:r>
            <w:r w:rsidRPr="00B078C8">
              <w:rPr>
                <w:rFonts w:ascii="Palatino Linotype" w:eastAsia="Palatino Linotype" w:hAnsi="Palatino Linotype" w:cs="Palatino Linotype"/>
                <w:sz w:val="18"/>
                <w:szCs w:val="18"/>
              </w:rPr>
              <w:tab/>
            </w:r>
            <w:r w:rsidRPr="00B078C8">
              <w:rPr>
                <w:rFonts w:ascii="Palatino Linotype" w:eastAsia="Palatino Linotype" w:hAnsi="Palatino Linotype" w:cs="Palatino Linotype"/>
                <w:sz w:val="18"/>
                <w:szCs w:val="18"/>
              </w:rPr>
              <w:t xml:space="preserve">Por la compra de avena y fertilizantes entregada a los 796 productores del campo </w:t>
            </w:r>
            <w:proofErr w:type="spellStart"/>
            <w:r w:rsidRPr="00B078C8">
              <w:rPr>
                <w:rFonts w:ascii="Palatino Linotype" w:eastAsia="Palatino Linotype" w:hAnsi="Palatino Linotype" w:cs="Palatino Linotype"/>
                <w:sz w:val="18"/>
                <w:szCs w:val="18"/>
              </w:rPr>
              <w:t>Ixtapaluquenses</w:t>
            </w:r>
            <w:proofErr w:type="spellEnd"/>
            <w:r w:rsidRPr="00B078C8">
              <w:rPr>
                <w:rFonts w:ascii="Palatino Linotype" w:eastAsia="Palatino Linotype" w:hAnsi="Palatino Linotype" w:cs="Palatino Linotype"/>
                <w:sz w:val="18"/>
                <w:szCs w:val="18"/>
              </w:rPr>
              <w:t xml:space="preserve"> como apoyo anual.</w:t>
            </w:r>
          </w:p>
        </w:tc>
        <w:tc>
          <w:tcPr>
            <w:tcW w:w="5245" w:type="dxa"/>
            <w:tcBorders>
              <w:top w:val="nil"/>
            </w:tcBorders>
            <w:shd w:val="clear" w:color="auto" w:fill="auto"/>
            <w:vAlign w:val="center"/>
          </w:tcPr>
          <w:p w:rsidR="00F34FD7" w:rsidRPr="00B078C8" w:rsidRDefault="006F1FF3">
            <w:pPr>
              <w:ind w:right="49"/>
              <w:jc w:val="both"/>
              <w:rPr>
                <w:rFonts w:ascii="Palatino Linotype" w:eastAsia="Palatino Linotype" w:hAnsi="Palatino Linotype" w:cs="Palatino Linotype"/>
                <w:b/>
                <w:sz w:val="24"/>
                <w:szCs w:val="24"/>
              </w:rPr>
            </w:pPr>
            <w:r w:rsidRPr="00B078C8">
              <w:rPr>
                <w:rFonts w:ascii="Palatino Linotype" w:eastAsia="Palatino Linotype" w:hAnsi="Palatino Linotype" w:cs="Palatino Linotype"/>
                <w:sz w:val="19"/>
                <w:szCs w:val="19"/>
              </w:rPr>
              <w:t xml:space="preserve">Mediante el oficio número </w:t>
            </w:r>
            <w:r w:rsidRPr="00B078C8">
              <w:rPr>
                <w:rFonts w:ascii="Palatino Linotype" w:eastAsia="Palatino Linotype" w:hAnsi="Palatino Linotype" w:cs="Palatino Linotype"/>
                <w:b/>
                <w:sz w:val="19"/>
                <w:szCs w:val="19"/>
              </w:rPr>
              <w:t>IXTA/SUBADMON/00865/2023</w:t>
            </w:r>
            <w:r w:rsidRPr="00B078C8">
              <w:rPr>
                <w:rFonts w:ascii="Palatino Linotype" w:eastAsia="Palatino Linotype" w:hAnsi="Palatino Linotype" w:cs="Palatino Linotype"/>
                <w:sz w:val="19"/>
                <w:szCs w:val="19"/>
              </w:rPr>
              <w:t>, firmado por el Subdirector de Administración, informó que, están imposibilitados para oto</w:t>
            </w:r>
            <w:r w:rsidRPr="00B078C8">
              <w:rPr>
                <w:rFonts w:ascii="Palatino Linotype" w:eastAsia="Palatino Linotype" w:hAnsi="Palatino Linotype" w:cs="Palatino Linotype"/>
                <w:sz w:val="19"/>
                <w:szCs w:val="19"/>
              </w:rPr>
              <w:t>rgar dicha información, toda vez que se cuenta con un aviso de privacidad que resguarda la información y fue firmado por la empresa, en caso de hacerlo, se estaría incurriendo en los artículos de la Ley de Protección de Datos Personales.</w:t>
            </w:r>
          </w:p>
        </w:tc>
      </w:tr>
      <w:tr w:rsidR="00B078C8" w:rsidRPr="00B078C8">
        <w:tc>
          <w:tcPr>
            <w:tcW w:w="3521" w:type="dxa"/>
            <w:shd w:val="clear" w:color="auto" w:fill="auto"/>
            <w:vAlign w:val="center"/>
          </w:tcPr>
          <w:p w:rsidR="00F34FD7" w:rsidRPr="00B078C8" w:rsidRDefault="006F1FF3">
            <w:pPr>
              <w:ind w:right="49"/>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18"/>
                <w:szCs w:val="18"/>
              </w:rPr>
              <w:t>4.1.</w:t>
            </w:r>
            <w:r w:rsidRPr="00B078C8">
              <w:rPr>
                <w:rFonts w:ascii="Palatino Linotype" w:eastAsia="Palatino Linotype" w:hAnsi="Palatino Linotype" w:cs="Palatino Linotype"/>
                <w:sz w:val="18"/>
                <w:szCs w:val="18"/>
              </w:rPr>
              <w:tab/>
              <w:t>Por la compr</w:t>
            </w:r>
            <w:r w:rsidRPr="00B078C8">
              <w:rPr>
                <w:rFonts w:ascii="Palatino Linotype" w:eastAsia="Palatino Linotype" w:hAnsi="Palatino Linotype" w:cs="Palatino Linotype"/>
                <w:sz w:val="18"/>
                <w:szCs w:val="18"/>
              </w:rPr>
              <w:t>a de 21 nuevas Moto Patrullas entregadas a la dirección de Seguridad Pública.</w:t>
            </w:r>
          </w:p>
        </w:tc>
        <w:tc>
          <w:tcPr>
            <w:tcW w:w="5245" w:type="dxa"/>
            <w:shd w:val="clear" w:color="auto" w:fill="auto"/>
            <w:vAlign w:val="center"/>
          </w:tcPr>
          <w:p w:rsidR="00F34FD7" w:rsidRPr="00B078C8" w:rsidRDefault="006F1FF3">
            <w:pPr>
              <w:ind w:right="49"/>
              <w:jc w:val="both"/>
              <w:rPr>
                <w:rFonts w:ascii="Palatino Linotype" w:eastAsia="Palatino Linotype" w:hAnsi="Palatino Linotype" w:cs="Palatino Linotype"/>
                <w:sz w:val="19"/>
                <w:szCs w:val="19"/>
              </w:rPr>
            </w:pPr>
            <w:r w:rsidRPr="00B078C8">
              <w:rPr>
                <w:rFonts w:ascii="Palatino Linotype" w:eastAsia="Palatino Linotype" w:hAnsi="Palatino Linotype" w:cs="Palatino Linotype"/>
                <w:sz w:val="19"/>
                <w:szCs w:val="19"/>
              </w:rPr>
              <w:t xml:space="preserve">Mediante el oficio número </w:t>
            </w:r>
            <w:r w:rsidRPr="00B078C8">
              <w:rPr>
                <w:rFonts w:ascii="Palatino Linotype" w:eastAsia="Palatino Linotype" w:hAnsi="Palatino Linotype" w:cs="Palatino Linotype"/>
                <w:b/>
                <w:sz w:val="19"/>
                <w:szCs w:val="19"/>
              </w:rPr>
              <w:t>IXTA/SUBADMON/00864/2023</w:t>
            </w:r>
            <w:r w:rsidRPr="00B078C8">
              <w:rPr>
                <w:rFonts w:ascii="Palatino Linotype" w:eastAsia="Palatino Linotype" w:hAnsi="Palatino Linotype" w:cs="Palatino Linotype"/>
                <w:sz w:val="19"/>
                <w:szCs w:val="19"/>
              </w:rPr>
              <w:t xml:space="preserve">, firmado por el Subdirector de Administración, informó que, están imposibilitados para otorgar dicha información, toda vez que </w:t>
            </w:r>
            <w:r w:rsidRPr="00B078C8">
              <w:rPr>
                <w:rFonts w:ascii="Palatino Linotype" w:eastAsia="Palatino Linotype" w:hAnsi="Palatino Linotype" w:cs="Palatino Linotype"/>
                <w:sz w:val="19"/>
                <w:szCs w:val="19"/>
              </w:rPr>
              <w:t xml:space="preserve">se cuenta con un aviso de privacidad que resguarda la información y fue firmado por la empresa, en caso de </w:t>
            </w:r>
            <w:r w:rsidRPr="00B078C8">
              <w:rPr>
                <w:rFonts w:ascii="Palatino Linotype" w:eastAsia="Palatino Linotype" w:hAnsi="Palatino Linotype" w:cs="Palatino Linotype"/>
                <w:sz w:val="19"/>
                <w:szCs w:val="19"/>
              </w:rPr>
              <w:lastRenderedPageBreak/>
              <w:t>hacerlo, se estaría incurriendo en los artículos de la Ley de Protección de Datos Personales.</w:t>
            </w:r>
          </w:p>
        </w:tc>
      </w:tr>
    </w:tbl>
    <w:p w:rsidR="00F34FD7" w:rsidRPr="00B078C8" w:rsidRDefault="006F1FF3">
      <w:pPr>
        <w:spacing w:before="240" w:after="240" w:line="360" w:lineRule="auto"/>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lastRenderedPageBreak/>
        <w:t xml:space="preserve">Una vez conocidas las respuestas del </w:t>
      </w:r>
      <w:r w:rsidRPr="00B078C8">
        <w:rPr>
          <w:rFonts w:ascii="Palatino Linotype" w:eastAsia="Palatino Linotype" w:hAnsi="Palatino Linotype" w:cs="Palatino Linotype"/>
          <w:b/>
          <w:sz w:val="24"/>
          <w:szCs w:val="24"/>
        </w:rPr>
        <w:t>Sujeto Obligado</w:t>
      </w:r>
      <w:r w:rsidRPr="00B078C8">
        <w:rPr>
          <w:rFonts w:ascii="Palatino Linotype" w:eastAsia="Palatino Linotype" w:hAnsi="Palatino Linotype" w:cs="Palatino Linotype"/>
          <w:sz w:val="24"/>
          <w:szCs w:val="24"/>
        </w:rPr>
        <w:t xml:space="preserve">, la parte </w:t>
      </w:r>
      <w:r w:rsidRPr="00B078C8">
        <w:rPr>
          <w:rFonts w:ascii="Palatino Linotype" w:eastAsia="Palatino Linotype" w:hAnsi="Palatino Linotype" w:cs="Palatino Linotype"/>
          <w:b/>
          <w:sz w:val="24"/>
          <w:szCs w:val="24"/>
        </w:rPr>
        <w:t>Recurrente</w:t>
      </w:r>
      <w:r w:rsidRPr="00B078C8">
        <w:rPr>
          <w:rFonts w:ascii="Palatino Linotype" w:eastAsia="Palatino Linotype" w:hAnsi="Palatino Linotype" w:cs="Palatino Linotype"/>
          <w:sz w:val="24"/>
          <w:szCs w:val="24"/>
        </w:rPr>
        <w:t xml:space="preserve"> interpuso los medios de impugnación citados al rubro, manifestado lo siguiente: </w:t>
      </w:r>
    </w:p>
    <w:p w:rsidR="00F34FD7" w:rsidRPr="00B078C8" w:rsidRDefault="006F1FF3">
      <w:pPr>
        <w:spacing w:before="240" w:after="240" w:line="240" w:lineRule="auto"/>
        <w:ind w:left="851" w:right="99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i/>
        </w:rPr>
        <w:t xml:space="preserve">“Con fundamento en los artículos 176, 178 y 179 Fracciones I, II, III, IV y V de la Ley de Transparencia y Acceso a la Información Pública del Estado de México y Municipios, el sujeto obligado esta </w:t>
      </w:r>
      <w:proofErr w:type="spellStart"/>
      <w:r w:rsidRPr="00B078C8">
        <w:rPr>
          <w:rFonts w:ascii="Palatino Linotype" w:eastAsia="Palatino Linotype" w:hAnsi="Palatino Linotype" w:cs="Palatino Linotype"/>
          <w:i/>
        </w:rPr>
        <w:t>contraseñido</w:t>
      </w:r>
      <w:proofErr w:type="spellEnd"/>
      <w:r w:rsidRPr="00B078C8">
        <w:rPr>
          <w:rFonts w:ascii="Palatino Linotype" w:eastAsia="Palatino Linotype" w:hAnsi="Palatino Linotype" w:cs="Palatino Linotype"/>
          <w:i/>
        </w:rPr>
        <w:t xml:space="preserve"> para hacer entrega de la información solicita</w:t>
      </w:r>
      <w:r w:rsidRPr="00B078C8">
        <w:rPr>
          <w:rFonts w:ascii="Palatino Linotype" w:eastAsia="Palatino Linotype" w:hAnsi="Palatino Linotype" w:cs="Palatino Linotype"/>
          <w:i/>
        </w:rPr>
        <w:t xml:space="preserve">da </w:t>
      </w:r>
      <w:proofErr w:type="spellStart"/>
      <w:r w:rsidRPr="00B078C8">
        <w:rPr>
          <w:rFonts w:ascii="Palatino Linotype" w:eastAsia="Palatino Linotype" w:hAnsi="Palatino Linotype" w:cs="Palatino Linotype"/>
          <w:i/>
        </w:rPr>
        <w:t>aun que</w:t>
      </w:r>
      <w:proofErr w:type="spellEnd"/>
      <w:r w:rsidRPr="00B078C8">
        <w:rPr>
          <w:rFonts w:ascii="Palatino Linotype" w:eastAsia="Palatino Linotype" w:hAnsi="Palatino Linotype" w:cs="Palatino Linotype"/>
          <w:i/>
        </w:rPr>
        <w:t xml:space="preserve"> mi solicitud hago de su conocimiento que pedí que puedes ser en VERSION PUBLICA” (sic)</w:t>
      </w:r>
    </w:p>
    <w:p w:rsidR="00F34FD7" w:rsidRPr="00B078C8" w:rsidRDefault="006F1FF3">
      <w:pPr>
        <w:spacing w:before="240" w:after="240" w:line="360" w:lineRule="auto"/>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Las partes fueron omisas en rendir manifestaciones, en el plazo establecido para tal efecto.</w:t>
      </w:r>
    </w:p>
    <w:p w:rsidR="00F34FD7" w:rsidRPr="00B078C8" w:rsidRDefault="006F1FF3">
      <w:pPr>
        <w:tabs>
          <w:tab w:val="left" w:pos="8080"/>
        </w:tabs>
        <w:spacing w:line="360" w:lineRule="auto"/>
        <w:ind w:right="49"/>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Así las cosas, el Instituto consideró que las razones o motivos d</w:t>
      </w:r>
      <w:r w:rsidRPr="00B078C8">
        <w:rPr>
          <w:rFonts w:ascii="Palatino Linotype" w:eastAsia="Palatino Linotype" w:hAnsi="Palatino Linotype" w:cs="Palatino Linotype"/>
          <w:sz w:val="24"/>
          <w:szCs w:val="24"/>
        </w:rPr>
        <w:t xml:space="preserve">e inconformidad hechos valer por la parte </w:t>
      </w:r>
      <w:r w:rsidRPr="00B078C8">
        <w:rPr>
          <w:rFonts w:ascii="Palatino Linotype" w:eastAsia="Palatino Linotype" w:hAnsi="Palatino Linotype" w:cs="Palatino Linotype"/>
          <w:b/>
          <w:sz w:val="24"/>
          <w:szCs w:val="24"/>
        </w:rPr>
        <w:t xml:space="preserve">Recurrente </w:t>
      </w:r>
      <w:r w:rsidRPr="00B078C8">
        <w:rPr>
          <w:rFonts w:ascii="Palatino Linotype" w:eastAsia="Palatino Linotype" w:hAnsi="Palatino Linotype" w:cs="Palatino Linotype"/>
          <w:sz w:val="24"/>
          <w:szCs w:val="24"/>
        </w:rPr>
        <w:t xml:space="preserve">resultan fundados </w:t>
      </w:r>
      <w:r w:rsidRPr="00B078C8">
        <w:rPr>
          <w:rFonts w:ascii="Palatino Linotype" w:eastAsia="Palatino Linotype" w:hAnsi="Palatino Linotype" w:cs="Palatino Linotype"/>
          <w:sz w:val="24"/>
          <w:szCs w:val="24"/>
        </w:rPr>
        <w:t xml:space="preserve">y determinó modificar las respuestas del </w:t>
      </w:r>
      <w:r w:rsidRPr="00B078C8">
        <w:rPr>
          <w:rFonts w:ascii="Palatino Linotype" w:eastAsia="Palatino Linotype" w:hAnsi="Palatino Linotype" w:cs="Palatino Linotype"/>
          <w:b/>
          <w:sz w:val="24"/>
          <w:szCs w:val="24"/>
        </w:rPr>
        <w:t>Sujeto Obligado</w:t>
      </w:r>
      <w:r w:rsidRPr="00B078C8">
        <w:rPr>
          <w:rFonts w:ascii="Palatino Linotype" w:eastAsia="Palatino Linotype" w:hAnsi="Palatino Linotype" w:cs="Palatino Linotype"/>
          <w:sz w:val="24"/>
          <w:szCs w:val="24"/>
        </w:rPr>
        <w:t xml:space="preserve">, </w:t>
      </w:r>
      <w:r w:rsidRPr="00B078C8">
        <w:rPr>
          <w:rFonts w:ascii="Palatino Linotype" w:eastAsia="Palatino Linotype" w:hAnsi="Palatino Linotype" w:cs="Palatino Linotype"/>
          <w:sz w:val="24"/>
          <w:szCs w:val="24"/>
        </w:rPr>
        <w:t>para ordenar la entrega de lo siguiente:</w:t>
      </w:r>
    </w:p>
    <w:p w:rsidR="00F34FD7" w:rsidRPr="00B078C8" w:rsidRDefault="006F1FF3">
      <w:pPr>
        <w:tabs>
          <w:tab w:val="left" w:pos="1134"/>
        </w:tabs>
        <w:spacing w:before="120" w:after="120" w:line="240" w:lineRule="auto"/>
        <w:ind w:left="851" w:right="992"/>
        <w:jc w:val="both"/>
        <w:rPr>
          <w:rFonts w:ascii="Palatino Linotype" w:eastAsia="Palatino Linotype" w:hAnsi="Palatino Linotype" w:cs="Palatino Linotype"/>
          <w:i/>
        </w:rPr>
      </w:pPr>
      <w:r w:rsidRPr="00B078C8">
        <w:rPr>
          <w:rFonts w:ascii="Palatino Linotype" w:eastAsia="Palatino Linotype" w:hAnsi="Palatino Linotype" w:cs="Palatino Linotype"/>
          <w:b/>
          <w:i/>
        </w:rPr>
        <w:t>“SEGUNDO.</w:t>
      </w:r>
      <w:r w:rsidRPr="00B078C8">
        <w:rPr>
          <w:rFonts w:ascii="Palatino Linotype" w:eastAsia="Palatino Linotype" w:hAnsi="Palatino Linotype" w:cs="Palatino Linotype"/>
          <w:i/>
        </w:rPr>
        <w:t xml:space="preserve"> Se ordena al </w:t>
      </w:r>
      <w:r w:rsidRPr="00B078C8">
        <w:rPr>
          <w:rFonts w:ascii="Palatino Linotype" w:eastAsia="Palatino Linotype" w:hAnsi="Palatino Linotype" w:cs="Palatino Linotype"/>
          <w:b/>
          <w:i/>
        </w:rPr>
        <w:t>Sujeto Obligado</w:t>
      </w:r>
      <w:r w:rsidRPr="00B078C8">
        <w:rPr>
          <w:rFonts w:ascii="Palatino Linotype" w:eastAsia="Palatino Linotype" w:hAnsi="Palatino Linotype" w:cs="Palatino Linotype"/>
          <w:i/>
        </w:rPr>
        <w:t xml:space="preserve"> haga entrega a la parte </w:t>
      </w:r>
      <w:r w:rsidRPr="00B078C8">
        <w:rPr>
          <w:rFonts w:ascii="Palatino Linotype" w:eastAsia="Palatino Linotype" w:hAnsi="Palatino Linotype" w:cs="Palatino Linotype"/>
          <w:b/>
          <w:i/>
        </w:rPr>
        <w:t xml:space="preserve">Recurrente </w:t>
      </w:r>
      <w:r w:rsidRPr="00B078C8">
        <w:rPr>
          <w:rFonts w:ascii="Palatino Linotype" w:eastAsia="Palatino Linotype" w:hAnsi="Palatino Linotype" w:cs="Palatino Linotype"/>
          <w:i/>
        </w:rPr>
        <w:t xml:space="preserve">en términos </w:t>
      </w:r>
      <w:r w:rsidRPr="00B078C8">
        <w:rPr>
          <w:rFonts w:ascii="Palatino Linotype" w:eastAsia="Palatino Linotype" w:hAnsi="Palatino Linotype" w:cs="Palatino Linotype"/>
          <w:i/>
        </w:rPr>
        <w:t xml:space="preserve">del Considerando </w:t>
      </w:r>
      <w:r w:rsidRPr="00B078C8">
        <w:rPr>
          <w:rFonts w:ascii="Palatino Linotype" w:eastAsia="Palatino Linotype" w:hAnsi="Palatino Linotype" w:cs="Palatino Linotype"/>
          <w:b/>
          <w:i/>
        </w:rPr>
        <w:t xml:space="preserve">CUARTO </w:t>
      </w:r>
      <w:r w:rsidRPr="00B078C8">
        <w:rPr>
          <w:rFonts w:ascii="Palatino Linotype" w:eastAsia="Palatino Linotype" w:hAnsi="Palatino Linotype" w:cs="Palatino Linotype"/>
          <w:i/>
        </w:rPr>
        <w:t xml:space="preserve">de esta resolución, a través del Sistema de Acceso a la Información Mexiquense </w:t>
      </w:r>
      <w:r w:rsidRPr="00B078C8">
        <w:rPr>
          <w:rFonts w:ascii="Palatino Linotype" w:eastAsia="Palatino Linotype" w:hAnsi="Palatino Linotype" w:cs="Palatino Linotype"/>
          <w:b/>
          <w:i/>
        </w:rPr>
        <w:t>(SAIMEX)</w:t>
      </w:r>
      <w:r w:rsidRPr="00B078C8">
        <w:rPr>
          <w:rFonts w:ascii="Palatino Linotype" w:eastAsia="Palatino Linotype" w:hAnsi="Palatino Linotype" w:cs="Palatino Linotype"/>
          <w:i/>
        </w:rPr>
        <w:t xml:space="preserve">, de ser procedente en versión pública, en formato PDF o en el formato que se posea o se haya generado, el o los documentos en donde consten los </w:t>
      </w:r>
      <w:r w:rsidRPr="00B078C8">
        <w:rPr>
          <w:rFonts w:ascii="Palatino Linotype" w:eastAsia="Palatino Linotype" w:hAnsi="Palatino Linotype" w:cs="Palatino Linotype"/>
          <w:i/>
        </w:rPr>
        <w:t>contratos, convenios, facturas, pólizas de pago, del gasto erogado, de lo siguiente:</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r w:rsidRPr="00B078C8">
        <w:rPr>
          <w:rFonts w:ascii="Palatino Linotype" w:eastAsia="Palatino Linotype" w:hAnsi="Palatino Linotype" w:cs="Palatino Linotype"/>
          <w:i/>
        </w:rPr>
        <w:t>La compra de 21 Moto Patrullas, entregadas a la Dirección de Seguridad Pública, especificando el tipo de recurso utilizado (Federal, Estatal o Municipal), vigente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r w:rsidRPr="00B078C8">
        <w:rPr>
          <w:rFonts w:ascii="Palatino Linotype" w:eastAsia="Palatino Linotype" w:hAnsi="Palatino Linotype" w:cs="Palatino Linotype"/>
          <w:i/>
        </w:rPr>
        <w:t>La compra de avena y fertilizantes entregada</w:t>
      </w:r>
      <w:r w:rsidRPr="00B078C8">
        <w:rPr>
          <w:rFonts w:ascii="Palatino Linotype" w:eastAsia="Palatino Linotype" w:hAnsi="Palatino Linotype" w:cs="Palatino Linotype"/>
          <w:i/>
        </w:rPr>
        <w:t xml:space="preserve"> a los 796 productores del campo </w:t>
      </w:r>
      <w:proofErr w:type="spellStart"/>
      <w:r w:rsidRPr="00B078C8">
        <w:rPr>
          <w:rFonts w:ascii="Palatino Linotype" w:eastAsia="Palatino Linotype" w:hAnsi="Palatino Linotype" w:cs="Palatino Linotype"/>
          <w:i/>
        </w:rPr>
        <w:t>Ixtapaluquenses</w:t>
      </w:r>
      <w:proofErr w:type="spellEnd"/>
      <w:r w:rsidRPr="00B078C8">
        <w:rPr>
          <w:rFonts w:ascii="Palatino Linotype" w:eastAsia="Palatino Linotype" w:hAnsi="Palatino Linotype" w:cs="Palatino Linotype"/>
          <w:i/>
        </w:rPr>
        <w:t xml:space="preserve"> como apoyo anual, así como el padrón de beneficiarios </w:t>
      </w:r>
      <w:r w:rsidRPr="00B078C8">
        <w:rPr>
          <w:rFonts w:ascii="Palatino Linotype" w:eastAsia="Palatino Linotype" w:hAnsi="Palatino Linotype" w:cs="Palatino Linotype"/>
          <w:i/>
        </w:rPr>
        <w:lastRenderedPageBreak/>
        <w:t>al mayor grado de desagregación posible, en donde consten las colonias y/o delegaciones, vigente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r w:rsidRPr="00B078C8">
        <w:rPr>
          <w:rFonts w:ascii="Palatino Linotype" w:eastAsia="Palatino Linotype" w:hAnsi="Palatino Linotype" w:cs="Palatino Linotype"/>
          <w:i/>
        </w:rPr>
        <w:t>La inst</w:t>
      </w:r>
      <w:r w:rsidRPr="00B078C8">
        <w:rPr>
          <w:rFonts w:ascii="Palatino Linotype" w:eastAsia="Palatino Linotype" w:hAnsi="Palatino Linotype" w:cs="Palatino Linotype"/>
          <w:i/>
        </w:rPr>
        <w:t>alación de alumbrado público eléctrico, llevado a cabo en todo el Municipio, del periodo comprendido del 01 de enero de 2022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r w:rsidRPr="00B078C8">
        <w:rPr>
          <w:rFonts w:ascii="Palatino Linotype" w:eastAsia="Palatino Linotype" w:hAnsi="Palatino Linotype" w:cs="Palatino Linotype"/>
          <w:i/>
        </w:rPr>
        <w:t xml:space="preserve">La instalación de cámaras de vigilancia y de alarmas vecinales, llevado a cabo en </w:t>
      </w:r>
      <w:r w:rsidRPr="00B078C8">
        <w:rPr>
          <w:rFonts w:ascii="Palatino Linotype" w:eastAsia="Palatino Linotype" w:hAnsi="Palatino Linotype" w:cs="Palatino Linotype"/>
          <w:i/>
        </w:rPr>
        <w:t>todo el Municipio y, al mayor grado de desagregación posible, el o los documentos en donde consten las colonias y/o delegaciones, unidades habitacionales, del periodo comprendido del 01 de enero de 2022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r w:rsidRPr="00B078C8">
        <w:rPr>
          <w:rFonts w:ascii="Palatino Linotype" w:eastAsia="Palatino Linotype" w:hAnsi="Palatino Linotype" w:cs="Palatino Linotype"/>
          <w:i/>
        </w:rPr>
        <w:t>La c</w:t>
      </w:r>
      <w:r w:rsidRPr="00B078C8">
        <w:rPr>
          <w:rFonts w:ascii="Palatino Linotype" w:eastAsia="Palatino Linotype" w:hAnsi="Palatino Linotype" w:cs="Palatino Linotype"/>
          <w:i/>
        </w:rPr>
        <w:t>ompra de nuevos uniformes y equipos de seguridad de la Dirección de Servicios Públicos, para todo el personal operativo de la Dirección de Servicios Públicos y sus áreas de Residuos Sólidos, Parques y Jardines, Control Vehicular, Panteones, Alumbrado Públi</w:t>
      </w:r>
      <w:r w:rsidRPr="00B078C8">
        <w:rPr>
          <w:rFonts w:ascii="Palatino Linotype" w:eastAsia="Palatino Linotype" w:hAnsi="Palatino Linotype" w:cs="Palatino Linotype"/>
          <w:i/>
        </w:rPr>
        <w:t>co y la Unidad de Control y Bienestar Animal, vigente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bookmarkStart w:id="2" w:name="_heading=h.tyjcwt" w:colFirst="0" w:colLast="0"/>
      <w:bookmarkEnd w:id="2"/>
      <w:r w:rsidRPr="00B078C8">
        <w:rPr>
          <w:rFonts w:ascii="Palatino Linotype" w:eastAsia="Palatino Linotype" w:hAnsi="Palatino Linotype" w:cs="Palatino Linotype"/>
          <w:i/>
        </w:rPr>
        <w:t>La compra de chalecos que se entregaron a la Organización de Bici taxis de San Jacinto y a la organización de moto taxis de Hornos de Santa Bárbara, vigente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r w:rsidRPr="00B078C8">
        <w:rPr>
          <w:rFonts w:ascii="Palatino Linotype" w:eastAsia="Palatino Linotype" w:hAnsi="Palatino Linotype" w:cs="Palatino Linotype"/>
          <w:i/>
        </w:rPr>
        <w:t xml:space="preserve">La compra y la instalación de 300 metros lineales </w:t>
      </w:r>
      <w:r w:rsidRPr="00B078C8">
        <w:rPr>
          <w:rFonts w:ascii="Palatino Linotype" w:eastAsia="Palatino Linotype" w:hAnsi="Palatino Linotype" w:cs="Palatino Linotype"/>
          <w:i/>
        </w:rPr>
        <w:t>de cable del montaje eléctrico de la Primaria Andrés Quintana Roo, Colonia. Alfredo del Mazo, vigente al treinta y uno de julio de dos mil veintitrés.</w:t>
      </w:r>
    </w:p>
    <w:p w:rsidR="00F34FD7" w:rsidRPr="00B078C8" w:rsidRDefault="006F1FF3">
      <w:pPr>
        <w:numPr>
          <w:ilvl w:val="0"/>
          <w:numId w:val="4"/>
        </w:numPr>
        <w:pBdr>
          <w:top w:val="nil"/>
          <w:left w:val="nil"/>
          <w:bottom w:val="nil"/>
          <w:right w:val="nil"/>
          <w:between w:val="nil"/>
        </w:pBdr>
        <w:tabs>
          <w:tab w:val="left" w:pos="1418"/>
        </w:tabs>
        <w:spacing w:before="120" w:after="120" w:line="240" w:lineRule="auto"/>
        <w:ind w:left="1134" w:right="992" w:firstLine="0"/>
        <w:jc w:val="both"/>
        <w:rPr>
          <w:rFonts w:ascii="Palatino Linotype" w:eastAsia="Palatino Linotype" w:hAnsi="Palatino Linotype" w:cs="Palatino Linotype"/>
          <w:i/>
        </w:rPr>
      </w:pPr>
      <w:bookmarkStart w:id="3" w:name="_heading=h.3dy6vkm" w:colFirst="0" w:colLast="0"/>
      <w:bookmarkEnd w:id="3"/>
      <w:r w:rsidRPr="00B078C8">
        <w:rPr>
          <w:rFonts w:ascii="Palatino Linotype" w:eastAsia="Palatino Linotype" w:hAnsi="Palatino Linotype" w:cs="Palatino Linotype"/>
          <w:i/>
        </w:rPr>
        <w:t>El Padrón de Beneficiarios por la compra de chalecos que se entregaron a la Organización de Bici taxis de</w:t>
      </w:r>
      <w:r w:rsidRPr="00B078C8">
        <w:rPr>
          <w:rFonts w:ascii="Palatino Linotype" w:eastAsia="Palatino Linotype" w:hAnsi="Palatino Linotype" w:cs="Palatino Linotype"/>
          <w:i/>
        </w:rPr>
        <w:t xml:space="preserve"> San Jacinto y a la organización de moto taxis de Hornos de Santa Bárbara, vigente al treinta y uno de julio de dos mil veintitrés.</w:t>
      </w:r>
    </w:p>
    <w:p w:rsidR="00F34FD7" w:rsidRPr="00B078C8" w:rsidRDefault="006F1FF3">
      <w:pPr>
        <w:tabs>
          <w:tab w:val="left" w:pos="1134"/>
        </w:tabs>
        <w:spacing w:before="120" w:after="120" w:line="240" w:lineRule="auto"/>
        <w:ind w:left="851" w:right="992"/>
        <w:jc w:val="both"/>
        <w:rPr>
          <w:rFonts w:ascii="Palatino Linotype" w:eastAsia="Palatino Linotype" w:hAnsi="Palatino Linotype" w:cs="Palatino Linotype"/>
          <w:i/>
        </w:rPr>
      </w:pPr>
      <w:r w:rsidRPr="00B078C8">
        <w:rPr>
          <w:rFonts w:ascii="Palatino Linotype" w:eastAsia="Palatino Linotype" w:hAnsi="Palatino Linotype" w:cs="Palatino Linotype"/>
          <w:i/>
        </w:rPr>
        <w:t>Para la entrega en versión pública deberá emitir el Acuerdo del Comité de Transparencia en términos de los artículos 49, fra</w:t>
      </w:r>
      <w:r w:rsidRPr="00B078C8">
        <w:rPr>
          <w:rFonts w:ascii="Palatino Linotype" w:eastAsia="Palatino Linotype" w:hAnsi="Palatino Linotype" w:cs="Palatino Linotype"/>
          <w:i/>
        </w:rPr>
        <w:t xml:space="preserve">cción VIII y 132 fracción II de la Ley de Transparencia y Acceso a la Información Pública del Estado de México y Municipios, en el que funde y motive las razones sobre los datos que se supriman o eliminen y se ponga a disposición del </w:t>
      </w:r>
      <w:r w:rsidRPr="00B078C8">
        <w:rPr>
          <w:rFonts w:ascii="Palatino Linotype" w:eastAsia="Palatino Linotype" w:hAnsi="Palatino Linotype" w:cs="Palatino Linotype"/>
          <w:b/>
          <w:i/>
        </w:rPr>
        <w:t>Recurrente</w:t>
      </w:r>
      <w:r w:rsidRPr="00B078C8">
        <w:rPr>
          <w:rFonts w:ascii="Palatino Linotype" w:eastAsia="Palatino Linotype" w:hAnsi="Palatino Linotype" w:cs="Palatino Linotype"/>
          <w:i/>
        </w:rPr>
        <w:t>.</w:t>
      </w:r>
    </w:p>
    <w:p w:rsidR="00F34FD7" w:rsidRPr="00B078C8" w:rsidRDefault="006F1FF3">
      <w:pPr>
        <w:tabs>
          <w:tab w:val="left" w:pos="1134"/>
        </w:tabs>
        <w:spacing w:before="120" w:after="120" w:line="240" w:lineRule="auto"/>
        <w:ind w:left="851" w:right="992"/>
        <w:jc w:val="both"/>
        <w:rPr>
          <w:rFonts w:ascii="Palatino Linotype" w:eastAsia="Palatino Linotype" w:hAnsi="Palatino Linotype" w:cs="Palatino Linotype"/>
          <w:i/>
        </w:rPr>
      </w:pPr>
      <w:r w:rsidRPr="00B078C8">
        <w:rPr>
          <w:rFonts w:ascii="Palatino Linotype" w:eastAsia="Palatino Linotype" w:hAnsi="Palatino Linotype" w:cs="Palatino Linotype"/>
          <w:i/>
        </w:rPr>
        <w:t>Para el ca</w:t>
      </w:r>
      <w:r w:rsidRPr="00B078C8">
        <w:rPr>
          <w:rFonts w:ascii="Palatino Linotype" w:eastAsia="Palatino Linotype" w:hAnsi="Palatino Linotype" w:cs="Palatino Linotype"/>
          <w:i/>
        </w:rPr>
        <w:t xml:space="preserve">so de que los documentos referidos en el punto </w:t>
      </w:r>
      <w:r w:rsidRPr="00B078C8">
        <w:rPr>
          <w:rFonts w:ascii="Palatino Linotype" w:eastAsia="Palatino Linotype" w:hAnsi="Palatino Linotype" w:cs="Palatino Linotype"/>
          <w:b/>
          <w:i/>
        </w:rPr>
        <w:t>1),</w:t>
      </w:r>
      <w:r w:rsidRPr="00B078C8">
        <w:rPr>
          <w:rFonts w:ascii="Palatino Linotype" w:eastAsia="Palatino Linotype" w:hAnsi="Palatino Linotype" w:cs="Palatino Linotype"/>
          <w:i/>
        </w:rPr>
        <w:t xml:space="preserve"> del presente Resolutivo se adviertan las características que tienen las moto patrullas municipales de la Dirección de Seguridad Pública, deberá notificar el Acuerdo de </w:t>
      </w:r>
      <w:r w:rsidRPr="00B078C8">
        <w:rPr>
          <w:rFonts w:ascii="Palatino Linotype" w:eastAsia="Palatino Linotype" w:hAnsi="Palatino Linotype" w:cs="Palatino Linotype"/>
          <w:i/>
        </w:rPr>
        <w:lastRenderedPageBreak/>
        <w:t>Clasificación de la información que e</w:t>
      </w:r>
      <w:r w:rsidRPr="00B078C8">
        <w:rPr>
          <w:rFonts w:ascii="Palatino Linotype" w:eastAsia="Palatino Linotype" w:hAnsi="Palatino Linotype" w:cs="Palatino Linotype"/>
          <w:i/>
        </w:rPr>
        <w:t xml:space="preserve">mita el Comité de Transparencia con motivo de la </w:t>
      </w:r>
      <w:r w:rsidRPr="00B078C8">
        <w:rPr>
          <w:rFonts w:ascii="Palatino Linotype" w:eastAsia="Palatino Linotype" w:hAnsi="Palatino Linotype" w:cs="Palatino Linotype"/>
          <w:b/>
          <w:i/>
        </w:rPr>
        <w:t>RESERVA</w:t>
      </w:r>
      <w:r w:rsidRPr="00B078C8">
        <w:rPr>
          <w:rFonts w:ascii="Palatino Linotype" w:eastAsia="Palatino Linotype" w:hAnsi="Palatino Linotype" w:cs="Palatino Linotype"/>
          <w:i/>
        </w:rPr>
        <w:t xml:space="preserve"> de información, conforme a los artículos 49 fracción VIII, 129, 140 y 141 de la Ley de Transparencia y Acceso a la Información Pública del Estado de México y Municipios.</w:t>
      </w:r>
    </w:p>
    <w:p w:rsidR="00F34FD7" w:rsidRPr="00B078C8" w:rsidRDefault="006F1FF3">
      <w:pPr>
        <w:tabs>
          <w:tab w:val="left" w:pos="1134"/>
        </w:tabs>
        <w:spacing w:before="120" w:after="120" w:line="240" w:lineRule="auto"/>
        <w:ind w:left="851" w:right="992"/>
        <w:jc w:val="both"/>
        <w:rPr>
          <w:rFonts w:ascii="Palatino Linotype" w:eastAsia="Palatino Linotype" w:hAnsi="Palatino Linotype" w:cs="Palatino Linotype"/>
          <w:i/>
        </w:rPr>
      </w:pPr>
      <w:r w:rsidRPr="00B078C8">
        <w:rPr>
          <w:rFonts w:ascii="Palatino Linotype" w:eastAsia="Palatino Linotype" w:hAnsi="Palatino Linotype" w:cs="Palatino Linotype"/>
          <w:i/>
        </w:rPr>
        <w:t>En el supuesto de que la info</w:t>
      </w:r>
      <w:r w:rsidRPr="00B078C8">
        <w:rPr>
          <w:rFonts w:ascii="Palatino Linotype" w:eastAsia="Palatino Linotype" w:hAnsi="Palatino Linotype" w:cs="Palatino Linotype"/>
          <w:i/>
        </w:rPr>
        <w:t xml:space="preserve">rmación referida en los numerales </w:t>
      </w:r>
      <w:r w:rsidRPr="00B078C8">
        <w:rPr>
          <w:rFonts w:ascii="Palatino Linotype" w:eastAsia="Palatino Linotype" w:hAnsi="Palatino Linotype" w:cs="Palatino Linotype"/>
          <w:b/>
          <w:i/>
        </w:rPr>
        <w:t xml:space="preserve">4) </w:t>
      </w:r>
      <w:r w:rsidRPr="00B078C8">
        <w:rPr>
          <w:rFonts w:ascii="Palatino Linotype" w:eastAsia="Palatino Linotype" w:hAnsi="Palatino Linotype" w:cs="Palatino Linotype"/>
          <w:i/>
        </w:rPr>
        <w:t>y</w:t>
      </w:r>
      <w:r w:rsidRPr="00B078C8">
        <w:rPr>
          <w:rFonts w:ascii="Palatino Linotype" w:eastAsia="Palatino Linotype" w:hAnsi="Palatino Linotype" w:cs="Palatino Linotype"/>
          <w:b/>
          <w:i/>
        </w:rPr>
        <w:t xml:space="preserve"> 7)</w:t>
      </w:r>
      <w:r w:rsidRPr="00B078C8">
        <w:rPr>
          <w:rFonts w:ascii="Palatino Linotype" w:eastAsia="Palatino Linotype" w:hAnsi="Palatino Linotype" w:cs="Palatino Linotype"/>
          <w:i/>
        </w:rPr>
        <w:t xml:space="preserve"> del presente Resolutivo, no haya sido poseída, generada o administrada por el </w:t>
      </w:r>
      <w:r w:rsidRPr="00B078C8">
        <w:rPr>
          <w:rFonts w:ascii="Palatino Linotype" w:eastAsia="Palatino Linotype" w:hAnsi="Palatino Linotype" w:cs="Palatino Linotype"/>
          <w:b/>
          <w:i/>
        </w:rPr>
        <w:t>Sujeto Obligado</w:t>
      </w:r>
      <w:r w:rsidRPr="00B078C8">
        <w:rPr>
          <w:rFonts w:ascii="Palatino Linotype" w:eastAsia="Palatino Linotype" w:hAnsi="Palatino Linotype" w:cs="Palatino Linotype"/>
          <w:i/>
        </w:rPr>
        <w:t>, bastará con que así lo manifieste.”</w:t>
      </w:r>
    </w:p>
    <w:p w:rsidR="00F34FD7" w:rsidRPr="00B078C8" w:rsidRDefault="00F34FD7">
      <w:pPr>
        <w:widowControl w:val="0"/>
        <w:tabs>
          <w:tab w:val="left" w:pos="1134"/>
        </w:tabs>
        <w:spacing w:before="120" w:after="120" w:line="240" w:lineRule="auto"/>
        <w:ind w:left="851" w:right="990"/>
        <w:jc w:val="both"/>
        <w:rPr>
          <w:rFonts w:ascii="Palatino Linotype" w:eastAsia="Palatino Linotype" w:hAnsi="Palatino Linotype" w:cs="Palatino Linotype"/>
          <w:i/>
        </w:rPr>
      </w:pPr>
    </w:p>
    <w:p w:rsidR="00F34FD7" w:rsidRPr="00B078C8" w:rsidRDefault="006F1FF3">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sidRPr="00B078C8">
        <w:rPr>
          <w:rFonts w:ascii="Palatino Linotype" w:eastAsia="Palatino Linotype" w:hAnsi="Palatino Linotype" w:cs="Palatino Linotype"/>
          <w:b/>
          <w:sz w:val="24"/>
          <w:szCs w:val="24"/>
        </w:rPr>
        <w:t>II. Razones del Voto Particular.</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bookmarkStart w:id="4" w:name="_heading=h.1fob9te" w:colFirst="0" w:colLast="0"/>
      <w:bookmarkEnd w:id="4"/>
      <w:r w:rsidRPr="00B078C8">
        <w:rPr>
          <w:rFonts w:ascii="Palatino Linotype" w:eastAsia="Palatino Linotype" w:hAnsi="Palatino Linotype" w:cs="Palatino Linotype"/>
          <w:sz w:val="24"/>
          <w:szCs w:val="24"/>
        </w:rPr>
        <w:t>Para iniciar la emisión del presente voto, conviene mencionar, que si bien se comparte el sentido de la resolución, ya que del análisis de las constancias que conforman los expedientes electrónicos, se desprendió que la información solicitada es susceptibl</w:t>
      </w:r>
      <w:r w:rsidRPr="00B078C8">
        <w:rPr>
          <w:rFonts w:ascii="Palatino Linotype" w:eastAsia="Palatino Linotype" w:hAnsi="Palatino Linotype" w:cs="Palatino Linotype"/>
          <w:sz w:val="24"/>
          <w:szCs w:val="24"/>
        </w:rPr>
        <w:t xml:space="preserve">e de transparentarse pues se encuentra relacionada con la gestión pública y con su publicidad se favorece indudablemente la rendición de cuentas, máxime que se relaciona con la obligación de transparencia prevista el </w:t>
      </w:r>
      <w:r w:rsidR="00163C1B" w:rsidRPr="00B078C8">
        <w:rPr>
          <w:rFonts w:ascii="Palatino Linotype" w:eastAsia="Palatino Linotype" w:hAnsi="Palatino Linotype" w:cs="Palatino Linotype"/>
          <w:sz w:val="24"/>
          <w:szCs w:val="24"/>
        </w:rPr>
        <w:t>artículo</w:t>
      </w:r>
      <w:r w:rsidRPr="00B078C8">
        <w:rPr>
          <w:rFonts w:ascii="Palatino Linotype" w:eastAsia="Palatino Linotype" w:hAnsi="Palatino Linotype" w:cs="Palatino Linotype"/>
          <w:sz w:val="24"/>
          <w:szCs w:val="24"/>
        </w:rPr>
        <w:t xml:space="preserve"> 92, fracción XXIX de la Ley de</w:t>
      </w:r>
      <w:r w:rsidRPr="00B078C8">
        <w:rPr>
          <w:rFonts w:ascii="Palatino Linotype" w:eastAsia="Palatino Linotype" w:hAnsi="Palatino Linotype" w:cs="Palatino Linotype"/>
          <w:sz w:val="24"/>
          <w:szCs w:val="24"/>
        </w:rPr>
        <w:t xml:space="preserve"> Transparencia y Acceso a la Información Pública del Estado de México y Municipios, relativa a la obligación de poner a disposición del público en los respectivos medios electrónicos, la información sobre los procesos y resultados sobre procedimientos de a</w:t>
      </w:r>
      <w:r w:rsidRPr="00B078C8">
        <w:rPr>
          <w:rFonts w:ascii="Palatino Linotype" w:eastAsia="Palatino Linotype" w:hAnsi="Palatino Linotype" w:cs="Palatino Linotype"/>
          <w:sz w:val="24"/>
          <w:szCs w:val="24"/>
        </w:rPr>
        <w:t xml:space="preserve">djudicación directa, invitación restringida y licitación de cualquier naturaleza, entre la que se encuentran los contratos celebrados, sin embargo, </w:t>
      </w:r>
      <w:r w:rsidRPr="00B078C8">
        <w:rPr>
          <w:rFonts w:ascii="Palatino Linotype" w:eastAsia="Palatino Linotype" w:hAnsi="Palatino Linotype" w:cs="Palatino Linotype"/>
          <w:sz w:val="24"/>
          <w:szCs w:val="24"/>
        </w:rPr>
        <w:t>no se comparte que se ordene la entrega de documentos donde conste, al mayor grado de desagregación posible,</w:t>
      </w:r>
      <w:r w:rsidRPr="00B078C8">
        <w:rPr>
          <w:rFonts w:ascii="Palatino Linotype" w:eastAsia="Palatino Linotype" w:hAnsi="Palatino Linotype" w:cs="Palatino Linotype"/>
          <w:sz w:val="24"/>
          <w:szCs w:val="24"/>
        </w:rPr>
        <w:t xml:space="preserve"> la instalación de cámaras de vigilancia y de alarmas vecinales en todo el Municipio, donde consten las colonias y/o delegaciones, unidades habitacionales, ya que pudiera darse a conocer </w:t>
      </w:r>
      <w:r w:rsidRPr="00B078C8">
        <w:rPr>
          <w:rFonts w:ascii="Palatino Linotype" w:eastAsia="Palatino Linotype" w:hAnsi="Palatino Linotype" w:cs="Palatino Linotype"/>
          <w:sz w:val="24"/>
          <w:szCs w:val="24"/>
        </w:rPr>
        <w:lastRenderedPageBreak/>
        <w:t xml:space="preserve">la ubicación exacta de dichos dispositivos de seguridad, información </w:t>
      </w:r>
      <w:r w:rsidRPr="00B078C8">
        <w:rPr>
          <w:rFonts w:ascii="Palatino Linotype" w:eastAsia="Palatino Linotype" w:hAnsi="Palatino Linotype" w:cs="Palatino Linotype"/>
          <w:sz w:val="24"/>
          <w:szCs w:val="24"/>
        </w:rPr>
        <w:t>que desde mi perspectiva no guarda la naturaleza de pública por las consideraciones que a continuación se exponen.</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En primer lugar, debemos partir de lo establecido en la Ley que Regula el Uso de Tecnologías de la Información y Comunicación para la Segurid</w:t>
      </w:r>
      <w:r w:rsidRPr="00B078C8">
        <w:rPr>
          <w:rFonts w:ascii="Palatino Linotype" w:eastAsia="Palatino Linotype" w:hAnsi="Palatino Linotype" w:cs="Palatino Linotype"/>
          <w:sz w:val="24"/>
          <w:szCs w:val="24"/>
        </w:rPr>
        <w:t>ad Pública del Estado de México, cuyo objeto consiste en establecer las bases de coordinación entre las instituciones de seguridad pública del Gobierno del Estado de México y de los municipios de la entidad, en el uso y aprovechamiento de las tecnologías d</w:t>
      </w:r>
      <w:r w:rsidRPr="00B078C8">
        <w:rPr>
          <w:rFonts w:ascii="Palatino Linotype" w:eastAsia="Palatino Linotype" w:hAnsi="Palatino Linotype" w:cs="Palatino Linotype"/>
          <w:sz w:val="24"/>
          <w:szCs w:val="24"/>
        </w:rPr>
        <w:t>e la información y comunicación en el marco de los Sistemas Nacional y Estatal de Seguridad Pública, persiguiendo los siguientes fines:</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I. Regular la ubicación, instalación y operación de equipos y sistemas tecnológicos a cargo de las instituciones de segu</w:t>
      </w:r>
      <w:r w:rsidRPr="00B078C8">
        <w:rPr>
          <w:rFonts w:ascii="Palatino Linotype" w:eastAsia="Palatino Linotype" w:hAnsi="Palatino Linotype" w:cs="Palatino Linotype"/>
          <w:sz w:val="24"/>
          <w:szCs w:val="24"/>
        </w:rPr>
        <w:t xml:space="preserve">ridad pública.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II. Contribuir al mantenimiento del orden, la tranquilidad y la estabilidad en la convivencia, así como prevenir situaciones de emergencia o desastre e incrementar la seguridad pública.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III. Regular el uso y resguardo de la información obt</w:t>
      </w:r>
      <w:r w:rsidRPr="00B078C8">
        <w:rPr>
          <w:rFonts w:ascii="Palatino Linotype" w:eastAsia="Palatino Linotype" w:hAnsi="Palatino Linotype" w:cs="Palatino Linotype"/>
          <w:sz w:val="24"/>
          <w:szCs w:val="24"/>
        </w:rPr>
        <w:t xml:space="preserve">enida, a través de equipos y sistemas tecnológicos en las materias de seguridad pública y procuración de justicia.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lastRenderedPageBreak/>
        <w:t>IV. Regular las acciones de análisis de la información obtenida con equipos o sistemas tecnológicos en materia de seguridad pública, para ge</w:t>
      </w:r>
      <w:r w:rsidRPr="00B078C8">
        <w:rPr>
          <w:rFonts w:ascii="Palatino Linotype" w:eastAsia="Palatino Linotype" w:hAnsi="Palatino Linotype" w:cs="Palatino Linotype"/>
          <w:sz w:val="24"/>
          <w:szCs w:val="24"/>
        </w:rPr>
        <w:t xml:space="preserve">nerar inteligencia en la prevención de la delincuencia e infracciones administrativas.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V. Establecer las bases para la estandarización u homologación de los equipos y sistemas tecnológicos en materia de seguridad pública.</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En este sentido, en términos del </w:t>
      </w:r>
      <w:r w:rsidRPr="00B078C8">
        <w:rPr>
          <w:rFonts w:ascii="Palatino Linotype" w:eastAsia="Palatino Linotype" w:hAnsi="Palatino Linotype" w:cs="Palatino Linotype"/>
          <w:sz w:val="24"/>
          <w:szCs w:val="24"/>
        </w:rPr>
        <w:t xml:space="preserve">artículo 3 de la Ley en comento, los equipos y sistemas que integran el “Registro de Equipos y Sistemas Tecnológicos para la Seguridad Pública”, son destinados a prevenir, inhibir y combatir conductas ilícitas para garantizar el orden y la tranquilidad de </w:t>
      </w:r>
      <w:r w:rsidRPr="00B078C8">
        <w:rPr>
          <w:rFonts w:ascii="Palatino Linotype" w:eastAsia="Palatino Linotype" w:hAnsi="Palatino Linotype" w:cs="Palatino Linotype"/>
          <w:sz w:val="24"/>
          <w:szCs w:val="24"/>
        </w:rPr>
        <w:t>los habitantes del Estado de México.</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La instalación de equipos y sistemas de seguridad será previo análisis técnico basado en los criterios y prioridades establecidos en la misma Ley, bajo el acuerdo de la Secretaría de Seguridad Ciudadana del Estado de Mé</w:t>
      </w:r>
      <w:r w:rsidRPr="00B078C8">
        <w:rPr>
          <w:rFonts w:ascii="Palatino Linotype" w:eastAsia="Palatino Linotype" w:hAnsi="Palatino Linotype" w:cs="Palatino Linotype"/>
          <w:sz w:val="24"/>
          <w:szCs w:val="24"/>
        </w:rPr>
        <w:t>xico, el municipio o la dependencia interesada, en los lugares en los cuales sea posible prevenir, inhibir y combatir conductas ilícitas, para garantizar el orden y la tranquilidad de los habitantes del Estado de México, de conformidad con el artículo 12 d</w:t>
      </w:r>
      <w:r w:rsidRPr="00B078C8">
        <w:rPr>
          <w:rFonts w:ascii="Palatino Linotype" w:eastAsia="Palatino Linotype" w:hAnsi="Palatino Linotype" w:cs="Palatino Linotype"/>
          <w:sz w:val="24"/>
          <w:szCs w:val="24"/>
        </w:rPr>
        <w:t>e la referida Ley.</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Como parte de los criterios que se toman en cuenta para la instalación y operación de equipos y sistemas tecnológicos, se encuentran los reconocidos en el artículo 15 de la Ley en cuestión, que atienden a lo siguiente:</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lastRenderedPageBreak/>
        <w:t>I. Zonas escolares</w:t>
      </w:r>
      <w:r w:rsidRPr="00B078C8">
        <w:rPr>
          <w:rFonts w:ascii="Palatino Linotype" w:eastAsia="Palatino Linotype" w:hAnsi="Palatino Linotype" w:cs="Palatino Linotype"/>
          <w:sz w:val="24"/>
          <w:szCs w:val="24"/>
        </w:rPr>
        <w:t xml:space="preserve">, recreativas y lugares de mayor afluencia de público, turismo o comercio.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II. Las áreas públicas de zonas, colonias y demás lugares de concentración o afluencia de personas o tránsito de las mismas, registradas con mayor incidencia delictiva en la estadí</w:t>
      </w:r>
      <w:r w:rsidRPr="00B078C8">
        <w:rPr>
          <w:rFonts w:ascii="Palatino Linotype" w:eastAsia="Palatino Linotype" w:hAnsi="Palatino Linotype" w:cs="Palatino Linotype"/>
          <w:sz w:val="24"/>
          <w:szCs w:val="24"/>
        </w:rPr>
        <w:t xml:space="preserve">stica criminal de las instituciones de seguridad pública, de los municipios o de los sistemas de emergencia 911 y de denuncia anónima 089.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III. Las colonias, manzanas, avenidas, calles y demás lugares que registren los delitos de mayor impacto para la soc</w:t>
      </w:r>
      <w:r w:rsidRPr="00B078C8">
        <w:rPr>
          <w:rFonts w:ascii="Palatino Linotype" w:eastAsia="Palatino Linotype" w:hAnsi="Palatino Linotype" w:cs="Palatino Linotype"/>
          <w:sz w:val="24"/>
          <w:szCs w:val="24"/>
        </w:rPr>
        <w:t xml:space="preserve">iedad.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IV. Las intersecciones viales más conflictivas clasificadas por la Dirección General de Seguridad Pública y Tránsito de la Secretaría o por los municipios.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V. Las zonas con mayor índice de percepción de inseguridad.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VI. Las zonas con mayor vulner</w:t>
      </w:r>
      <w:r w:rsidRPr="00B078C8">
        <w:rPr>
          <w:rFonts w:ascii="Palatino Linotype" w:eastAsia="Palatino Linotype" w:hAnsi="Palatino Linotype" w:cs="Palatino Linotype"/>
          <w:sz w:val="24"/>
          <w:szCs w:val="24"/>
        </w:rPr>
        <w:t xml:space="preserve">abilidad a fenómenos de origen natural o humano identificados en los atlas de riesgo.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VII. Cualquier instrumento de análisis diferente a la prevención, que permita la toma de decisiones en materia de seguridad pública, así como aquella información que pos</w:t>
      </w:r>
      <w:r w:rsidRPr="00B078C8">
        <w:rPr>
          <w:rFonts w:ascii="Palatino Linotype" w:eastAsia="Palatino Linotype" w:hAnsi="Palatino Linotype" w:cs="Palatino Linotype"/>
          <w:sz w:val="24"/>
          <w:szCs w:val="24"/>
        </w:rPr>
        <w:t xml:space="preserve">ibilite su adecuada colocación, para el cumplimiento de sus fines.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VIII. Las zonas registradas con mayor incidencia de infracciones administrativas.</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lastRenderedPageBreak/>
        <w:t xml:space="preserve">Mientras que el Reglamento de la </w:t>
      </w:r>
      <w:r w:rsidRPr="00B078C8">
        <w:rPr>
          <w:rFonts w:ascii="Palatino Linotype" w:eastAsia="Palatino Linotype" w:hAnsi="Palatino Linotype" w:cs="Palatino Linotype"/>
          <w:sz w:val="24"/>
          <w:szCs w:val="24"/>
        </w:rPr>
        <w:t>Ley que Regula el Uso de Tecnologías de la Información y Comunicación para la Seguridad Pública del Estado de México dispone que la Comisión Estatal de Seguridad Ciudadana del Estado de México a través del Centro de Control en coordinación con el municipio</w:t>
      </w:r>
      <w:r w:rsidRPr="00B078C8">
        <w:rPr>
          <w:rFonts w:ascii="Palatino Linotype" w:eastAsia="Palatino Linotype" w:hAnsi="Palatino Linotype" w:cs="Palatino Linotype"/>
          <w:sz w:val="24"/>
          <w:szCs w:val="24"/>
        </w:rPr>
        <w:t xml:space="preserve"> o la dependencia interesada, serán los responsables de realizar los estudios y análisis técnicos necesarios para la colocación, instalación y reubicación de tecnologías, los cuales deberán contener al menos, los puntos siguientes en términos del artículo </w:t>
      </w:r>
      <w:r w:rsidRPr="00B078C8">
        <w:rPr>
          <w:rFonts w:ascii="Palatino Linotype" w:eastAsia="Palatino Linotype" w:hAnsi="Palatino Linotype" w:cs="Palatino Linotype"/>
          <w:sz w:val="24"/>
          <w:szCs w:val="24"/>
        </w:rPr>
        <w:t xml:space="preserve">7: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I. Cumplir con los criterios que establece la Ley, para la colocación, instalación o reubicación de tecnologías.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II. Contribuir a la estrategia tecnológica para seguridad pública. </w:t>
      </w:r>
    </w:p>
    <w:p w:rsidR="00F34FD7" w:rsidRPr="00B078C8" w:rsidRDefault="006F1FF3">
      <w:pPr>
        <w:spacing w:before="240" w:after="240" w:line="360" w:lineRule="auto"/>
        <w:ind w:left="284"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III. </w:t>
      </w:r>
      <w:r w:rsidRPr="00B078C8">
        <w:rPr>
          <w:rFonts w:ascii="Palatino Linotype" w:eastAsia="Palatino Linotype" w:hAnsi="Palatino Linotype" w:cs="Palatino Linotype"/>
          <w:b/>
          <w:sz w:val="24"/>
          <w:szCs w:val="24"/>
        </w:rPr>
        <w:t>Contribuir en la prevención y combate a la delincuencia</w:t>
      </w:r>
      <w:r w:rsidRPr="00B078C8">
        <w:rPr>
          <w:rFonts w:ascii="Palatino Linotype" w:eastAsia="Palatino Linotype" w:hAnsi="Palatino Linotype" w:cs="Palatino Linotype"/>
          <w:sz w:val="24"/>
          <w:szCs w:val="24"/>
        </w:rPr>
        <w:t>.</w:t>
      </w:r>
    </w:p>
    <w:p w:rsidR="00F34FD7" w:rsidRPr="00B078C8" w:rsidRDefault="006F1FF3">
      <w:pPr>
        <w:spacing w:before="240" w:after="240" w:line="360" w:lineRule="auto"/>
        <w:ind w:right="142"/>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Como pa</w:t>
      </w:r>
      <w:r w:rsidRPr="00B078C8">
        <w:rPr>
          <w:rFonts w:ascii="Palatino Linotype" w:eastAsia="Palatino Linotype" w:hAnsi="Palatino Linotype" w:cs="Palatino Linotype"/>
          <w:sz w:val="24"/>
          <w:szCs w:val="24"/>
        </w:rPr>
        <w:t xml:space="preserve">rte de la información que debe registrarse en el inventario de equipos tecnológicos por los Centros de Mando Municipal, se encuentran el número de cámaras de </w:t>
      </w:r>
      <w:proofErr w:type="spellStart"/>
      <w:r w:rsidRPr="00B078C8">
        <w:rPr>
          <w:rFonts w:ascii="Palatino Linotype" w:eastAsia="Palatino Linotype" w:hAnsi="Palatino Linotype" w:cs="Palatino Linotype"/>
          <w:sz w:val="24"/>
          <w:szCs w:val="24"/>
        </w:rPr>
        <w:t>videovigilancia</w:t>
      </w:r>
      <w:proofErr w:type="spellEnd"/>
      <w:r w:rsidRPr="00B078C8">
        <w:rPr>
          <w:rFonts w:ascii="Palatino Linotype" w:eastAsia="Palatino Linotype" w:hAnsi="Palatino Linotype" w:cs="Palatino Linotype"/>
          <w:sz w:val="24"/>
          <w:szCs w:val="24"/>
        </w:rPr>
        <w:t xml:space="preserve">, ubicación con domicilio y georreferencia, marca de cada una, plataforma y equipo </w:t>
      </w:r>
      <w:r w:rsidRPr="00B078C8">
        <w:rPr>
          <w:rFonts w:ascii="Palatino Linotype" w:eastAsia="Palatino Linotype" w:hAnsi="Palatino Linotype" w:cs="Palatino Linotype"/>
          <w:sz w:val="24"/>
          <w:szCs w:val="24"/>
        </w:rPr>
        <w:t>con el que opera; así como los demás sistemas, aplicativos o equipos no contemplados que sean utilizados para la función de seguridad pública.</w:t>
      </w:r>
    </w:p>
    <w:p w:rsidR="00F34FD7" w:rsidRPr="00B078C8" w:rsidRDefault="00163C1B">
      <w:pPr>
        <w:spacing w:before="240" w:after="240" w:line="360" w:lineRule="auto"/>
        <w:ind w:right="142"/>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Aunado a lo anterior</w:t>
      </w:r>
      <w:r w:rsidR="006F1FF3" w:rsidRPr="00B078C8">
        <w:rPr>
          <w:rFonts w:ascii="Palatino Linotype" w:eastAsia="Palatino Linotype" w:hAnsi="Palatino Linotype" w:cs="Palatino Linotype"/>
          <w:sz w:val="24"/>
          <w:szCs w:val="24"/>
        </w:rPr>
        <w:t>, no debe perderse de vista que toda la información recabada por las instituciones de seguridad pública s</w:t>
      </w:r>
      <w:r w:rsidR="006F1FF3" w:rsidRPr="00B078C8">
        <w:rPr>
          <w:rFonts w:ascii="Palatino Linotype" w:eastAsia="Palatino Linotype" w:hAnsi="Palatino Linotype" w:cs="Palatino Linotype"/>
          <w:sz w:val="24"/>
          <w:szCs w:val="24"/>
        </w:rPr>
        <w:t xml:space="preserve">e considera como reservada, cuando su divulgación implique la revelación de normas, procedimientos, métodos, fuentes, </w:t>
      </w:r>
      <w:r w:rsidR="006F1FF3" w:rsidRPr="00B078C8">
        <w:rPr>
          <w:rFonts w:ascii="Palatino Linotype" w:eastAsia="Palatino Linotype" w:hAnsi="Palatino Linotype" w:cs="Palatino Linotype"/>
          <w:sz w:val="24"/>
          <w:szCs w:val="24"/>
        </w:rPr>
        <w:lastRenderedPageBreak/>
        <w:t>especificaciones técnicas, sistemas, tecnología o equipos útiles para la prevención o el combate a la delincuencia o cuando se pueda actua</w:t>
      </w:r>
      <w:r w:rsidR="006F1FF3" w:rsidRPr="00B078C8">
        <w:rPr>
          <w:rFonts w:ascii="Palatino Linotype" w:eastAsia="Palatino Linotype" w:hAnsi="Palatino Linotype" w:cs="Palatino Linotype"/>
          <w:sz w:val="24"/>
          <w:szCs w:val="24"/>
        </w:rPr>
        <w:t>lizar o potenciar una amenaza a la seguridad pública.</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De modo que </w:t>
      </w:r>
      <w:r w:rsidRPr="00B078C8">
        <w:rPr>
          <w:rFonts w:ascii="Palatino Linotype" w:eastAsia="Palatino Linotype" w:hAnsi="Palatino Linotype" w:cs="Palatino Linotype"/>
          <w:sz w:val="24"/>
          <w:szCs w:val="24"/>
        </w:rPr>
        <w:t>si bien es indispensable que la sociedad se haga conocedora de la información requerida, que se encuentra íntimamente relacionada con la erogación de recursos públicos, también</w:t>
      </w:r>
      <w:r w:rsidRPr="00B078C8">
        <w:rPr>
          <w:rFonts w:ascii="Palatino Linotype" w:eastAsia="Palatino Linotype" w:hAnsi="Palatino Linotype" w:cs="Palatino Linotype"/>
          <w:sz w:val="24"/>
          <w:szCs w:val="24"/>
        </w:rPr>
        <w:t xml:space="preserve"> lo es que de hacer pública la ubicación de las cámaras de seguridad o video</w:t>
      </w:r>
      <w:r w:rsidR="0062580A" w:rsidRPr="00B078C8">
        <w:rPr>
          <w:rFonts w:ascii="Palatino Linotype" w:eastAsia="Palatino Linotype" w:hAnsi="Palatino Linotype" w:cs="Palatino Linotype"/>
          <w:sz w:val="24"/>
          <w:szCs w:val="24"/>
        </w:rPr>
        <w:t xml:space="preserve"> </w:t>
      </w:r>
      <w:r w:rsidRPr="00B078C8">
        <w:rPr>
          <w:rFonts w:ascii="Palatino Linotype" w:eastAsia="Palatino Linotype" w:hAnsi="Palatino Linotype" w:cs="Palatino Linotype"/>
          <w:sz w:val="24"/>
          <w:szCs w:val="24"/>
        </w:rPr>
        <w:t>vigilancia, así como las alarmas vecinales, implica un riesgo a los objetivos y fines de la seguridad pública municipal y pudiera causar un perjuicio y daño sustancial a los intere</w:t>
      </w:r>
      <w:r w:rsidRPr="00B078C8">
        <w:rPr>
          <w:rFonts w:ascii="Palatino Linotype" w:eastAsia="Palatino Linotype" w:hAnsi="Palatino Linotype" w:cs="Palatino Linotype"/>
          <w:sz w:val="24"/>
          <w:szCs w:val="24"/>
        </w:rPr>
        <w:t>ses sociales protegidos, además de que puede causar un detrimento al patrimonio, puesto que dichos dispositivos de seguridad pueden ser afectados por personas que cometen conductas contrarias a derecho, al ser dichos sistemas clave para el adecuado funcion</w:t>
      </w:r>
      <w:r w:rsidRPr="00B078C8">
        <w:rPr>
          <w:rFonts w:ascii="Palatino Linotype" w:eastAsia="Palatino Linotype" w:hAnsi="Palatino Linotype" w:cs="Palatino Linotype"/>
          <w:sz w:val="24"/>
          <w:szCs w:val="24"/>
        </w:rPr>
        <w:t>amiento de la estrategia de seguridad pública y prevención del delito, colocando al Estado en desventaja.</w:t>
      </w:r>
    </w:p>
    <w:p w:rsidR="00DB0FFB" w:rsidRPr="00B078C8" w:rsidRDefault="00DB0FFB">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En este sentido, considero que la información que se analiza </w:t>
      </w:r>
      <w:r w:rsidR="006F1FF3" w:rsidRPr="00B078C8">
        <w:rPr>
          <w:rFonts w:ascii="Palatino Linotype" w:eastAsia="Palatino Linotype" w:hAnsi="Palatino Linotype" w:cs="Palatino Linotype"/>
          <w:sz w:val="24"/>
          <w:szCs w:val="24"/>
        </w:rPr>
        <w:t>pudiera actualizar la causal de clasificación prevista en</w:t>
      </w:r>
      <w:r w:rsidR="00163C1B" w:rsidRPr="00B078C8">
        <w:rPr>
          <w:rFonts w:ascii="Palatino Linotype" w:eastAsia="Palatino Linotype" w:hAnsi="Palatino Linotype" w:cs="Palatino Linotype"/>
          <w:sz w:val="24"/>
          <w:szCs w:val="24"/>
        </w:rPr>
        <w:t xml:space="preserve"> el artículo 140, fracción I de la Ley de Transparencia y Acceso a la Información Pública del</w:t>
      </w:r>
      <w:r w:rsidRPr="00B078C8">
        <w:rPr>
          <w:rFonts w:ascii="Palatino Linotype" w:eastAsia="Palatino Linotype" w:hAnsi="Palatino Linotype" w:cs="Palatino Linotype"/>
          <w:sz w:val="24"/>
          <w:szCs w:val="24"/>
        </w:rPr>
        <w:t xml:space="preserve"> Estado de México y Municipios, en relación con el artículo 113, fracción I y el lineamiento Décimo Octavo de los Lineamientos Generales de Clasificación y Desclasificación de la Información, así como para la elaboración de versiones públicas, </w:t>
      </w:r>
      <w:r w:rsidR="0083266B" w:rsidRPr="00B078C8">
        <w:rPr>
          <w:rFonts w:ascii="Palatino Linotype" w:eastAsia="Palatino Linotype" w:hAnsi="Palatino Linotype" w:cs="Palatino Linotype"/>
          <w:sz w:val="24"/>
          <w:szCs w:val="24"/>
        </w:rPr>
        <w:t>a saber</w:t>
      </w:r>
      <w:r w:rsidRPr="00B078C8">
        <w:rPr>
          <w:rFonts w:ascii="Palatino Linotype" w:eastAsia="Palatino Linotype" w:hAnsi="Palatino Linotype" w:cs="Palatino Linotype"/>
          <w:sz w:val="24"/>
          <w:szCs w:val="24"/>
        </w:rPr>
        <w:t>:</w:t>
      </w:r>
    </w:p>
    <w:p w:rsidR="00DB0FFB" w:rsidRPr="00B078C8" w:rsidRDefault="00DB0FFB" w:rsidP="00DB0FFB">
      <w:pPr>
        <w:spacing w:before="120" w:after="120" w:line="240" w:lineRule="auto"/>
        <w:ind w:left="851" w:right="992"/>
        <w:jc w:val="both"/>
        <w:rPr>
          <w:rFonts w:ascii="Palatino Linotype" w:hAnsi="Palatino Linotype"/>
          <w:i/>
        </w:rPr>
      </w:pPr>
      <w:r w:rsidRPr="00B078C8">
        <w:rPr>
          <w:rFonts w:ascii="Palatino Linotype" w:eastAsia="Palatino Linotype" w:hAnsi="Palatino Linotype" w:cs="Palatino Linotype"/>
          <w:i/>
        </w:rPr>
        <w:lastRenderedPageBreak/>
        <w:t xml:space="preserve"> “</w:t>
      </w:r>
      <w:r w:rsidRPr="00B078C8">
        <w:rPr>
          <w:rFonts w:ascii="Palatino Linotype" w:hAnsi="Palatino Linotype"/>
          <w:b/>
          <w:i/>
        </w:rPr>
        <w:t>Artículo 140.</w:t>
      </w:r>
      <w:r w:rsidRPr="00B078C8">
        <w:rPr>
          <w:rFonts w:ascii="Palatino Linotype" w:hAnsi="Palatino Linotype"/>
          <w:i/>
        </w:rPr>
        <w:t xml:space="preserve"> El acceso a la información pública será restringido excepcionalmente, cuando por razones de interés público, ésta sea clasificada como reservada, conforme a los criterios siguientes: </w:t>
      </w:r>
    </w:p>
    <w:p w:rsidR="00DB0FFB" w:rsidRPr="00B078C8" w:rsidRDefault="00DB0FFB" w:rsidP="00DB0FFB">
      <w:pPr>
        <w:spacing w:before="120" w:after="120" w:line="240" w:lineRule="auto"/>
        <w:ind w:left="1134" w:right="992"/>
        <w:jc w:val="both"/>
        <w:rPr>
          <w:rFonts w:ascii="Palatino Linotype" w:hAnsi="Palatino Linotype"/>
          <w:i/>
        </w:rPr>
      </w:pPr>
      <w:r w:rsidRPr="00B078C8">
        <w:rPr>
          <w:rFonts w:ascii="Palatino Linotype" w:hAnsi="Palatino Linotype"/>
          <w:b/>
          <w:i/>
        </w:rPr>
        <w:t>I.</w:t>
      </w:r>
      <w:r w:rsidRPr="00B078C8">
        <w:rPr>
          <w:rFonts w:ascii="Palatino Linotype" w:hAnsi="Palatino Linotype"/>
          <w:i/>
        </w:rPr>
        <w:t xml:space="preserve"> Comprometa la seguridad pública y cuente con un propósito genuino y un efecto demostrable;</w:t>
      </w:r>
      <w:r w:rsidRPr="00B078C8">
        <w:rPr>
          <w:rFonts w:ascii="Palatino Linotype" w:hAnsi="Palatino Linotype"/>
          <w:i/>
        </w:rPr>
        <w:t>”</w:t>
      </w:r>
    </w:p>
    <w:p w:rsidR="00DB0FFB" w:rsidRPr="00B078C8" w:rsidRDefault="00DB0FFB" w:rsidP="00DB0FFB">
      <w:pPr>
        <w:spacing w:before="120" w:after="120" w:line="240" w:lineRule="auto"/>
        <w:ind w:left="851" w:right="992"/>
        <w:jc w:val="both"/>
        <w:rPr>
          <w:rFonts w:ascii="Palatino Linotype" w:hAnsi="Palatino Linotype"/>
          <w:i/>
        </w:rPr>
      </w:pPr>
      <w:r w:rsidRPr="00B078C8">
        <w:rPr>
          <w:rFonts w:ascii="Palatino Linotype" w:hAnsi="Palatino Linotype"/>
          <w:i/>
        </w:rPr>
        <w:t>“</w:t>
      </w:r>
      <w:r w:rsidRPr="00B078C8">
        <w:rPr>
          <w:rFonts w:ascii="Palatino Linotype" w:hAnsi="Palatino Linotype"/>
          <w:b/>
          <w:i/>
        </w:rPr>
        <w:t>Artículo 113</w:t>
      </w:r>
      <w:r w:rsidRPr="00B078C8">
        <w:rPr>
          <w:rFonts w:ascii="Palatino Linotype" w:hAnsi="Palatino Linotype"/>
          <w:i/>
        </w:rPr>
        <w:t xml:space="preserve">. Como información reservada podrá clasificarse aquella cuya publicación: </w:t>
      </w:r>
    </w:p>
    <w:p w:rsidR="00DB0FFB" w:rsidRPr="00B078C8" w:rsidRDefault="00DB0FFB" w:rsidP="00DB0FFB">
      <w:pPr>
        <w:spacing w:before="120" w:after="120" w:line="240" w:lineRule="auto"/>
        <w:ind w:left="1134" w:right="992"/>
        <w:jc w:val="both"/>
        <w:rPr>
          <w:rFonts w:ascii="Palatino Linotype" w:hAnsi="Palatino Linotype"/>
          <w:i/>
        </w:rPr>
      </w:pPr>
      <w:r w:rsidRPr="00B078C8">
        <w:rPr>
          <w:rFonts w:ascii="Palatino Linotype" w:hAnsi="Palatino Linotype"/>
          <w:b/>
          <w:i/>
        </w:rPr>
        <w:t>I</w:t>
      </w:r>
      <w:r w:rsidRPr="00B078C8">
        <w:rPr>
          <w:rFonts w:ascii="Palatino Linotype" w:hAnsi="Palatino Linotype"/>
          <w:i/>
        </w:rPr>
        <w:t>. Comprometa la seguridad nacional, la seguridad pública o la defensa nacional y cuente con un propósito genuino y un efecto demostrable;</w:t>
      </w:r>
      <w:r w:rsidRPr="00B078C8">
        <w:rPr>
          <w:rFonts w:ascii="Palatino Linotype" w:hAnsi="Palatino Linotype"/>
          <w:i/>
        </w:rPr>
        <w:t>”</w:t>
      </w:r>
    </w:p>
    <w:p w:rsidR="00DB0FFB" w:rsidRPr="00B078C8" w:rsidRDefault="00DB0FFB" w:rsidP="00DB0FFB">
      <w:pPr>
        <w:spacing w:before="120" w:after="120" w:line="240" w:lineRule="auto"/>
        <w:ind w:left="851" w:right="992"/>
        <w:jc w:val="both"/>
        <w:rPr>
          <w:rFonts w:ascii="Palatino Linotype" w:hAnsi="Palatino Linotype"/>
          <w:i/>
        </w:rPr>
      </w:pPr>
      <w:r w:rsidRPr="00B078C8">
        <w:rPr>
          <w:rFonts w:ascii="Palatino Linotype" w:eastAsia="Palatino Linotype" w:hAnsi="Palatino Linotype" w:cs="Palatino Linotype"/>
          <w:i/>
        </w:rPr>
        <w:t>“</w:t>
      </w:r>
      <w:r w:rsidRPr="00B078C8">
        <w:rPr>
          <w:rFonts w:ascii="Palatino Linotype" w:hAnsi="Palatino Linotype"/>
          <w:b/>
          <w:i/>
        </w:rPr>
        <w:t>Décimo octavo</w:t>
      </w:r>
      <w:r w:rsidRPr="00B078C8">
        <w:rPr>
          <w:rFonts w:ascii="Palatino Linotype" w:hAnsi="Palatino Linotype"/>
          <w:i/>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rsidR="00DB0FFB" w:rsidRPr="00B078C8" w:rsidRDefault="00DB0FFB" w:rsidP="00DB0FFB">
      <w:pPr>
        <w:spacing w:before="120" w:after="120" w:line="240" w:lineRule="auto"/>
        <w:ind w:left="851" w:right="992"/>
        <w:jc w:val="both"/>
        <w:rPr>
          <w:rFonts w:ascii="Palatino Linotype" w:hAnsi="Palatino Linotype"/>
          <w:i/>
        </w:rPr>
      </w:pPr>
      <w:r w:rsidRPr="00B078C8">
        <w:rPr>
          <w:rFonts w:ascii="Palatino Linotype" w:hAnsi="Palatino Linotype"/>
          <w:i/>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rsidR="00DB0FFB" w:rsidRPr="00B078C8" w:rsidRDefault="00DB0FFB" w:rsidP="00DB0FFB">
      <w:pPr>
        <w:spacing w:before="120" w:after="120" w:line="240" w:lineRule="auto"/>
        <w:ind w:left="851" w:right="992"/>
        <w:jc w:val="both"/>
        <w:rPr>
          <w:rFonts w:ascii="Palatino Linotype" w:eastAsia="Palatino Linotype" w:hAnsi="Palatino Linotype" w:cs="Palatino Linotype"/>
          <w:i/>
        </w:rPr>
      </w:pPr>
      <w:r w:rsidRPr="00B078C8">
        <w:rPr>
          <w:rFonts w:ascii="Palatino Linotype" w:hAnsi="Palatino Linotype"/>
          <w:i/>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r w:rsidRPr="00B078C8">
        <w:rPr>
          <w:rFonts w:ascii="Palatino Linotype" w:hAnsi="Palatino Linotype"/>
          <w:i/>
        </w:rPr>
        <w:t>”</w:t>
      </w:r>
    </w:p>
    <w:p w:rsidR="00F34FD7" w:rsidRPr="00B078C8" w:rsidRDefault="0083266B">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Como se advierte, d</w:t>
      </w:r>
      <w:r w:rsidR="00E9012F" w:rsidRPr="00B078C8">
        <w:rPr>
          <w:rFonts w:ascii="Palatino Linotype" w:eastAsia="Palatino Linotype" w:hAnsi="Palatino Linotype" w:cs="Palatino Linotype"/>
          <w:sz w:val="24"/>
          <w:szCs w:val="24"/>
        </w:rPr>
        <w:t>e dichos preceptos normativos se desprende que podrá ser clasificada como información reservada aquella cuya publicación y divulgación comprometa la seguridad pú</w:t>
      </w:r>
      <w:r w:rsidR="00C25EDD" w:rsidRPr="00B078C8">
        <w:rPr>
          <w:rFonts w:ascii="Palatino Linotype" w:eastAsia="Palatino Linotype" w:hAnsi="Palatino Linotype" w:cs="Palatino Linotype"/>
          <w:sz w:val="24"/>
          <w:szCs w:val="24"/>
        </w:rPr>
        <w:t>blica.</w:t>
      </w:r>
    </w:p>
    <w:p w:rsidR="00F34FD7" w:rsidRPr="00B078C8" w:rsidRDefault="0083266B">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Por lo tanto, </w:t>
      </w:r>
      <w:r w:rsidR="00A90093" w:rsidRPr="00B078C8">
        <w:rPr>
          <w:rFonts w:ascii="Palatino Linotype" w:eastAsia="Palatino Linotype" w:hAnsi="Palatino Linotype" w:cs="Palatino Linotype"/>
          <w:sz w:val="24"/>
          <w:szCs w:val="24"/>
        </w:rPr>
        <w:t xml:space="preserve">al considerar que </w:t>
      </w:r>
      <w:r w:rsidR="00A90093" w:rsidRPr="00B078C8">
        <w:rPr>
          <w:rFonts w:ascii="Palatino Linotype" w:eastAsia="Palatino Linotype" w:hAnsi="Palatino Linotype" w:cs="Palatino Linotype"/>
          <w:sz w:val="24"/>
          <w:szCs w:val="24"/>
        </w:rPr>
        <w:t xml:space="preserve">las cámaras de video vigilancia y las alarmas vecinales </w:t>
      </w:r>
      <w:r w:rsidR="00A90093" w:rsidRPr="00B078C8">
        <w:rPr>
          <w:rFonts w:ascii="Palatino Linotype" w:eastAsia="Palatino Linotype" w:hAnsi="Palatino Linotype" w:cs="Palatino Linotype"/>
          <w:sz w:val="24"/>
          <w:szCs w:val="24"/>
        </w:rPr>
        <w:t xml:space="preserve">son herramientas que favorecen la seguridad pública y la prevención del </w:t>
      </w:r>
      <w:r w:rsidR="00A90093" w:rsidRPr="00B078C8">
        <w:rPr>
          <w:rFonts w:ascii="Palatino Linotype" w:eastAsia="Palatino Linotype" w:hAnsi="Palatino Linotype" w:cs="Palatino Linotype"/>
          <w:sz w:val="24"/>
          <w:szCs w:val="24"/>
        </w:rPr>
        <w:lastRenderedPageBreak/>
        <w:t>delito</w:t>
      </w:r>
      <w:r w:rsidR="00A90093" w:rsidRPr="00B078C8">
        <w:rPr>
          <w:rFonts w:ascii="Palatino Linotype" w:eastAsia="Palatino Linotype" w:hAnsi="Palatino Linotype" w:cs="Palatino Linotype"/>
          <w:sz w:val="24"/>
          <w:szCs w:val="24"/>
        </w:rPr>
        <w:t xml:space="preserve">, </w:t>
      </w:r>
      <w:r w:rsidRPr="00B078C8">
        <w:rPr>
          <w:rFonts w:ascii="Palatino Linotype" w:eastAsia="Palatino Linotype" w:hAnsi="Palatino Linotype" w:cs="Palatino Linotype"/>
          <w:sz w:val="24"/>
          <w:szCs w:val="24"/>
        </w:rPr>
        <w:t xml:space="preserve">estimo que en la resolución </w:t>
      </w:r>
      <w:r w:rsidR="00A90093" w:rsidRPr="00B078C8">
        <w:rPr>
          <w:rFonts w:ascii="Palatino Linotype" w:eastAsia="Palatino Linotype" w:hAnsi="Palatino Linotype" w:cs="Palatino Linotype"/>
          <w:sz w:val="24"/>
          <w:szCs w:val="24"/>
        </w:rPr>
        <w:t>de mérito se debió contemplar l</w:t>
      </w:r>
      <w:r w:rsidRPr="00B078C8">
        <w:rPr>
          <w:rFonts w:ascii="Palatino Linotype" w:eastAsia="Palatino Linotype" w:hAnsi="Palatino Linotype" w:cs="Palatino Linotype"/>
          <w:sz w:val="24"/>
          <w:szCs w:val="24"/>
        </w:rPr>
        <w:t>a clasificación de la ubicación</w:t>
      </w:r>
      <w:r w:rsidR="00A90093" w:rsidRPr="00B078C8">
        <w:rPr>
          <w:rFonts w:ascii="Palatino Linotype" w:eastAsia="Palatino Linotype" w:hAnsi="Palatino Linotype" w:cs="Palatino Linotype"/>
          <w:sz w:val="24"/>
          <w:szCs w:val="24"/>
        </w:rPr>
        <w:t xml:space="preserve"> dichos sistemas </w:t>
      </w:r>
      <w:r w:rsidR="00A90093" w:rsidRPr="00B078C8">
        <w:rPr>
          <w:rFonts w:ascii="Palatino Linotype" w:eastAsia="Palatino Linotype" w:hAnsi="Palatino Linotype" w:cs="Palatino Linotype"/>
          <w:sz w:val="24"/>
          <w:szCs w:val="24"/>
        </w:rPr>
        <w:t>como información reservada</w:t>
      </w:r>
      <w:r w:rsidR="00A90093" w:rsidRPr="00B078C8">
        <w:rPr>
          <w:rFonts w:ascii="Palatino Linotype" w:eastAsia="Palatino Linotype" w:hAnsi="Palatino Linotype" w:cs="Palatino Linotype"/>
          <w:sz w:val="24"/>
          <w:szCs w:val="24"/>
        </w:rPr>
        <w:t>,</w:t>
      </w:r>
      <w:r w:rsidR="0062580A" w:rsidRPr="00B078C8">
        <w:rPr>
          <w:rFonts w:ascii="Palatino Linotype" w:eastAsia="Palatino Linotype" w:hAnsi="Palatino Linotype" w:cs="Palatino Linotype"/>
          <w:sz w:val="24"/>
          <w:szCs w:val="24"/>
        </w:rPr>
        <w:t xml:space="preserve"> </w:t>
      </w:r>
      <w:r w:rsidR="00A90093" w:rsidRPr="00B078C8">
        <w:rPr>
          <w:rFonts w:ascii="Palatino Linotype" w:eastAsia="Palatino Linotype" w:hAnsi="Palatino Linotype" w:cs="Palatino Linotype"/>
          <w:sz w:val="24"/>
          <w:szCs w:val="24"/>
        </w:rPr>
        <w:t>pues su</w:t>
      </w:r>
      <w:r w:rsidR="006F1FF3" w:rsidRPr="00B078C8">
        <w:rPr>
          <w:rFonts w:ascii="Palatino Linotype" w:eastAsia="Palatino Linotype" w:hAnsi="Palatino Linotype" w:cs="Palatino Linotype"/>
          <w:sz w:val="24"/>
          <w:szCs w:val="24"/>
        </w:rPr>
        <w:t xml:space="preserve"> </w:t>
      </w:r>
      <w:r w:rsidR="006F1FF3" w:rsidRPr="00B078C8">
        <w:rPr>
          <w:rFonts w:ascii="Palatino Linotype" w:eastAsia="Palatino Linotype" w:hAnsi="Palatino Linotype" w:cs="Palatino Linotype"/>
          <w:sz w:val="24"/>
          <w:szCs w:val="24"/>
        </w:rPr>
        <w:t>divulgación</w:t>
      </w:r>
      <w:r w:rsidR="00A90093" w:rsidRPr="00B078C8">
        <w:rPr>
          <w:rFonts w:ascii="Palatino Linotype" w:eastAsia="Palatino Linotype" w:hAnsi="Palatino Linotype" w:cs="Palatino Linotype"/>
          <w:sz w:val="24"/>
          <w:szCs w:val="24"/>
        </w:rPr>
        <w:t xml:space="preserve">, desde mi perspectiva, </w:t>
      </w:r>
      <w:r w:rsidR="006F1FF3" w:rsidRPr="00B078C8">
        <w:rPr>
          <w:rFonts w:ascii="Palatino Linotype" w:eastAsia="Palatino Linotype" w:hAnsi="Palatino Linotype" w:cs="Palatino Linotype"/>
          <w:sz w:val="24"/>
          <w:szCs w:val="24"/>
        </w:rPr>
        <w:t>implica</w:t>
      </w:r>
      <w:r w:rsidR="00A90093" w:rsidRPr="00B078C8">
        <w:rPr>
          <w:rFonts w:ascii="Palatino Linotype" w:eastAsia="Palatino Linotype" w:hAnsi="Palatino Linotype" w:cs="Palatino Linotype"/>
          <w:sz w:val="24"/>
          <w:szCs w:val="24"/>
        </w:rPr>
        <w:t>ría</w:t>
      </w:r>
      <w:r w:rsidR="006F1FF3" w:rsidRPr="00B078C8">
        <w:rPr>
          <w:rFonts w:ascii="Palatino Linotype" w:eastAsia="Palatino Linotype" w:hAnsi="Palatino Linotype" w:cs="Palatino Linotype"/>
          <w:sz w:val="24"/>
          <w:szCs w:val="24"/>
        </w:rPr>
        <w:t xml:space="preserve"> la revelación de tecnología o equipos útiles a generación de inteligencia para la seguridad pública o combate a la delincuencia, causando un daño sustancial a los intereses sociales protegidos, </w:t>
      </w:r>
      <w:r w:rsidR="00A90093" w:rsidRPr="00B078C8">
        <w:rPr>
          <w:rFonts w:ascii="Palatino Linotype" w:eastAsia="Palatino Linotype" w:hAnsi="Palatino Linotype" w:cs="Palatino Linotype"/>
          <w:sz w:val="24"/>
          <w:szCs w:val="24"/>
        </w:rPr>
        <w:t xml:space="preserve">ya que </w:t>
      </w:r>
      <w:r w:rsidR="006F1FF3" w:rsidRPr="00B078C8">
        <w:rPr>
          <w:rFonts w:ascii="Palatino Linotype" w:eastAsia="Palatino Linotype" w:hAnsi="Palatino Linotype" w:cs="Palatino Linotype"/>
          <w:sz w:val="24"/>
          <w:szCs w:val="24"/>
        </w:rPr>
        <w:t>de ser evidente la ubicación de dichas herramientas, se puede obstruir la prevención o persecución de los delitos.</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 xml:space="preserve">Por lo que si bien, pudiera tratarse de información que genera, posee o administra el </w:t>
      </w:r>
      <w:r w:rsidRPr="00B078C8">
        <w:rPr>
          <w:rFonts w:ascii="Palatino Linotype" w:eastAsia="Palatino Linotype" w:hAnsi="Palatino Linotype" w:cs="Palatino Linotype"/>
          <w:b/>
          <w:sz w:val="24"/>
          <w:szCs w:val="24"/>
        </w:rPr>
        <w:t>Sujeto Obligado</w:t>
      </w:r>
      <w:r w:rsidRPr="00B078C8">
        <w:rPr>
          <w:rFonts w:ascii="Palatino Linotype" w:eastAsia="Palatino Linotype" w:hAnsi="Palatino Linotype" w:cs="Palatino Linotype"/>
          <w:sz w:val="24"/>
          <w:szCs w:val="24"/>
        </w:rPr>
        <w:t>, existen excepciones al prin</w:t>
      </w:r>
      <w:r w:rsidRPr="00B078C8">
        <w:rPr>
          <w:rFonts w:ascii="Palatino Linotype" w:eastAsia="Palatino Linotype" w:hAnsi="Palatino Linotype" w:cs="Palatino Linotype"/>
          <w:sz w:val="24"/>
          <w:szCs w:val="24"/>
        </w:rPr>
        <w:t>cipio de máxima publicidad, justificado bajo determinadas circunstancias.</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Apoya lo anterior, la tesis del rubro y texto siguiente, de la Suprema Corte de Justicia de la Nación:</w:t>
      </w:r>
    </w:p>
    <w:p w:rsidR="00F34FD7" w:rsidRPr="00B078C8" w:rsidRDefault="006F1FF3">
      <w:pPr>
        <w:spacing w:before="240" w:after="240" w:line="240" w:lineRule="auto"/>
        <w:ind w:left="851" w:right="990"/>
        <w:jc w:val="both"/>
        <w:rPr>
          <w:rFonts w:ascii="Palatino Linotype" w:eastAsia="Palatino Linotype" w:hAnsi="Palatino Linotype" w:cs="Palatino Linotype"/>
          <w:i/>
        </w:rPr>
      </w:pPr>
      <w:r w:rsidRPr="00B078C8">
        <w:rPr>
          <w:rFonts w:ascii="Palatino Linotype" w:eastAsia="Palatino Linotype" w:hAnsi="Palatino Linotype" w:cs="Palatino Linotype"/>
          <w:i/>
        </w:rPr>
        <w:t>“</w:t>
      </w:r>
      <w:r w:rsidRPr="00B078C8">
        <w:rPr>
          <w:rFonts w:ascii="Palatino Linotype" w:eastAsia="Palatino Linotype" w:hAnsi="Palatino Linotype" w:cs="Palatino Linotype"/>
          <w:b/>
          <w:i/>
        </w:rPr>
        <w:t>ACCESO A LA INFORMACIÓN. IMPLICACIÓN DEL PRINCIPIO DE MÁXIMA PUBLICIDAD EN EL DERECHO FUNDAMENTAL RELATIVO</w:t>
      </w:r>
      <w:r w:rsidRPr="00B078C8">
        <w:rPr>
          <w:rFonts w:ascii="Palatino Linotype" w:eastAsia="Palatino Linotype" w:hAnsi="Palatino Linotype" w:cs="Palatino Linotype"/>
          <w:i/>
        </w:rPr>
        <w:t>. Del artículo 6o. de la Constitución Política de los Estados Unidos Mexicanos se advierte que el Estado Mexicano está constreñido a publicitar sus ac</w:t>
      </w:r>
      <w:r w:rsidRPr="00B078C8">
        <w:rPr>
          <w:rFonts w:ascii="Palatino Linotype" w:eastAsia="Palatino Linotype" w:hAnsi="Palatino Linotype" w:cs="Palatino Linotype"/>
          <w:i/>
        </w:rPr>
        <w:t xml:space="preserve">tos, pues se reconoce el derecho fundamental de los ciudadanos a acceder a la información que obra en poder de la autoridad, que como lo ha expuesto el Pleno de la Suprema Corte de Justicia de la Nación en la tesis P./J. 54/2008, publicada en el Semanario </w:t>
      </w:r>
      <w:r w:rsidRPr="00B078C8">
        <w:rPr>
          <w:rFonts w:ascii="Palatino Linotype" w:eastAsia="Palatino Linotype" w:hAnsi="Palatino Linotype" w:cs="Palatino Linotype"/>
          <w:i/>
        </w:rPr>
        <w:t>Judicial de la Federación y su Gaceta, Novena Época, Tomo XXVII, junio de 2008, página 743, de rubro: "ACCESO A LA INFORMACIÓN. SU NATURALEZA COMO GARANTÍAS INDIVIDUAL Y SOCIAL.", contiene una doble dimensión: individual y social. En su primer aspecto, cum</w:t>
      </w:r>
      <w:r w:rsidRPr="00B078C8">
        <w:rPr>
          <w:rFonts w:ascii="Palatino Linotype" w:eastAsia="Palatino Linotype" w:hAnsi="Palatino Linotype" w:cs="Palatino Linotype"/>
          <w:i/>
        </w:rPr>
        <w:t xml:space="preserve">ple con la función de maximizar el campo de la autonomía personal, posibilitando el ejercicio de la libertad de expresión en un contexto de mayor diversidad de datos, voces y opiniones, mientras que en el segundo, brinda un </w:t>
      </w:r>
      <w:r w:rsidRPr="00B078C8">
        <w:rPr>
          <w:rFonts w:ascii="Palatino Linotype" w:eastAsia="Palatino Linotype" w:hAnsi="Palatino Linotype" w:cs="Palatino Linotype"/>
          <w:i/>
        </w:rPr>
        <w:lastRenderedPageBreak/>
        <w:t>derecho colectivo o social que t</w:t>
      </w:r>
      <w:r w:rsidRPr="00B078C8">
        <w:rPr>
          <w:rFonts w:ascii="Palatino Linotype" w:eastAsia="Palatino Linotype" w:hAnsi="Palatino Linotype" w:cs="Palatino Linotype"/>
          <w:i/>
        </w:rPr>
        <w:t>iende a revelar el empleo instrumental de la información no sólo como factor de autorrealización personal, sino como un mecanismo de control institucional, pues se trata de un derecho fundado en una de las características principales del gobierno republica</w:t>
      </w:r>
      <w:r w:rsidRPr="00B078C8">
        <w:rPr>
          <w:rFonts w:ascii="Palatino Linotype" w:eastAsia="Palatino Linotype" w:hAnsi="Palatino Linotype" w:cs="Palatino Linotype"/>
          <w:i/>
        </w:rPr>
        <w:t>no, que es la publicidad de los actos de gobierno y la transparencia en el actuar de la administración, conducente y necesaria para la rendición de cuentas. Por ello, el principio de máxima publicidad incorporado en el texto constitucional, implica para cu</w:t>
      </w:r>
      <w:r w:rsidRPr="00B078C8">
        <w:rPr>
          <w:rFonts w:ascii="Palatino Linotype" w:eastAsia="Palatino Linotype" w:hAnsi="Palatino Linotype" w:cs="Palatino Linotype"/>
          <w:i/>
        </w:rPr>
        <w:t>alquier autoridad, realizar un manejo de la información bajo la premisa inicial que toda ella es pública y sólo por excepción, en los casos expresamente previstos en la legislación secundaria y justificados bajo determinadas circunstancias, se podrá clasif</w:t>
      </w:r>
      <w:r w:rsidRPr="00B078C8">
        <w:rPr>
          <w:rFonts w:ascii="Palatino Linotype" w:eastAsia="Palatino Linotype" w:hAnsi="Palatino Linotype" w:cs="Palatino Linotype"/>
          <w:i/>
        </w:rPr>
        <w:t>icar como confidencial o reservada, esto es, considerarla con una calidad diversa.”</w:t>
      </w:r>
    </w:p>
    <w:p w:rsidR="00F34FD7" w:rsidRPr="00B078C8" w:rsidRDefault="006F1FF3">
      <w:pPr>
        <w:spacing w:before="240" w:after="240" w:line="360" w:lineRule="auto"/>
        <w:ind w:right="140"/>
        <w:jc w:val="both"/>
        <w:rPr>
          <w:rFonts w:ascii="Palatino Linotype" w:eastAsia="Palatino Linotype" w:hAnsi="Palatino Linotype" w:cs="Palatino Linotype"/>
          <w:sz w:val="24"/>
          <w:szCs w:val="24"/>
        </w:rPr>
      </w:pPr>
      <w:r w:rsidRPr="00B078C8">
        <w:rPr>
          <w:rFonts w:ascii="Palatino Linotype" w:eastAsia="Palatino Linotype" w:hAnsi="Palatino Linotype" w:cs="Palatino Linotype"/>
          <w:sz w:val="24"/>
          <w:szCs w:val="24"/>
        </w:rPr>
        <w:t>Por último, la rendición de cuentas por cuanto hace al ejercicio de recursos públicos para la adquisición de estos bienes, se verificará principalmente a partir de si los p</w:t>
      </w:r>
      <w:r w:rsidRPr="00B078C8">
        <w:rPr>
          <w:rFonts w:ascii="Palatino Linotype" w:eastAsia="Palatino Linotype" w:hAnsi="Palatino Linotype" w:cs="Palatino Linotype"/>
          <w:sz w:val="24"/>
          <w:szCs w:val="24"/>
        </w:rPr>
        <w:t>rocedimientos adquisitivos se llevaron conforma a la Ley de Contratación Pública del</w:t>
      </w:r>
      <w:r w:rsidR="003137E5">
        <w:rPr>
          <w:rFonts w:ascii="Palatino Linotype" w:eastAsia="Palatino Linotype" w:hAnsi="Palatino Linotype" w:cs="Palatino Linotype"/>
          <w:sz w:val="24"/>
          <w:szCs w:val="24"/>
        </w:rPr>
        <w:t xml:space="preserve"> Estado de México y Municipios,</w:t>
      </w:r>
      <w:r w:rsidRPr="00B078C8">
        <w:rPr>
          <w:rFonts w:ascii="Palatino Linotype" w:eastAsia="Palatino Linotype" w:hAnsi="Palatino Linotype" w:cs="Palatino Linotype"/>
          <w:sz w:val="24"/>
          <w:szCs w:val="24"/>
        </w:rPr>
        <w:t xml:space="preserve"> y su Reglamento, por lo que</w:t>
      </w:r>
      <w:r w:rsidR="003137E5">
        <w:rPr>
          <w:rFonts w:ascii="Palatino Linotype" w:eastAsia="Palatino Linotype" w:hAnsi="Palatino Linotype" w:cs="Palatino Linotype"/>
          <w:sz w:val="24"/>
          <w:szCs w:val="24"/>
        </w:rPr>
        <w:t xml:space="preserve"> considero que</w:t>
      </w:r>
      <w:r w:rsidRPr="00B078C8">
        <w:rPr>
          <w:rFonts w:ascii="Palatino Linotype" w:eastAsia="Palatino Linotype" w:hAnsi="Palatino Linotype" w:cs="Palatino Linotype"/>
          <w:sz w:val="24"/>
          <w:szCs w:val="24"/>
        </w:rPr>
        <w:t xml:space="preserve"> el documento idóneo para transparentar la erogación de recurso público será la factura que </w:t>
      </w:r>
      <w:r w:rsidR="00A90093" w:rsidRPr="00B078C8">
        <w:rPr>
          <w:rFonts w:ascii="Palatino Linotype" w:eastAsia="Palatino Linotype" w:hAnsi="Palatino Linotype" w:cs="Palatino Linotype"/>
          <w:sz w:val="24"/>
          <w:szCs w:val="24"/>
        </w:rPr>
        <w:t>dé</w:t>
      </w:r>
      <w:r w:rsidRPr="00B078C8">
        <w:rPr>
          <w:rFonts w:ascii="Palatino Linotype" w:eastAsia="Palatino Linotype" w:hAnsi="Palatino Linotype" w:cs="Palatino Linotype"/>
          <w:sz w:val="24"/>
          <w:szCs w:val="24"/>
        </w:rPr>
        <w:t xml:space="preserve"> cuenta de la comp</w:t>
      </w:r>
      <w:r w:rsidRPr="00B078C8">
        <w:rPr>
          <w:rFonts w:ascii="Palatino Linotype" w:eastAsia="Palatino Linotype" w:hAnsi="Palatino Linotype" w:cs="Palatino Linotype"/>
          <w:sz w:val="24"/>
          <w:szCs w:val="24"/>
        </w:rPr>
        <w:t>ra por concepto de dichos dispositivos de seguridad, no así la ubicación de los mismos, circunstancia que se debió tomar en cuenta en el estudio de la resolución.</w:t>
      </w:r>
      <w:bookmarkStart w:id="5" w:name="_GoBack"/>
      <w:bookmarkEnd w:id="5"/>
    </w:p>
    <w:p w:rsidR="00F34FD7" w:rsidRPr="00B078C8" w:rsidRDefault="006F1FF3">
      <w:pPr>
        <w:spacing w:before="240" w:after="240" w:line="360" w:lineRule="auto"/>
        <w:ind w:right="-3"/>
        <w:jc w:val="both"/>
        <w:rPr>
          <w:rFonts w:ascii="Palatino Linotype" w:eastAsia="Palatino Linotype" w:hAnsi="Palatino Linotype" w:cs="Palatino Linotype"/>
          <w:b/>
          <w:sz w:val="24"/>
          <w:szCs w:val="24"/>
        </w:rPr>
      </w:pPr>
      <w:r w:rsidRPr="00B078C8">
        <w:rPr>
          <w:rFonts w:ascii="Palatino Linotype" w:eastAsia="Palatino Linotype" w:hAnsi="Palatino Linotype" w:cs="Palatino Linotype"/>
          <w:sz w:val="24"/>
          <w:szCs w:val="24"/>
        </w:rPr>
        <w:t xml:space="preserve">Lo anterior expone razones suficientes para la emisión y presentación del presente </w:t>
      </w:r>
      <w:r w:rsidRPr="00B078C8">
        <w:rPr>
          <w:rFonts w:ascii="Palatino Linotype" w:eastAsia="Palatino Linotype" w:hAnsi="Palatino Linotype" w:cs="Palatino Linotype"/>
          <w:b/>
          <w:sz w:val="24"/>
          <w:szCs w:val="24"/>
        </w:rPr>
        <w:t>Voto Parti</w:t>
      </w:r>
      <w:r w:rsidRPr="00B078C8">
        <w:rPr>
          <w:rFonts w:ascii="Palatino Linotype" w:eastAsia="Palatino Linotype" w:hAnsi="Palatino Linotype" w:cs="Palatino Linotype"/>
          <w:b/>
          <w:sz w:val="24"/>
          <w:szCs w:val="24"/>
        </w:rPr>
        <w:t xml:space="preserve">cular, </w:t>
      </w:r>
      <w:r w:rsidRPr="00B078C8">
        <w:rPr>
          <w:rFonts w:ascii="Palatino Linotype" w:eastAsia="Palatino Linotype" w:hAnsi="Palatino Linotype" w:cs="Palatino Linotype"/>
          <w:sz w:val="24"/>
          <w:szCs w:val="24"/>
        </w:rPr>
        <w:t>relacionado con la resolución de los Recursos de Revisión referidos.</w:t>
      </w:r>
    </w:p>
    <w:p w:rsidR="00F34FD7" w:rsidRPr="00B078C8" w:rsidRDefault="00F34FD7">
      <w:pPr>
        <w:tabs>
          <w:tab w:val="left" w:pos="4962"/>
        </w:tabs>
        <w:spacing w:before="240" w:after="240" w:line="360" w:lineRule="auto"/>
        <w:jc w:val="both"/>
        <w:rPr>
          <w:rFonts w:ascii="Palatino Linotype" w:eastAsia="Palatino Linotype" w:hAnsi="Palatino Linotype" w:cs="Palatino Linotype"/>
          <w:b/>
          <w:sz w:val="24"/>
          <w:szCs w:val="24"/>
        </w:rPr>
      </w:pPr>
    </w:p>
    <w:p w:rsidR="00F34FD7" w:rsidRPr="00B078C8" w:rsidRDefault="00F34FD7">
      <w:pPr>
        <w:tabs>
          <w:tab w:val="left" w:pos="4962"/>
        </w:tabs>
        <w:spacing w:before="240" w:after="240" w:line="360" w:lineRule="auto"/>
        <w:jc w:val="both"/>
        <w:rPr>
          <w:rFonts w:ascii="Palatino Linotype" w:eastAsia="Palatino Linotype" w:hAnsi="Palatino Linotype" w:cs="Palatino Linotype"/>
          <w:b/>
          <w:sz w:val="24"/>
          <w:szCs w:val="24"/>
        </w:rPr>
      </w:pPr>
    </w:p>
    <w:sectPr w:rsidR="00F34FD7" w:rsidRPr="00B078C8">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F3" w:rsidRDefault="006F1FF3">
      <w:pPr>
        <w:spacing w:after="0" w:line="240" w:lineRule="auto"/>
      </w:pPr>
      <w:r>
        <w:separator/>
      </w:r>
    </w:p>
  </w:endnote>
  <w:endnote w:type="continuationSeparator" w:id="0">
    <w:p w:rsidR="006F1FF3" w:rsidRDefault="006F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F3" w:rsidRDefault="006F1FF3">
      <w:pPr>
        <w:spacing w:after="0" w:line="240" w:lineRule="auto"/>
      </w:pPr>
      <w:r>
        <w:separator/>
      </w:r>
    </w:p>
  </w:footnote>
  <w:footnote w:type="continuationSeparator" w:id="0">
    <w:p w:rsidR="006F1FF3" w:rsidRDefault="006F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D7" w:rsidRDefault="006F1FF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-1171572</wp:posOffset>
          </wp:positionH>
          <wp:positionV relativeFrom="paragraph">
            <wp:posOffset>-486407</wp:posOffset>
          </wp:positionV>
          <wp:extent cx="7510628" cy="9883775"/>
          <wp:effectExtent l="0" t="0" r="0" b="0"/>
          <wp:wrapNone/>
          <wp:docPr id="2373134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34FD7" w:rsidRDefault="006F1FF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34FD7" w:rsidRDefault="006F1FF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RECURSOS DE REVISIÓN 04895/INFOEM/IP/RR/2023</w:t>
    </w:r>
  </w:p>
  <w:p w:rsidR="00F34FD7" w:rsidRDefault="006F1FF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Y ACUMULADOS</w:t>
    </w:r>
  </w:p>
  <w:p w:rsidR="00F34FD7" w:rsidRDefault="00F34FD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34FD7" w:rsidRDefault="00F34FD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6CB"/>
    <w:multiLevelType w:val="multilevel"/>
    <w:tmpl w:val="F02A36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83148A"/>
    <w:multiLevelType w:val="multilevel"/>
    <w:tmpl w:val="285235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B6B4D"/>
    <w:multiLevelType w:val="multilevel"/>
    <w:tmpl w:val="7D662844"/>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4A903C53"/>
    <w:multiLevelType w:val="multilevel"/>
    <w:tmpl w:val="EA50967E"/>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6293703C"/>
    <w:multiLevelType w:val="multilevel"/>
    <w:tmpl w:val="E1202AAC"/>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D7"/>
    <w:rsid w:val="00163C1B"/>
    <w:rsid w:val="003137E5"/>
    <w:rsid w:val="0062580A"/>
    <w:rsid w:val="006F1FF3"/>
    <w:rsid w:val="0083266B"/>
    <w:rsid w:val="00955002"/>
    <w:rsid w:val="00A90093"/>
    <w:rsid w:val="00B078C8"/>
    <w:rsid w:val="00C25EDD"/>
    <w:rsid w:val="00DB0FFB"/>
    <w:rsid w:val="00E9012F"/>
    <w:rsid w:val="00F34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76F30-907B-496D-8CD5-E70F411F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nBiRpdHAbs7mugoBH7BqBkJgw==">CgMxLjAyCGguZ2pkZ3hzMgloLjN6bnlzaDcyCGgudHlqY3d0MgloLjNkeTZ2a20yCWguMWZvYjl0ZTgAciExaUJ2bWdTSWRiUjRKN0JUM1dtMlRBUXBTY0VmM2hwQkU=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4211</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10</cp:revision>
  <dcterms:created xsi:type="dcterms:W3CDTF">2024-02-26T01:59:00Z</dcterms:created>
  <dcterms:modified xsi:type="dcterms:W3CDTF">2024-02-26T20:18:00Z</dcterms:modified>
</cp:coreProperties>
</file>