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5D" w:rsidRDefault="000C5253">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PARTICULAR QUE FORMULA LA COMISIONADA GUADALUPE RAMÍREZ PEÑA, EN RELACIÓN CON LA RESOLUCIÓN DICTADA POR EL PLENO DEL INSTITUTO DE TRANSPARENCIA, ACCESO A LA INFORMACIÓN PÚBLICA Y PROTECCIÓN DE DATOS PERSONALES DEL ESTADO DE MÉXICO Y MUNICIPIOS, EN LA OCTAVA SESIÓN ORDINARIA DEL SEIS DE MARZO DE DOS MIL VEINTICUATRO, EN EL RECURSO DE REVISIÓN 08349/INFOEM/IP/RR/2023.</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que suscribe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 xml:space="preserve">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w:t>
      </w:r>
      <w:r>
        <w:rPr>
          <w:rFonts w:ascii="Palatino Linotype" w:eastAsia="Palatino Linotype" w:hAnsi="Palatino Linotype" w:cs="Palatino Linotype"/>
          <w:b/>
          <w:sz w:val="24"/>
          <w:szCs w:val="24"/>
        </w:rPr>
        <w:t>08349/INFOEM/IP/RR/2023</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pronunciada por el Pleno de este Instituto ante el proyecto presentado por la suscrita, el cual fue engrosado conforme al criterio mayoritario que es del tenor siguiente:</w:t>
      </w:r>
    </w:p>
    <w:p w:rsidR="0099705D" w:rsidRDefault="000C5253">
      <w:pPr>
        <w:numPr>
          <w:ilvl w:val="0"/>
          <w:numId w:val="1"/>
        </w:numPr>
        <w:tabs>
          <w:tab w:val="left" w:pos="567"/>
        </w:tabs>
        <w:spacing w:after="0" w:line="360" w:lineRule="auto"/>
        <w:ind w:left="284"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99705D" w:rsidRDefault="000C525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le proporcionara la siguiente información: </w:t>
      </w:r>
    </w:p>
    <w:p w:rsidR="0099705D" w:rsidRDefault="000C5253">
      <w:pPr>
        <w:tabs>
          <w:tab w:val="left" w:pos="851"/>
        </w:tabs>
        <w:spacing w:before="120" w:after="120" w:line="240" w:lineRule="auto"/>
        <w:ind w:left="851" w:right="902"/>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i/>
        </w:rPr>
        <w:t>“EXPEDIENTE LABORAL DEL SECRETARIO DANIEL SIBAJA” (Sic)</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respuesta,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a través del archivo electrónico denominado “</w:t>
      </w:r>
      <w:r>
        <w:rPr>
          <w:rFonts w:ascii="Palatino Linotype" w:eastAsia="Palatino Linotype" w:hAnsi="Palatino Linotype" w:cs="Palatino Linotype"/>
          <w:b/>
          <w:i/>
          <w:sz w:val="24"/>
          <w:szCs w:val="24"/>
        </w:rPr>
        <w:t>SAIMEX 00603 CH.pdf</w:t>
      </w:r>
      <w:r>
        <w:rPr>
          <w:rFonts w:ascii="Palatino Linotype" w:eastAsia="Palatino Linotype" w:hAnsi="Palatino Linotype" w:cs="Palatino Linotype"/>
          <w:sz w:val="24"/>
          <w:szCs w:val="24"/>
        </w:rPr>
        <w:t>”” adjuntó lo siguiente:</w:t>
      </w:r>
    </w:p>
    <w:p w:rsidR="0099705D" w:rsidRDefault="000C5253">
      <w:pPr>
        <w:numPr>
          <w:ilvl w:val="0"/>
          <w:numId w:val="3"/>
        </w:numPr>
        <w:pBdr>
          <w:top w:val="nil"/>
          <w:left w:val="nil"/>
          <w:bottom w:val="nil"/>
          <w:right w:val="nil"/>
          <w:between w:val="nil"/>
        </w:pBdr>
        <w:spacing w:after="0" w:line="276" w:lineRule="auto"/>
        <w:ind w:right="-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Oficio número 22000011000100S/4944/2023 del veintidós de noviembre de dos mil veintitrés, a través del cual la Subdirectora de Administración del Capital Humano informó al Servidor Público Habilitado en Materia de Transparencia, Acceso a la Información Pública y Protección de Datos Personales de la Coordinación Administrativa y de Gestión Documental que, de conformidad con los requisitos generales que integran el expediente laboral de una persona servidora pública contenidos en el Manual de Normas y Procedimientos de Desarrollo y Administración de Personal “Procedimiento: 021 Alta o Reingreso de Servidoras Públicas y Servidores Públicos Generales y de Confianza”, después de analizar el requerimiento de información, en su base de datos se identificó el expediente laboral de la persona servidora pública de la cual se solicitó y que corresponde al Secretario de Movilidad, cuyos documentos que integran el expediente algunos de ellos son susceptibles de clasificarse en su totalidad como información confidencial dada su naturaleza, como lo es el caso del acta de nacimiento, comprobantes de domicilio, cartilla militar, cartas de recomendación, certificados médicos, certificado de no deudor alimentario, entre otros.</w:t>
      </w:r>
    </w:p>
    <w:p w:rsidR="0099705D" w:rsidRDefault="0099705D">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p>
    <w:p w:rsidR="0099705D" w:rsidRDefault="000C5253">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Asimismo, en el oficio de referencia se insertó la siguiente tabla correspondiente a los documentos que conforman el expediente laboral de una persona servidora pública en razón de la normativa aplicable:</w:t>
      </w:r>
    </w:p>
    <w:p w:rsidR="0099705D" w:rsidRDefault="0099705D">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rsidR="0099705D" w:rsidRDefault="000C5253">
      <w:pPr>
        <w:pBdr>
          <w:top w:val="nil"/>
          <w:left w:val="nil"/>
          <w:bottom w:val="nil"/>
          <w:right w:val="nil"/>
          <w:between w:val="nil"/>
        </w:pBdr>
        <w:spacing w:after="0" w:line="360" w:lineRule="auto"/>
        <w:ind w:left="360" w:right="-7"/>
        <w:jc w:val="both"/>
        <w:rPr>
          <w:rFonts w:ascii="Palatino Linotype" w:eastAsia="Palatino Linotype" w:hAnsi="Palatino Linotype" w:cs="Palatino Linotype"/>
          <w:color w:val="000000"/>
        </w:rPr>
      </w:pPr>
      <w:r>
        <w:rPr>
          <w:rFonts w:ascii="Palatino Linotype" w:eastAsia="Palatino Linotype" w:hAnsi="Palatino Linotype" w:cs="Palatino Linotype"/>
          <w:b/>
          <w:noProof/>
          <w:color w:val="000000"/>
          <w:lang w:val="es-MX"/>
        </w:rPr>
        <w:drawing>
          <wp:inline distT="0" distB="0" distL="0" distR="0">
            <wp:extent cx="5522538" cy="1939450"/>
            <wp:effectExtent l="3175" t="3175" r="3175" b="3175"/>
            <wp:docPr id="2373134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58352"/>
                    <a:stretch>
                      <a:fillRect/>
                    </a:stretch>
                  </pic:blipFill>
                  <pic:spPr>
                    <a:xfrm>
                      <a:off x="0" y="0"/>
                      <a:ext cx="5522538" cy="1939450"/>
                    </a:xfrm>
                    <a:prstGeom prst="rect">
                      <a:avLst/>
                    </a:prstGeom>
                    <a:ln w="3175">
                      <a:solidFill>
                        <a:srgbClr val="000000"/>
                      </a:solidFill>
                      <a:prstDash val="solid"/>
                    </a:ln>
                  </pic:spPr>
                </pic:pic>
              </a:graphicData>
            </a:graphic>
          </wp:inline>
        </w:drawing>
      </w:r>
    </w:p>
    <w:p w:rsidR="0099705D" w:rsidRDefault="000C5253">
      <w:pPr>
        <w:pBdr>
          <w:top w:val="nil"/>
          <w:left w:val="nil"/>
          <w:bottom w:val="nil"/>
          <w:right w:val="nil"/>
          <w:between w:val="nil"/>
        </w:pBdr>
        <w:spacing w:after="0" w:line="360" w:lineRule="auto"/>
        <w:ind w:left="360" w:right="-7"/>
        <w:jc w:val="both"/>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lang w:val="es-MX"/>
        </w:rPr>
        <w:lastRenderedPageBreak/>
        <w:drawing>
          <wp:inline distT="0" distB="0" distL="0" distR="0">
            <wp:extent cx="5444300" cy="2270608"/>
            <wp:effectExtent l="3175" t="3175" r="3175" b="3175"/>
            <wp:docPr id="2373134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41040"/>
                    <a:stretch>
                      <a:fillRect/>
                    </a:stretch>
                  </pic:blipFill>
                  <pic:spPr>
                    <a:xfrm>
                      <a:off x="0" y="0"/>
                      <a:ext cx="5444300" cy="2270608"/>
                    </a:xfrm>
                    <a:prstGeom prst="rect">
                      <a:avLst/>
                    </a:prstGeom>
                    <a:ln w="3175">
                      <a:solidFill>
                        <a:srgbClr val="000000"/>
                      </a:solidFill>
                      <a:prstDash val="solid"/>
                    </a:ln>
                  </pic:spPr>
                </pic:pic>
              </a:graphicData>
            </a:graphic>
          </wp:inline>
        </w:drawing>
      </w:r>
    </w:p>
    <w:p w:rsidR="0099705D" w:rsidRDefault="000C5253">
      <w:pPr>
        <w:pBdr>
          <w:top w:val="nil"/>
          <w:left w:val="nil"/>
          <w:bottom w:val="nil"/>
          <w:right w:val="nil"/>
          <w:between w:val="nil"/>
        </w:pBdr>
        <w:spacing w:after="0" w:line="360" w:lineRule="auto"/>
        <w:ind w:left="360" w:right="-7"/>
        <w:jc w:val="both"/>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lang w:val="es-MX"/>
        </w:rPr>
        <w:drawing>
          <wp:inline distT="0" distB="0" distL="0" distR="0">
            <wp:extent cx="5426370" cy="3476918"/>
            <wp:effectExtent l="3175" t="3175" r="3175" b="3175"/>
            <wp:docPr id="2373134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26370" cy="3476918"/>
                    </a:xfrm>
                    <a:prstGeom prst="rect">
                      <a:avLst/>
                    </a:prstGeom>
                    <a:ln w="3175">
                      <a:solidFill>
                        <a:srgbClr val="000000"/>
                      </a:solidFill>
                      <a:prstDash val="solid"/>
                    </a:ln>
                  </pic:spPr>
                </pic:pic>
              </a:graphicData>
            </a:graphic>
          </wp:inline>
        </w:drawing>
      </w:r>
    </w:p>
    <w:p w:rsidR="0099705D" w:rsidRDefault="0099705D">
      <w:pPr>
        <w:pBdr>
          <w:top w:val="nil"/>
          <w:left w:val="nil"/>
          <w:bottom w:val="nil"/>
          <w:right w:val="nil"/>
          <w:between w:val="nil"/>
        </w:pBdr>
        <w:spacing w:after="0" w:line="360" w:lineRule="auto"/>
        <w:ind w:left="360" w:right="-7"/>
        <w:rPr>
          <w:rFonts w:ascii="Palatino Linotype" w:eastAsia="Palatino Linotype" w:hAnsi="Palatino Linotype" w:cs="Palatino Linotype"/>
          <w:b/>
          <w:color w:val="000000"/>
        </w:rPr>
      </w:pPr>
    </w:p>
    <w:p w:rsidR="0099705D" w:rsidRDefault="000C5253">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el oficio de referencia, se indica que, después de analizar la clasificación de la información, se anexaba en versión pública el Curriculum vitae y el último comprobante de estudios del Secretario de Movilidad, de los cuales se indica que </w:t>
      </w:r>
      <w:r>
        <w:rPr>
          <w:rFonts w:ascii="Palatino Linotype" w:eastAsia="Palatino Linotype" w:hAnsi="Palatino Linotype" w:cs="Palatino Linotype"/>
          <w:color w:val="000000"/>
          <w:sz w:val="24"/>
          <w:szCs w:val="24"/>
        </w:rPr>
        <w:lastRenderedPageBreak/>
        <w:t xml:space="preserve">se testaron datos personales como: </w:t>
      </w:r>
      <w:r>
        <w:rPr>
          <w:rFonts w:ascii="Palatino Linotype" w:eastAsia="Palatino Linotype" w:hAnsi="Palatino Linotype" w:cs="Palatino Linotype"/>
          <w:b/>
          <w:color w:val="000000"/>
          <w:sz w:val="24"/>
          <w:szCs w:val="24"/>
          <w:u w:val="single"/>
        </w:rPr>
        <w:t>Clave Única de Registro de la Población, Código QR, Escolaridad, Fotografía y Teléfono particular,</w:t>
      </w:r>
      <w:r>
        <w:rPr>
          <w:rFonts w:ascii="Palatino Linotype" w:eastAsia="Palatino Linotype" w:hAnsi="Palatino Linotype" w:cs="Palatino Linotype"/>
          <w:color w:val="000000"/>
          <w:sz w:val="24"/>
          <w:szCs w:val="24"/>
        </w:rPr>
        <w:t xml:space="preserve"> en apego a lo establecido por la Ley de Protección de Datos Personales en Posesión de Sujetos Obligados del Estado de México y Municipios.</w:t>
      </w:r>
    </w:p>
    <w:p w:rsidR="0099705D" w:rsidRDefault="0099705D">
      <w:pPr>
        <w:spacing w:after="0" w:line="276" w:lineRule="auto"/>
        <w:ind w:right="-7"/>
        <w:jc w:val="both"/>
        <w:rPr>
          <w:rFonts w:ascii="Palatino Linotype" w:eastAsia="Palatino Linotype" w:hAnsi="Palatino Linotype" w:cs="Palatino Linotype"/>
          <w:sz w:val="28"/>
          <w:szCs w:val="28"/>
        </w:rPr>
      </w:pPr>
    </w:p>
    <w:p w:rsidR="0099705D" w:rsidRDefault="000C5253">
      <w:pPr>
        <w:numPr>
          <w:ilvl w:val="0"/>
          <w:numId w:val="3"/>
        </w:numPr>
        <w:spacing w:after="0" w:line="276"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versión pública el Curriculum Vitae y la Cédula profesional electrónica del Secretario de Movilidad.</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citado al rubro, manifestado lo siguiente: </w:t>
      </w:r>
    </w:p>
    <w:p w:rsidR="0099705D" w:rsidRDefault="000C5253">
      <w:pPr>
        <w:tabs>
          <w:tab w:val="left" w:pos="4667"/>
        </w:tabs>
        <w:spacing w:line="360" w:lineRule="auto"/>
        <w:ind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Acto Impugnado:</w:t>
      </w:r>
    </w:p>
    <w:p w:rsidR="0099705D" w:rsidRDefault="000C5253">
      <w:pPr>
        <w:spacing w:line="240" w:lineRule="auto"/>
        <w:ind w:left="851" w:right="90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“Información clasificada y niegan más documentos” (sic)</w:t>
      </w:r>
    </w:p>
    <w:p w:rsidR="0099705D" w:rsidRDefault="000C5253">
      <w:pPr>
        <w:spacing w:line="360" w:lineRule="auto"/>
        <w:ind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Razones o Motivos Inconformidad:</w:t>
      </w:r>
    </w:p>
    <w:p w:rsidR="0099705D" w:rsidRDefault="000C5253">
      <w:pPr>
        <w:tabs>
          <w:tab w:val="center" w:pos="4536"/>
        </w:tabs>
        <w:spacing w:line="240" w:lineRule="auto"/>
        <w:ind w:left="851" w:right="90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“Información clasificada y niegan más documentos” (Sic).</w:t>
      </w:r>
    </w:p>
    <w:p w:rsidR="0099705D" w:rsidRDefault="0099705D">
      <w:pPr>
        <w:spacing w:before="80" w:after="240" w:line="360" w:lineRule="auto"/>
        <w:ind w:right="49"/>
        <w:jc w:val="both"/>
        <w:rPr>
          <w:rFonts w:ascii="Palatino Linotype" w:eastAsia="Palatino Linotype" w:hAnsi="Palatino Linotype" w:cs="Palatino Linotype"/>
          <w:sz w:val="12"/>
          <w:szCs w:val="12"/>
        </w:rPr>
      </w:pPr>
    </w:p>
    <w:p w:rsidR="0099705D" w:rsidRDefault="000C5253">
      <w:pPr>
        <w:spacing w:before="80"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manifestaciones,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adjuntó los archivos electrónicos denominados “</w:t>
      </w:r>
      <w:r>
        <w:rPr>
          <w:rFonts w:ascii="Palatino Linotype" w:eastAsia="Palatino Linotype" w:hAnsi="Palatino Linotype" w:cs="Palatino Linotype"/>
          <w:b/>
          <w:i/>
          <w:sz w:val="24"/>
          <w:szCs w:val="24"/>
        </w:rPr>
        <w:t>Informe Justificado_8349.pdf</w:t>
      </w:r>
      <w:r>
        <w:rPr>
          <w:rFonts w:ascii="Palatino Linotype" w:eastAsia="Palatino Linotype" w:hAnsi="Palatino Linotype" w:cs="Palatino Linotype"/>
          <w:sz w:val="24"/>
          <w:szCs w:val="24"/>
        </w:rPr>
        <w:t>” y “</w:t>
      </w:r>
      <w:r>
        <w:rPr>
          <w:rFonts w:ascii="Palatino Linotype" w:eastAsia="Palatino Linotype" w:hAnsi="Palatino Linotype" w:cs="Palatino Linotype"/>
          <w:b/>
          <w:i/>
          <w:sz w:val="24"/>
          <w:szCs w:val="24"/>
        </w:rPr>
        <w:t>Anexo_T-502.pdf</w:t>
      </w:r>
      <w:r>
        <w:rPr>
          <w:rFonts w:ascii="Palatino Linotype" w:eastAsia="Palatino Linotype" w:hAnsi="Palatino Linotype" w:cs="Palatino Linotype"/>
          <w:sz w:val="24"/>
          <w:szCs w:val="24"/>
        </w:rPr>
        <w:t>” que contienen la información siguiente:</w:t>
      </w:r>
    </w:p>
    <w:p w:rsidR="0099705D" w:rsidRDefault="000C5253" w:rsidP="002D3DCA">
      <w:pPr>
        <w:numPr>
          <w:ilvl w:val="0"/>
          <w:numId w:val="3"/>
        </w:numPr>
        <w:spacing w:before="240"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número CCT/UT/0660/2023 del dieciocho de diciembre de dos mil veintitrés, a través del cual la Titular de la Unidad de Transparencia rinde informe justificado, en el que medularmente señala que con la finalidad de atender el recurso de revisión, el servidor público habilitado de la Coordinación Administrativa y de Gestión Documental, como área competente emitió pronunciamiento a través del oficio T-502/2023 mismo que se indica que se anexa.</w:t>
      </w:r>
    </w:p>
    <w:p w:rsidR="0099705D" w:rsidRDefault="000C5253" w:rsidP="002D3DCA">
      <w:pPr>
        <w:numPr>
          <w:ilvl w:val="0"/>
          <w:numId w:val="3"/>
        </w:numPr>
        <w:spacing w:before="240"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Oficio número T-502/2023 del doce de diciembre de dos mil veintitrés, a través del cual el Servidor Público Habilitado en Materia de Transparencia de la Coordinación Administrativa y de Gestión Documental rinde informe justificado señalando que hace entrega del diverso oficio número 22000011000100S/5325/2023 mediante el cual refiere que la Subdirección de Administración de Capital Humano atiende lo expresado en el recurso de revisión.</w:t>
      </w:r>
    </w:p>
    <w:p w:rsidR="0099705D" w:rsidRDefault="000C5253" w:rsidP="002D3DCA">
      <w:pPr>
        <w:numPr>
          <w:ilvl w:val="0"/>
          <w:numId w:val="3"/>
        </w:numPr>
        <w:spacing w:before="240"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número 22000011000100S/5325/2023 del once de diciembre de dos mil veintitrés, a través del cual la Subdirectora de Administración del Capital Humano informa al Servidor Público Habilitado en Materia de Transparencia, Acceso a la Información Pública y Protección de Datos Personales de la Coordinación Administrativa y de Gestión Documental que con relación al recurso de revisión se ratificaba la respuesta inicial.</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Documentos los anteriores que fueron puestos a la vista de la </w:t>
      </w:r>
      <w:r>
        <w:rPr>
          <w:rFonts w:ascii="Palatino Linotype" w:eastAsia="Palatino Linotype" w:hAnsi="Palatino Linotype" w:cs="Palatino Linotype"/>
          <w:b/>
          <w:sz w:val="24"/>
          <w:szCs w:val="24"/>
        </w:rPr>
        <w:t>parte Recurrente</w:t>
      </w:r>
      <w:r>
        <w:rPr>
          <w:rFonts w:ascii="Palatino Linotype" w:eastAsia="Palatino Linotype" w:hAnsi="Palatino Linotype" w:cs="Palatino Linotype"/>
          <w:sz w:val="24"/>
          <w:szCs w:val="24"/>
        </w:rPr>
        <w:t xml:space="preserve"> a efecto de que manifestara lo que a su derecho resultara conveniente; no obstante, fue omisa en ejercer dicha prerrogativa.</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w:t>
      </w:r>
      <w:r>
        <w:rPr>
          <w:rFonts w:ascii="Palatino Linotype" w:eastAsia="Palatino Linotype" w:hAnsi="Palatino Linotype" w:cs="Palatino Linotype"/>
          <w:b/>
          <w:sz w:val="24"/>
          <w:szCs w:val="24"/>
        </w:rPr>
        <w:t>parcialmente fundadas</w:t>
      </w:r>
      <w:r>
        <w:rPr>
          <w:rFonts w:ascii="Palatino Linotype" w:eastAsia="Palatino Linotype" w:hAnsi="Palatino Linotype" w:cs="Palatino Linotype"/>
          <w:sz w:val="24"/>
          <w:szCs w:val="24"/>
        </w:rPr>
        <w:t xml:space="preserve">, y determinó modificar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ordenar la entrega de lo siguiente:</w:t>
      </w:r>
    </w:p>
    <w:p w:rsidR="0099705D" w:rsidRDefault="000C5253">
      <w:pPr>
        <w:widowControl w:val="0"/>
        <w:tabs>
          <w:tab w:val="left" w:pos="1134"/>
        </w:tabs>
        <w:spacing w:before="120" w:after="120" w:line="240" w:lineRule="auto"/>
        <w:ind w:left="851" w:right="990"/>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 xml:space="preserve">Resultan </w:t>
      </w:r>
      <w:r>
        <w:rPr>
          <w:rFonts w:ascii="Palatino Linotype" w:eastAsia="Palatino Linotype" w:hAnsi="Palatino Linotype" w:cs="Palatino Linotype"/>
          <w:b/>
          <w:i/>
        </w:rPr>
        <w:t>parcialmente</w:t>
      </w:r>
      <w:r>
        <w:rPr>
          <w:rFonts w:ascii="Palatino Linotype" w:eastAsia="Palatino Linotype" w:hAnsi="Palatino Linotype" w:cs="Palatino Linotype"/>
          <w:i/>
        </w:rPr>
        <w:t xml:space="preserve"> </w:t>
      </w:r>
      <w:r>
        <w:rPr>
          <w:rFonts w:ascii="Palatino Linotype" w:eastAsia="Palatino Linotype" w:hAnsi="Palatino Linotype" w:cs="Palatino Linotype"/>
          <w:b/>
          <w:i/>
        </w:rPr>
        <w:t>fundadas</w:t>
      </w:r>
      <w:r>
        <w:rPr>
          <w:rFonts w:ascii="Palatino Linotype" w:eastAsia="Palatino Linotype" w:hAnsi="Palatino Linotype" w:cs="Palatino Linotype"/>
          <w:i/>
        </w:rPr>
        <w:t xml:space="preserve"> las razones o motivos de inconformidad hechos valer por </w:t>
      </w:r>
      <w:r>
        <w:rPr>
          <w:rFonts w:ascii="Palatino Linotype" w:eastAsia="Palatino Linotype" w:hAnsi="Palatino Linotype" w:cs="Palatino Linotype"/>
          <w:b/>
          <w:i/>
        </w:rPr>
        <w:t>la parte Recurrente</w:t>
      </w:r>
      <w:r>
        <w:rPr>
          <w:rFonts w:ascii="Palatino Linotype" w:eastAsia="Palatino Linotype" w:hAnsi="Palatino Linotype" w:cs="Palatino Linotype"/>
          <w:i/>
        </w:rPr>
        <w:t xml:space="preserve"> en el recurso de revisión </w:t>
      </w:r>
      <w:r>
        <w:rPr>
          <w:rFonts w:ascii="Palatino Linotype" w:eastAsia="Palatino Linotype" w:hAnsi="Palatino Linotype" w:cs="Palatino Linotype"/>
          <w:b/>
          <w:i/>
        </w:rPr>
        <w:t>08349/INFOEM/IP/RR/2023</w:t>
      </w:r>
      <w:r>
        <w:rPr>
          <w:rFonts w:ascii="Palatino Linotype" w:eastAsia="Palatino Linotype" w:hAnsi="Palatino Linotype" w:cs="Palatino Linotype"/>
          <w:i/>
        </w:rPr>
        <w:t xml:space="preserve">; por lo que, en términos del </w:t>
      </w:r>
      <w:r>
        <w:rPr>
          <w:rFonts w:ascii="Palatino Linotype" w:eastAsia="Palatino Linotype" w:hAnsi="Palatino Linotype" w:cs="Palatino Linotype"/>
          <w:b/>
          <w:i/>
        </w:rPr>
        <w:t>Considerando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 xml:space="preserve">de esta resolución, se </w:t>
      </w:r>
      <w:r>
        <w:rPr>
          <w:rFonts w:ascii="Palatino Linotype" w:eastAsia="Palatino Linotype" w:hAnsi="Palatino Linotype" w:cs="Palatino Linotype"/>
          <w:b/>
          <w:i/>
        </w:rPr>
        <w:t xml:space="preserve">Modifica </w:t>
      </w:r>
      <w:r>
        <w:rPr>
          <w:rFonts w:ascii="Palatino Linotype" w:eastAsia="Palatino Linotype" w:hAnsi="Palatino Linotype" w:cs="Palatino Linotype"/>
          <w:i/>
        </w:rPr>
        <w:t xml:space="preserve">la respuesta emitida por el </w:t>
      </w:r>
      <w:r>
        <w:rPr>
          <w:rFonts w:ascii="Palatino Linotype" w:eastAsia="Palatino Linotype" w:hAnsi="Palatino Linotype" w:cs="Palatino Linotype"/>
          <w:b/>
          <w:i/>
        </w:rPr>
        <w:t>Sujeto Obligado.</w:t>
      </w:r>
    </w:p>
    <w:p w:rsidR="0099705D" w:rsidRDefault="000C5253">
      <w:pPr>
        <w:widowControl w:val="0"/>
        <w:tabs>
          <w:tab w:val="left" w:pos="1134"/>
        </w:tabs>
        <w:spacing w:before="120" w:after="120" w:line="240" w:lineRule="auto"/>
        <w:ind w:left="851" w:right="99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que, en términos de los</w:t>
      </w:r>
      <w:r>
        <w:rPr>
          <w:rFonts w:ascii="Palatino Linotype" w:eastAsia="Palatino Linotype" w:hAnsi="Palatino Linotype" w:cs="Palatino Linotype"/>
          <w:b/>
          <w:i/>
        </w:rPr>
        <w:t xml:space="preserve"> Considerandos</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Cuarto y Quinto </w:t>
      </w:r>
      <w:r>
        <w:rPr>
          <w:rFonts w:ascii="Palatino Linotype" w:eastAsia="Palatino Linotype" w:hAnsi="Palatino Linotype" w:cs="Palatino Linotype"/>
          <w:i/>
        </w:rPr>
        <w:t>de la presente resolución</w:t>
      </w:r>
      <w:r>
        <w:rPr>
          <w:rFonts w:ascii="Palatino Linotype" w:eastAsia="Palatino Linotype" w:hAnsi="Palatino Linotype" w:cs="Palatino Linotype"/>
          <w:b/>
          <w:i/>
        </w:rPr>
        <w:t xml:space="preserve">, haga entrega vía </w:t>
      </w:r>
      <w:r>
        <w:rPr>
          <w:rFonts w:ascii="Palatino Linotype" w:eastAsia="Palatino Linotype" w:hAnsi="Palatino Linotype" w:cs="Palatino Linotype"/>
          <w:b/>
          <w:i/>
        </w:rPr>
        <w:lastRenderedPageBreak/>
        <w:t>Sistema de Acceso a la Información Mexiquense (SAIMEX)</w:t>
      </w:r>
      <w:r>
        <w:rPr>
          <w:rFonts w:ascii="Palatino Linotype" w:eastAsia="Palatino Linotype" w:hAnsi="Palatino Linotype" w:cs="Palatino Linotype"/>
          <w:i/>
        </w:rPr>
        <w:t xml:space="preserve"> a</w:t>
      </w:r>
      <w:r>
        <w:rPr>
          <w:rFonts w:ascii="Palatino Linotype" w:eastAsia="Palatino Linotype" w:hAnsi="Palatino Linotype" w:cs="Palatino Linotype"/>
          <w:b/>
          <w:i/>
        </w:rPr>
        <w:t xml:space="preserve"> la parte</w:t>
      </w:r>
      <w:r>
        <w:rPr>
          <w:rFonts w:ascii="Palatino Linotype" w:eastAsia="Palatino Linotype" w:hAnsi="Palatino Linotype" w:cs="Palatino Linotype"/>
          <w:i/>
        </w:rPr>
        <w:t xml:space="preserve"> </w:t>
      </w:r>
      <w:r>
        <w:rPr>
          <w:rFonts w:ascii="Palatino Linotype" w:eastAsia="Palatino Linotype" w:hAnsi="Palatino Linotype" w:cs="Palatino Linotype"/>
          <w:b/>
          <w:i/>
        </w:rPr>
        <w:t>Recurrente</w:t>
      </w:r>
      <w:r>
        <w:rPr>
          <w:rFonts w:ascii="Palatino Linotype" w:eastAsia="Palatino Linotype" w:hAnsi="Palatino Linotype" w:cs="Palatino Linotype"/>
          <w:i/>
        </w:rPr>
        <w:t xml:space="preserve">, en versión pública de ser procedente, del Secretario de Movilidad en funciones al nueve de noviembre de dos mil veintitrés, </w:t>
      </w:r>
      <w:r>
        <w:rPr>
          <w:rFonts w:ascii="Palatino Linotype" w:eastAsia="Palatino Linotype" w:hAnsi="Palatino Linotype" w:cs="Palatino Linotype"/>
          <w:b/>
          <w:i/>
        </w:rPr>
        <w:t>la siguiente información:</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El </w:t>
      </w:r>
      <w:proofErr w:type="spellStart"/>
      <w:r>
        <w:rPr>
          <w:rFonts w:ascii="Palatino Linotype" w:eastAsia="Palatino Linotype" w:hAnsi="Palatino Linotype" w:cs="Palatino Linotype"/>
          <w:i/>
        </w:rPr>
        <w:t>curriculum</w:t>
      </w:r>
      <w:proofErr w:type="spellEnd"/>
      <w:r>
        <w:rPr>
          <w:rFonts w:ascii="Palatino Linotype" w:eastAsia="Palatino Linotype" w:hAnsi="Palatino Linotype" w:cs="Palatino Linotype"/>
          <w:i/>
        </w:rPr>
        <w:t xml:space="preserve"> vitae remitido en respuesta en una versión pública correcta. </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u w:val="single"/>
        </w:rPr>
        <w:t>Solicitud de empleo;</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u w:val="single"/>
        </w:rPr>
        <w:t>Manifestación bajo protesta de decir verdad;</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u w:val="single"/>
        </w:rPr>
        <w:t>Constancia de no inhabilitación;</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u w:val="single"/>
        </w:rPr>
        <w:t>Certificado de no deudor alimentario moroso; y,</w:t>
      </w:r>
    </w:p>
    <w:p w:rsidR="0099705D" w:rsidRDefault="000C5253">
      <w:pPr>
        <w:widowControl w:val="0"/>
        <w:numPr>
          <w:ilvl w:val="0"/>
          <w:numId w:val="4"/>
        </w:numPr>
        <w:tabs>
          <w:tab w:val="left" w:pos="1134"/>
        </w:tabs>
        <w:spacing w:before="120" w:after="120" w:line="240" w:lineRule="auto"/>
        <w:ind w:left="1134" w:right="990"/>
        <w:jc w:val="both"/>
        <w:rPr>
          <w:rFonts w:ascii="Palatino Linotype" w:eastAsia="Palatino Linotype" w:hAnsi="Palatino Linotype" w:cs="Palatino Linotype"/>
          <w:i/>
        </w:rPr>
      </w:pPr>
      <w:r>
        <w:rPr>
          <w:rFonts w:ascii="Palatino Linotype" w:eastAsia="Palatino Linotype" w:hAnsi="Palatino Linotype" w:cs="Palatino Linotype"/>
          <w:i/>
          <w:u w:val="single"/>
        </w:rPr>
        <w:t>Nombramiento otorgado por la persona Titular del Poder Ejecutivo del Estado de México.</w:t>
      </w:r>
    </w:p>
    <w:p w:rsidR="0099705D" w:rsidRDefault="000C5253">
      <w:pPr>
        <w:widowControl w:val="0"/>
        <w:tabs>
          <w:tab w:val="left" w:pos="1134"/>
        </w:tabs>
        <w:spacing w:before="120" w:after="120" w:line="240" w:lineRule="auto"/>
        <w:ind w:left="851"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Pr>
          <w:rFonts w:ascii="Palatino Linotype" w:eastAsia="Palatino Linotype" w:hAnsi="Palatino Linotype" w:cs="Palatino Linotype"/>
          <w:b/>
          <w:i/>
        </w:rPr>
        <w:t>la parte Recurrente</w:t>
      </w:r>
      <w:r>
        <w:rPr>
          <w:rFonts w:ascii="Palatino Linotype" w:eastAsia="Palatino Linotype" w:hAnsi="Palatino Linotype" w:cs="Palatino Linotype"/>
          <w:i/>
        </w:rPr>
        <w:t xml:space="preserve">, mismo que igualmente hará de su conocimiento, en el que se incluyan los fundamentos y motivos de la clasificación de los datos de la </w:t>
      </w:r>
      <w:r>
        <w:rPr>
          <w:rFonts w:ascii="Palatino Linotype" w:eastAsia="Palatino Linotype" w:hAnsi="Palatino Linotype" w:cs="Palatino Linotype"/>
          <w:b/>
          <w:i/>
        </w:rPr>
        <w:t>cédula profesional electrónica entregada en respuesta</w:t>
      </w:r>
      <w:r>
        <w:rPr>
          <w:rFonts w:ascii="Palatino Linotype" w:eastAsia="Palatino Linotype" w:hAnsi="Palatino Linotype" w:cs="Palatino Linotype"/>
          <w:i/>
        </w:rPr>
        <w:t xml:space="preserve">, así como el Acuerdo del Comité de Transparencia que clasifique </w:t>
      </w:r>
      <w:r>
        <w:rPr>
          <w:rFonts w:ascii="Palatino Linotype" w:eastAsia="Palatino Linotype" w:hAnsi="Palatino Linotype" w:cs="Palatino Linotype"/>
          <w:b/>
          <w:i/>
          <w:u w:val="single"/>
        </w:rPr>
        <w:t>en su totalidad como información confidencial las siguientes documentales: Acta de nacimiento, Cartilla de Servicio Militar, Constancia o Certificado Médico, Cartas de recomendación, Clave Única de Registro de Población (CURP), Contrato de apertura de cuenta bancaria GEM, Identificación oficial vigente y Constancia de situación fiscal</w:t>
      </w:r>
      <w:r>
        <w:rPr>
          <w:rFonts w:ascii="Palatino Linotype" w:eastAsia="Palatino Linotype" w:hAnsi="Palatino Linotype" w:cs="Palatino Linotype"/>
          <w:i/>
        </w:rPr>
        <w:t>.</w:t>
      </w:r>
    </w:p>
    <w:p w:rsidR="0099705D" w:rsidRDefault="000C5253">
      <w:pPr>
        <w:widowControl w:val="0"/>
        <w:tabs>
          <w:tab w:val="left" w:pos="1134"/>
        </w:tabs>
        <w:spacing w:before="120" w:after="120" w:line="240" w:lineRule="auto"/>
        <w:ind w:left="851"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99705D" w:rsidRDefault="000C5253">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rsidR="0099705D" w:rsidRDefault="000C5253">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Pr>
          <w:rFonts w:ascii="Palatino Linotype" w:eastAsia="Palatino Linotype" w:hAnsi="Palatino Linotype" w:cs="Palatino Linotype"/>
          <w:sz w:val="24"/>
          <w:szCs w:val="24"/>
        </w:rPr>
        <w:t>Derivado de lo anterior, la emisión del voto se centrará en que, si bien se comparte el sentido de la resolución,</w:t>
      </w:r>
      <w:r w:rsidR="002D3DC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ya que del análisis de las constancias que conforman el expediente electrónico, se desprendió que la información solicitada es susceptible </w:t>
      </w:r>
      <w:r>
        <w:rPr>
          <w:rFonts w:ascii="Palatino Linotype" w:eastAsia="Palatino Linotype" w:hAnsi="Palatino Linotype" w:cs="Palatino Linotype"/>
          <w:sz w:val="24"/>
          <w:szCs w:val="24"/>
        </w:rPr>
        <w:lastRenderedPageBreak/>
        <w:t xml:space="preserve">de transparentarse pues se encuentra relacionada con la gestión pública y con su publicidad </w:t>
      </w:r>
      <w:r w:rsidR="002D3DCA">
        <w:rPr>
          <w:rFonts w:ascii="Palatino Linotype" w:eastAsia="Palatino Linotype" w:hAnsi="Palatino Linotype" w:cs="Palatino Linotype"/>
          <w:sz w:val="24"/>
          <w:szCs w:val="24"/>
        </w:rPr>
        <w:t xml:space="preserve">se favorece indudablemente </w:t>
      </w:r>
      <w:r>
        <w:rPr>
          <w:rFonts w:ascii="Palatino Linotype" w:eastAsia="Palatino Linotype" w:hAnsi="Palatino Linotype" w:cs="Palatino Linotype"/>
          <w:sz w:val="24"/>
          <w:szCs w:val="24"/>
        </w:rPr>
        <w:t xml:space="preserve">la rendición de cuentas, </w:t>
      </w:r>
      <w:r w:rsidR="002D3DCA" w:rsidRPr="002D3DCA">
        <w:rPr>
          <w:rFonts w:ascii="Palatino Linotype" w:eastAsia="Palatino Linotype" w:hAnsi="Palatino Linotype" w:cs="Palatino Linotype"/>
          <w:b/>
          <w:sz w:val="24"/>
          <w:szCs w:val="24"/>
        </w:rPr>
        <w:t>conforme el criterio mayoritario del Pleno,</w:t>
      </w:r>
      <w:r w:rsidRPr="002D3DCA">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no se coincide con los argumentos señalados en la misma particularmente respecto a lo siguiente:</w:t>
      </w:r>
    </w:p>
    <w:p w:rsidR="0099705D" w:rsidRDefault="000C5253">
      <w:pPr>
        <w:spacing w:before="240" w:after="240" w:line="360" w:lineRule="auto"/>
        <w:jc w:val="both"/>
        <w:rPr>
          <w:rFonts w:ascii="Palatino Linotype" w:eastAsia="Palatino Linotype" w:hAnsi="Palatino Linotype" w:cs="Palatino Linotype"/>
          <w:sz w:val="24"/>
          <w:szCs w:val="24"/>
        </w:rPr>
      </w:pPr>
      <w:bookmarkStart w:id="3" w:name="_heading=h.ibbnt73mydbi" w:colFirst="0" w:colLast="0"/>
      <w:bookmarkStart w:id="4" w:name="_heading=h.2et92p0" w:colFirst="0" w:colLast="0"/>
      <w:bookmarkEnd w:id="3"/>
      <w:bookmarkEnd w:id="4"/>
      <w:r>
        <w:rPr>
          <w:rFonts w:ascii="Palatino Linotype" w:eastAsia="Palatino Linotype" w:hAnsi="Palatino Linotype" w:cs="Palatino Linotype"/>
          <w:sz w:val="24"/>
          <w:szCs w:val="24"/>
        </w:rPr>
        <w:t>Por lo que hace</w:t>
      </w:r>
      <w:r w:rsidR="002D3DCA">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a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Más aún cuando en el  Proyecto de Decreto por el que se Reforman y Adicionan Diversas Disposiciones para crear el Registro de Deudores Alimentarios del Estado de México, disponible en la dirección electrónica </w:t>
      </w:r>
      <w:hyperlink r:id="rId10" w:anchor=":~:text=La%20inscripci%C3%B3n%20con%20el%20car%C3%A1cter,del%20Estado%20de%20M%C3%A9xico%20e">
        <w:r>
          <w:rPr>
            <w:rFonts w:ascii="Palatino Linotype" w:eastAsia="Palatino Linotype" w:hAnsi="Palatino Linotype" w:cs="Palatino Linotype"/>
            <w:sz w:val="24"/>
            <w:szCs w:val="24"/>
            <w:u w:val="single"/>
          </w:rPr>
          <w:t>https://www.ipomex.org.mx/recursos/ipo/files_ipo/2014/8/11/630bc7787b59af912a96a9e1bca1c770.pdf#:~:text=La%20inscripci%C3%B3n%20con%20el%20car%C3%A1cter,del%20Estado%20de%20M%C3%A9xico%20e</w:t>
        </w:r>
      </w:hyperlink>
      <w:r>
        <w:rPr>
          <w:rFonts w:ascii="Palatino Linotype" w:eastAsia="Palatino Linotype" w:hAnsi="Palatino Linotype" w:cs="Palatino Linotype"/>
          <w:sz w:val="24"/>
          <w:szCs w:val="24"/>
        </w:rPr>
        <w:t xml:space="preserve">, pueden advertirse los objetivos de crear dicho registro: </w:t>
      </w:r>
    </w:p>
    <w:p w:rsidR="0099705D" w:rsidRDefault="000C5253">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“El interés superior del menor debe prevalecer en cualquier controversia de derecho familiar, situación que obliga a las autoridades a establecer las medidas necesarias para asegurar el cumplimiento del pago de la pensión alimenticia decretada a su favor.</w:t>
      </w:r>
    </w:p>
    <w:p w:rsidR="0099705D" w:rsidRDefault="000C5253">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99705D" w:rsidRDefault="000C5253">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99705D" w:rsidRDefault="000C5253">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99705D" w:rsidRDefault="000C5253">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w:t>
      </w:r>
      <w:r>
        <w:rPr>
          <w:rFonts w:ascii="Palatino Linotype" w:eastAsia="Palatino Linotype" w:hAnsi="Palatino Linotype" w:cs="Palatino Linotype"/>
          <w:i/>
        </w:rPr>
        <w:lastRenderedPageBreak/>
        <w:t xml:space="preserve">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Pr>
          <w:rFonts w:ascii="Palatino Linotype" w:eastAsia="Palatino Linotype" w:hAnsi="Palatino Linotype" w:cs="Palatino Linotype"/>
          <w:b/>
          <w:sz w:val="24"/>
          <w:szCs w:val="24"/>
        </w:rPr>
        <w:t>información confidencial en su totalidad</w:t>
      </w:r>
      <w:r>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w:t>
      </w:r>
    </w:p>
    <w:p w:rsidR="0099705D" w:rsidRDefault="000C5253">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rsidR="0099705D" w:rsidRDefault="000C5253">
      <w:pPr>
        <w:tabs>
          <w:tab w:val="left" w:pos="851"/>
        </w:tabs>
        <w:spacing w:before="120"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rPr>
        <w:t>“</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w:t>
      </w:r>
      <w:r>
        <w:rPr>
          <w:rFonts w:ascii="Palatino Linotype" w:eastAsia="Palatino Linotype" w:hAnsi="Palatino Linotype" w:cs="Palatino Linotype"/>
          <w:i/>
        </w:rPr>
        <w:lastRenderedPageBreak/>
        <w:t xml:space="preserve">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99705D" w:rsidRDefault="00145B0C">
      <w:pPr>
        <w:tabs>
          <w:tab w:val="left" w:pos="4962"/>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rPr>
        <mc:AlternateContent>
          <mc:Choice Requires="wps">
            <w:drawing>
              <wp:anchor distT="0" distB="0" distL="114300" distR="114300" simplePos="0" relativeHeight="251659264" behindDoc="0" locked="0" layoutInCell="1" allowOverlap="1">
                <wp:simplePos x="0" y="0"/>
                <wp:positionH relativeFrom="column">
                  <wp:posOffset>678493</wp:posOffset>
                </wp:positionH>
                <wp:positionV relativeFrom="paragraph">
                  <wp:posOffset>768580</wp:posOffset>
                </wp:positionV>
                <wp:extent cx="4814371" cy="4076240"/>
                <wp:effectExtent l="19050" t="19050" r="24765" b="19685"/>
                <wp:wrapNone/>
                <wp:docPr id="1" name="Conector recto 1"/>
                <wp:cNvGraphicFramePr/>
                <a:graphic xmlns:a="http://schemas.openxmlformats.org/drawingml/2006/main">
                  <a:graphicData uri="http://schemas.microsoft.com/office/word/2010/wordprocessingShape">
                    <wps:wsp>
                      <wps:cNvCnPr/>
                      <wps:spPr>
                        <a:xfrm>
                          <a:off x="0" y="0"/>
                          <a:ext cx="4814371" cy="40762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46AA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4pt,60.5pt" to="432.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" strokecolor="#5b9bd5 [3204]" strokeweight="2.25pt">
                <v:stroke joinstyle="miter"/>
              </v:line>
            </w:pict>
          </mc:Fallback>
        </mc:AlternateContent>
      </w:r>
      <w:r w:rsidR="000C5253">
        <w:rPr>
          <w:rFonts w:ascii="Palatino Linotype" w:eastAsia="Palatino Linotype" w:hAnsi="Palatino Linotype" w:cs="Palatino Linotype"/>
          <w:color w:val="000000"/>
        </w:rPr>
        <w:t xml:space="preserve">Es por todo lo vertido en líneas argumentativas anteriores que la suscrita no comparte que se ordene el certificado de no deudor alimentario, razón por la cual se emite el presente </w:t>
      </w:r>
      <w:r w:rsidR="000C5253">
        <w:rPr>
          <w:rFonts w:ascii="Palatino Linotype" w:eastAsia="Palatino Linotype" w:hAnsi="Palatino Linotype" w:cs="Palatino Linotype"/>
          <w:b/>
          <w:color w:val="000000"/>
        </w:rPr>
        <w:t>Voto particular</w:t>
      </w:r>
      <w:r w:rsidR="000C5253">
        <w:rPr>
          <w:rFonts w:ascii="Palatino Linotype" w:eastAsia="Palatino Linotype" w:hAnsi="Palatino Linotype" w:cs="Palatino Linotype"/>
          <w:color w:val="000000"/>
        </w:rPr>
        <w:t>.</w:t>
      </w:r>
      <w:bookmarkStart w:id="5" w:name="_GoBack"/>
      <w:bookmarkEnd w:id="5"/>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color w:val="000000"/>
        </w:rPr>
      </w:pPr>
    </w:p>
    <w:p w:rsidR="00931857" w:rsidRDefault="00931857">
      <w:pPr>
        <w:tabs>
          <w:tab w:val="left" w:pos="4962"/>
        </w:tabs>
        <w:spacing w:before="240" w:after="240" w:line="360" w:lineRule="auto"/>
        <w:jc w:val="both"/>
        <w:rPr>
          <w:rFonts w:ascii="Palatino Linotype" w:eastAsia="Palatino Linotype" w:hAnsi="Palatino Linotype" w:cs="Palatino Linotype"/>
          <w:b/>
          <w:sz w:val="24"/>
          <w:szCs w:val="24"/>
        </w:rPr>
      </w:pPr>
    </w:p>
    <w:p w:rsidR="0099705D" w:rsidRDefault="0099705D">
      <w:pPr>
        <w:tabs>
          <w:tab w:val="left" w:pos="4962"/>
        </w:tabs>
        <w:spacing w:before="240" w:after="240" w:line="360" w:lineRule="auto"/>
        <w:jc w:val="both"/>
        <w:rPr>
          <w:rFonts w:ascii="Palatino Linotype" w:eastAsia="Palatino Linotype" w:hAnsi="Palatino Linotype" w:cs="Palatino Linotype"/>
          <w:b/>
          <w:sz w:val="24"/>
          <w:szCs w:val="24"/>
        </w:rPr>
      </w:pPr>
    </w:p>
    <w:p w:rsidR="0099705D" w:rsidRDefault="0099705D">
      <w:pPr>
        <w:tabs>
          <w:tab w:val="left" w:pos="4962"/>
        </w:tabs>
        <w:spacing w:before="240" w:after="240" w:line="360" w:lineRule="auto"/>
        <w:jc w:val="both"/>
        <w:rPr>
          <w:rFonts w:ascii="Palatino Linotype" w:eastAsia="Palatino Linotype" w:hAnsi="Palatino Linotype" w:cs="Palatino Linotype"/>
          <w:b/>
          <w:sz w:val="24"/>
          <w:szCs w:val="24"/>
        </w:rPr>
      </w:pPr>
    </w:p>
    <w:p w:rsidR="0099705D" w:rsidRDefault="0099705D">
      <w:pPr>
        <w:tabs>
          <w:tab w:val="left" w:pos="4962"/>
        </w:tabs>
        <w:spacing w:before="240" w:after="240" w:line="360" w:lineRule="auto"/>
        <w:jc w:val="both"/>
        <w:rPr>
          <w:rFonts w:ascii="Palatino Linotype" w:eastAsia="Palatino Linotype" w:hAnsi="Palatino Linotype" w:cs="Palatino Linotype"/>
          <w:b/>
          <w:sz w:val="24"/>
          <w:szCs w:val="24"/>
        </w:rPr>
      </w:pPr>
    </w:p>
    <w:p w:rsidR="0099705D" w:rsidRDefault="0099705D">
      <w:pPr>
        <w:tabs>
          <w:tab w:val="left" w:pos="4962"/>
        </w:tabs>
        <w:spacing w:before="240" w:after="240" w:line="360" w:lineRule="auto"/>
        <w:jc w:val="both"/>
        <w:rPr>
          <w:rFonts w:ascii="Palatino Linotype" w:eastAsia="Palatino Linotype" w:hAnsi="Palatino Linotype" w:cs="Palatino Linotype"/>
          <w:b/>
          <w:sz w:val="24"/>
          <w:szCs w:val="24"/>
        </w:rPr>
      </w:pPr>
    </w:p>
    <w:p w:rsidR="0099705D" w:rsidRDefault="0099705D">
      <w:pPr>
        <w:tabs>
          <w:tab w:val="left" w:pos="4962"/>
        </w:tabs>
        <w:spacing w:before="240" w:after="240" w:line="360" w:lineRule="auto"/>
        <w:jc w:val="both"/>
        <w:rPr>
          <w:rFonts w:ascii="Palatino Linotype" w:eastAsia="Palatino Linotype" w:hAnsi="Palatino Linotype" w:cs="Palatino Linotype"/>
          <w:b/>
          <w:sz w:val="24"/>
          <w:szCs w:val="24"/>
        </w:rPr>
      </w:pPr>
    </w:p>
    <w:sectPr w:rsidR="0099705D">
      <w:headerReference w:type="default" r:id="rId11"/>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02" w:rsidRDefault="00064602">
      <w:pPr>
        <w:spacing w:after="0" w:line="240" w:lineRule="auto"/>
      </w:pPr>
      <w:r>
        <w:separator/>
      </w:r>
    </w:p>
  </w:endnote>
  <w:endnote w:type="continuationSeparator" w:id="0">
    <w:p w:rsidR="00064602" w:rsidRDefault="0006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02" w:rsidRDefault="00064602">
      <w:pPr>
        <w:spacing w:after="0" w:line="240" w:lineRule="auto"/>
      </w:pPr>
      <w:r>
        <w:separator/>
      </w:r>
    </w:p>
  </w:footnote>
  <w:footnote w:type="continuationSeparator" w:id="0">
    <w:p w:rsidR="00064602" w:rsidRDefault="0006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D" w:rsidRDefault="000C525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-1171573</wp:posOffset>
          </wp:positionH>
          <wp:positionV relativeFrom="paragraph">
            <wp:posOffset>-486408</wp:posOffset>
          </wp:positionV>
          <wp:extent cx="7510628" cy="9883775"/>
          <wp:effectExtent l="0" t="0" r="0" b="0"/>
          <wp:wrapNone/>
          <wp:docPr id="23731340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9705D" w:rsidRDefault="000C525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9705D" w:rsidRDefault="000C525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08349/INFOEM/IP/RR/2023 </w:t>
    </w:r>
  </w:p>
  <w:p w:rsidR="0099705D" w:rsidRDefault="0099705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9705D" w:rsidRDefault="0099705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D1B78"/>
    <w:multiLevelType w:val="multilevel"/>
    <w:tmpl w:val="16DE9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0A435E"/>
    <w:multiLevelType w:val="multilevel"/>
    <w:tmpl w:val="7B5AB6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5465B1"/>
    <w:multiLevelType w:val="multilevel"/>
    <w:tmpl w:val="1A00BC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99D7932"/>
    <w:multiLevelType w:val="multilevel"/>
    <w:tmpl w:val="73E0F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5D"/>
    <w:rsid w:val="00064602"/>
    <w:rsid w:val="000C5253"/>
    <w:rsid w:val="00145B0C"/>
    <w:rsid w:val="002115B5"/>
    <w:rsid w:val="002D3DCA"/>
    <w:rsid w:val="00931857"/>
    <w:rsid w:val="00997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AD971-BA9E-40BC-8F35-66476967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pomex.org.mx/recursos/ipo/files_ipo/2014/8/11/630bc7787b59af912a96a9e1bca1c770.pdf"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Il/DZZIKNQCc+JQA6uBa5FR6Q==">CgMxLjAyCGguZ2pkZ3hzMgloLjMwajB6bGwyCWguMWZvYjl0ZTIOaC5pYmJudDczbXlkYmkyDmguOHZhOHVlNDVtYnp6MgloLjJldDkycDA4AHIhMXhMZjU2T0R4LVdFR0FwaXJwNHhyMjNKWDRMYk8wV0RM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2312</Words>
  <Characters>12718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dcterms:created xsi:type="dcterms:W3CDTF">2024-03-11T16:46:00Z</dcterms:created>
  <dcterms:modified xsi:type="dcterms:W3CDTF">2024-03-11T17:27:00Z</dcterms:modified>
</cp:coreProperties>
</file>