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B0" w:rsidRDefault="00D54907">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PRIMERA SESIÓN ORDINARIA DEL TRES DE ABRIL DE DOS MIL VEINTICUATRO, EN EL RECURSO DE REVISIÓN 06916/INFOEM/IP/RR/2023. </w:t>
      </w:r>
    </w:p>
    <w:p w:rsidR="00E006B0" w:rsidRDefault="00E006B0">
      <w:pPr>
        <w:spacing w:after="0" w:line="360" w:lineRule="auto"/>
        <w:jc w:val="both"/>
        <w:rPr>
          <w:rFonts w:ascii="Palatino Linotype" w:eastAsia="Palatino Linotype" w:hAnsi="Palatino Linotype" w:cs="Palatino Linotype"/>
          <w:b/>
        </w:rPr>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06916/INFOEM/IP/RR/2023, </w:t>
      </w:r>
      <w:r>
        <w:rPr>
          <w:rFonts w:ascii="Palatino Linotype" w:eastAsia="Palatino Linotype" w:hAnsi="Palatino Linotype" w:cs="Palatino Linotype"/>
        </w:rPr>
        <w:t>pronunciada por el Pleno de este Instituto ante el proyecto presentado por el Comisionado Luis Gustavo Parra Noriega, el cual se formuló, conforme al tenor siguiente:</w:t>
      </w:r>
    </w:p>
    <w:p w:rsidR="00E006B0" w:rsidRDefault="00E006B0">
      <w:pPr>
        <w:spacing w:after="0" w:line="360" w:lineRule="auto"/>
        <w:jc w:val="both"/>
        <w:rPr>
          <w:rFonts w:ascii="Palatino Linotype" w:eastAsia="Palatino Linotype" w:hAnsi="Palatino Linotype" w:cs="Palatino Linotype"/>
          <w:b/>
        </w:rPr>
      </w:pPr>
    </w:p>
    <w:p w:rsidR="00E006B0" w:rsidRDefault="00D54907">
      <w:pPr>
        <w:numPr>
          <w:ilvl w:val="0"/>
          <w:numId w:val="3"/>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E006B0" w:rsidRDefault="00E006B0">
      <w:pPr>
        <w:spacing w:after="0" w:line="360" w:lineRule="auto"/>
        <w:ind w:left="142"/>
        <w:jc w:val="both"/>
        <w:rPr>
          <w:rFonts w:ascii="Palatino Linotype" w:eastAsia="Palatino Linotype" w:hAnsi="Palatino Linotype" w:cs="Palatino Linotype"/>
          <w:b/>
        </w:rPr>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E006B0" w:rsidRDefault="00E006B0">
      <w:pPr>
        <w:spacing w:after="0" w:line="360" w:lineRule="auto"/>
        <w:jc w:val="both"/>
        <w:rPr>
          <w:rFonts w:ascii="Palatino Linotype" w:eastAsia="Palatino Linotype" w:hAnsi="Palatino Linotype" w:cs="Palatino Linotype"/>
        </w:rPr>
      </w:pPr>
    </w:p>
    <w:p w:rsidR="00E006B0" w:rsidRDefault="00D54907">
      <w:pPr>
        <w:spacing w:after="0" w:line="240" w:lineRule="auto"/>
        <w:ind w:left="284" w:right="335"/>
        <w:jc w:val="both"/>
        <w:rPr>
          <w:rFonts w:ascii="Palatino Linotype" w:eastAsia="Palatino Linotype" w:hAnsi="Palatino Linotype" w:cs="Palatino Linotype"/>
          <w:i/>
        </w:rPr>
      </w:pPr>
      <w:r>
        <w:rPr>
          <w:rFonts w:ascii="Palatino Linotype" w:eastAsia="Palatino Linotype" w:hAnsi="Palatino Linotype" w:cs="Palatino Linotype"/>
          <w:i/>
        </w:rPr>
        <w:t xml:space="preserve">“copias de facturas pagadas a medios de comunicacion durante la administracion 2022-2024, directorio completo del personal que labora en el actual ayuntamiento municipal, copia de nómina de todos los que laboran dentro de la actual administración municipal y que antigüedad tienen laborando dentro del ayuntamiento, cuanto adeuda a CAEM, Luz y Fuerza del Centro (compañia de luz), ISSEMYM y a cualquier otra emprea que haya prestado sus servicios al ayuntamiento, copias de denuncias que haya actualmente en mesa de responsabilidades en </w:t>
      </w:r>
      <w:r>
        <w:rPr>
          <w:rFonts w:ascii="Palatino Linotype" w:eastAsia="Palatino Linotype" w:hAnsi="Palatino Linotype" w:cs="Palatino Linotype"/>
          <w:i/>
        </w:rPr>
        <w:lastRenderedPageBreak/>
        <w:t>contra de las actuales autoridades municipales o servidores publicos del ayuntamiento. Copia de resultados de las auditorías realizadas al Ayuntamiento, copia de denuncias y quejas realizadas dentro de contraloria interna del Ayuntamiento, a cuanto ascienden los ingresos y egresos netos de Ayuntamiento de a enero a agosto 2023, a quienes y cuanto adeuda por sueldos o nomina no pagada a los trabajadores del ayuntamiento, nombre y cargo del personal ha sido dado de baja y porque causas dentro del periodo enero 2023 a agosto 2023” (Sic).</w:t>
      </w:r>
    </w:p>
    <w:p w:rsidR="00E006B0" w:rsidRDefault="00E006B0">
      <w:pPr>
        <w:spacing w:after="0" w:line="240" w:lineRule="auto"/>
        <w:ind w:left="284" w:right="335"/>
        <w:jc w:val="both"/>
        <w:rPr>
          <w:rFonts w:ascii="Palatino Linotype" w:eastAsia="Palatino Linotype" w:hAnsi="Palatino Linotype" w:cs="Palatino Linotype"/>
          <w:i/>
        </w:rPr>
      </w:pPr>
    </w:p>
    <w:p w:rsidR="00E006B0" w:rsidRDefault="00E006B0">
      <w:pPr>
        <w:spacing w:after="0" w:line="276" w:lineRule="auto"/>
        <w:ind w:left="567" w:right="900"/>
        <w:jc w:val="both"/>
        <w:rPr>
          <w:rFonts w:ascii="Palatino Linotype" w:eastAsia="Palatino Linotype" w:hAnsi="Palatino Linotype" w:cs="Palatino Linotype"/>
          <w:i/>
        </w:rPr>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su Titular de la Dirección de Administración, sólo se concretó a entregar el directorio, que contiene diversos campos, entre ellos, área, cargo, apellidos, nombre, fecha de ingreso y observaciones.</w:t>
      </w:r>
    </w:p>
    <w:p w:rsidR="00E006B0" w:rsidRDefault="00E006B0">
      <w:pPr>
        <w:tabs>
          <w:tab w:val="left" w:pos="567"/>
        </w:tabs>
        <w:spacing w:after="0" w:line="360" w:lineRule="auto"/>
        <w:ind w:right="-28"/>
        <w:rPr>
          <w:rFonts w:ascii="Palatino Linotype" w:eastAsia="Palatino Linotype" w:hAnsi="Palatino Linotype" w:cs="Palatino Linotype"/>
          <w:b/>
          <w:color w:val="0D0D0D"/>
        </w:rPr>
      </w:pPr>
    </w:p>
    <w:p w:rsidR="00E006B0" w:rsidRDefault="00D54907">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en lo medular por la respuesta no corresponde con lo solicitado.</w:t>
      </w:r>
    </w:p>
    <w:p w:rsidR="00E006B0" w:rsidRDefault="00E006B0">
      <w:pPr>
        <w:spacing w:after="0" w:line="360" w:lineRule="auto"/>
        <w:ind w:left="567" w:right="567"/>
        <w:jc w:val="both"/>
        <w:rPr>
          <w:rFonts w:ascii="Palatino Linotype" w:eastAsia="Palatino Linotype" w:hAnsi="Palatino Linotype" w:cs="Palatino Linotype"/>
          <w:b/>
          <w:i/>
        </w:rPr>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atención a ello, mediante informe justificado, el Sujeto Obligado a través de su Contralor Interno Municipal, señaló lo siguiente:</w:t>
      </w:r>
    </w:p>
    <w:p w:rsidR="00E006B0" w:rsidRDefault="00E006B0">
      <w:pPr>
        <w:spacing w:after="0" w:line="360" w:lineRule="auto"/>
        <w:jc w:val="both"/>
        <w:rPr>
          <w:rFonts w:ascii="Palatino Linotype" w:eastAsia="Palatino Linotype" w:hAnsi="Palatino Linotype" w:cs="Palatino Linotype"/>
        </w:rPr>
      </w:pPr>
    </w:p>
    <w:p w:rsidR="00E006B0" w:rsidRDefault="00D54907">
      <w:pPr>
        <w:spacing w:after="0" w:line="360" w:lineRule="auto"/>
        <w:ind w:right="567"/>
        <w:rPr>
          <w:rFonts w:ascii="Palatino Linotype" w:eastAsia="Palatino Linotype" w:hAnsi="Palatino Linotype" w:cs="Palatino Linotype"/>
          <w:i/>
        </w:rPr>
      </w:pPr>
      <w:r>
        <w:rPr>
          <w:rFonts w:ascii="Palatino Linotype" w:eastAsia="Palatino Linotype" w:hAnsi="Palatino Linotype" w:cs="Palatino Linotype"/>
          <w:i/>
        </w:rPr>
        <w:t>“…-No es posible precisar el numero de copias que existan en la  mesa de responsabilidades por no tener competencia alguna.</w:t>
      </w:r>
    </w:p>
    <w:p w:rsidR="00E006B0" w:rsidRDefault="00D54907">
      <w:pPr>
        <w:spacing w:after="0" w:line="360" w:lineRule="auto"/>
        <w:ind w:right="567"/>
        <w:jc w:val="both"/>
        <w:rPr>
          <w:rFonts w:ascii="Palatino Linotype" w:eastAsia="Palatino Linotype" w:hAnsi="Palatino Linotype" w:cs="Palatino Linotype"/>
          <w:i/>
        </w:rPr>
      </w:pPr>
      <w:r>
        <w:rPr>
          <w:rFonts w:ascii="Palatino Linotype" w:eastAsia="Palatino Linotype" w:hAnsi="Palatino Linotype" w:cs="Palatino Linotype"/>
          <w:i/>
        </w:rPr>
        <w:t>-En lo que respecta a los resultados de auditoria, esas son informadas de manera directa al ejecutivo.</w:t>
      </w:r>
    </w:p>
    <w:p w:rsidR="00E006B0" w:rsidRDefault="00D54907">
      <w:pPr>
        <w:spacing w:after="0" w:line="360" w:lineRule="auto"/>
        <w:ind w:right="567"/>
        <w:jc w:val="both"/>
        <w:rPr>
          <w:rFonts w:ascii="Palatino Linotype" w:eastAsia="Palatino Linotype" w:hAnsi="Palatino Linotype" w:cs="Palatino Linotype"/>
        </w:rPr>
      </w:pPr>
      <w:r>
        <w:rPr>
          <w:rFonts w:ascii="Palatino Linotype" w:eastAsia="Palatino Linotype" w:hAnsi="Palatino Linotype" w:cs="Palatino Linotype"/>
          <w:i/>
        </w:rPr>
        <w:t>-Y en relación a las copias de denuncias y quejas realizadas dentro de la contraloría me permito enviar en copia simple legible las registradas en el libro de gobierno que cubre al rubro de lo solicitado, omitiendo datos personales de los que en ella intervienen, salvaguardando el derecho a la confidencialidad, anonimato entre otros…“</w:t>
      </w:r>
    </w:p>
    <w:p w:rsidR="00E006B0" w:rsidRDefault="00E006B0">
      <w:pPr>
        <w:spacing w:after="0" w:line="360" w:lineRule="auto"/>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otra parte volvió a remitir el directorio que envió en respuesta.</w:t>
      </w:r>
    </w:p>
    <w:p w:rsidR="00E006B0" w:rsidRDefault="00E006B0">
      <w:pPr>
        <w:spacing w:after="0" w:line="360" w:lineRule="auto"/>
        <w:jc w:val="both"/>
        <w:rPr>
          <w:rFonts w:ascii="Palatino Linotype" w:eastAsia="Palatino Linotype" w:hAnsi="Palatino Linotype" w:cs="Palatino Linotype"/>
        </w:rPr>
      </w:pPr>
    </w:p>
    <w:p w:rsidR="00E006B0" w:rsidRDefault="00D5490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Remitió el Oficio UT/216/2023, signado por la Titular de la Unidad de Transparencia, mediante el cual realiza el turno a la Tesorería Municipal y el Oficio UT/225/2023, signado por la Titular de la Unidad de Transparencia, mediante el cual le informa a la Tesorera Municipal que la información enviada en CD no se puede leer, razón por la cual no se puede subir la información.</w:t>
      </w:r>
    </w:p>
    <w:p w:rsidR="00E006B0" w:rsidRDefault="00E006B0">
      <w:pPr>
        <w:spacing w:after="0" w:line="360" w:lineRule="auto"/>
        <w:jc w:val="both"/>
        <w:rPr>
          <w:rFonts w:ascii="Palatino Linotype" w:eastAsia="Palatino Linotype" w:hAnsi="Palatino Linotype" w:cs="Palatino Linotype"/>
        </w:rPr>
      </w:pPr>
    </w:p>
    <w:p w:rsidR="00E006B0" w:rsidRDefault="00D54907">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Pleno del Instituto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E006B0" w:rsidRDefault="00E006B0">
      <w:pPr>
        <w:spacing w:after="0" w:line="360" w:lineRule="auto"/>
        <w:ind w:right="-6"/>
        <w:jc w:val="both"/>
        <w:rPr>
          <w:rFonts w:ascii="Palatino Linotype" w:eastAsia="Palatino Linotype" w:hAnsi="Palatino Linotype" w:cs="Palatino Linotype"/>
        </w:rPr>
      </w:pPr>
      <w:bookmarkStart w:id="3" w:name="_heading=h.z735l3czgu3c" w:colFirst="0" w:colLast="0"/>
      <w:bookmarkEnd w:id="3"/>
    </w:p>
    <w:p w:rsidR="00B31EC0" w:rsidRPr="00B31EC0" w:rsidRDefault="00D54907" w:rsidP="00B31EC0">
      <w:pPr>
        <w:spacing w:after="0" w:line="240" w:lineRule="auto"/>
        <w:contextualSpacing/>
        <w:jc w:val="both"/>
        <w:rPr>
          <w:rFonts w:ascii="Palatino Linotype" w:hAnsi="Palatino Linotype" w:cs="Tahoma"/>
          <w:i/>
        </w:rPr>
      </w:pPr>
      <w:bookmarkStart w:id="4" w:name="_heading=h.b2d2bx6xq45v" w:colFirst="0" w:colLast="0"/>
      <w:bookmarkEnd w:id="4"/>
      <w:r w:rsidRPr="00B31EC0">
        <w:rPr>
          <w:rFonts w:ascii="Palatino Linotype" w:eastAsia="Palatino Linotype" w:hAnsi="Palatino Linotype" w:cs="Palatino Linotype"/>
          <w:b/>
          <w:i/>
          <w:color w:val="0D0D0D"/>
        </w:rPr>
        <w:t>“…</w:t>
      </w:r>
      <w:r w:rsidR="00B31EC0" w:rsidRPr="00B31EC0">
        <w:rPr>
          <w:rFonts w:ascii="Palatino Linotype" w:hAnsi="Palatino Linotype" w:cs="Tahoma"/>
          <w:b/>
          <w:bCs/>
          <w:i/>
        </w:rPr>
        <w:t xml:space="preserve">SEGUNDO. </w:t>
      </w:r>
      <w:r w:rsidR="00B31EC0" w:rsidRPr="00B31EC0">
        <w:rPr>
          <w:rFonts w:ascii="Palatino Linotype" w:hAnsi="Palatino Linotype" w:cs="Tahoma"/>
          <w:i/>
        </w:rPr>
        <w:t xml:space="preserve">Se </w:t>
      </w:r>
      <w:r w:rsidR="00B31EC0" w:rsidRPr="00B31EC0">
        <w:rPr>
          <w:rFonts w:ascii="Palatino Linotype" w:hAnsi="Palatino Linotype" w:cs="Tahoma"/>
          <w:b/>
          <w:i/>
        </w:rPr>
        <w:t xml:space="preserve">ORDENA </w:t>
      </w:r>
      <w:r w:rsidR="00B31EC0" w:rsidRPr="00B31EC0">
        <w:rPr>
          <w:rFonts w:ascii="Palatino Linotype" w:hAnsi="Palatino Linotype" w:cs="Tahoma"/>
          <w:bCs/>
          <w:i/>
        </w:rPr>
        <w:t>al Ayuntamiento de Atlautla</w:t>
      </w:r>
      <w:r w:rsidR="00B31EC0" w:rsidRPr="00B31EC0">
        <w:rPr>
          <w:rFonts w:ascii="Palatino Linotype" w:hAnsi="Palatino Linotype" w:cs="Tahoma"/>
          <w:i/>
        </w:rPr>
        <w:t>, a efecto de que, previa búsqueda exhaustiva y razonable, en todos los archivos de las unidades administrativas competentes, entregue, a través del Sistema de Acceso a la Información Mexiquense (SAIMEX), en su caso, en versión pública, los documentos donde conste lo siguiente:</w:t>
      </w:r>
    </w:p>
    <w:p w:rsidR="00B31EC0" w:rsidRPr="00B31EC0" w:rsidRDefault="00B31EC0" w:rsidP="00B31EC0">
      <w:pPr>
        <w:spacing w:after="0" w:line="240" w:lineRule="auto"/>
        <w:contextualSpacing/>
        <w:jc w:val="both"/>
        <w:rPr>
          <w:rFonts w:ascii="Palatino Linotype" w:hAnsi="Palatino Linotype" w:cs="Tahoma"/>
          <w:i/>
        </w:rPr>
      </w:pPr>
      <w:r w:rsidRPr="00B31EC0">
        <w:rPr>
          <w:rFonts w:ascii="Palatino Linotype" w:hAnsi="Palatino Linotype" w:cs="Tahoma"/>
          <w:i/>
        </w:rPr>
        <w:t xml:space="preserve"> </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Facturas pagadas a medios de comunicación del primero de enero de dos mil veintidós al cinco de septiembre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Directorio completo del personal que labora en la Administración Pública Municipal vigente al cinco de septiembre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Recibos de nómina, de la primera y segunda quincena de abril de dos mil veintitrés, de todos los servidores públicos que laboran en la administración municipal en la que se incluya la antigüedad;</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Adeudos del primero de enero de dos mil veintidós al cinco de septiembre de dos mil veintitrés, en los que se incluya cualquier empresa que haya prestado sus servicios al Ayuntamiento.</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Adeudos por sueldos no pagados a los trabajadores del primero de enero de dos mil veintidós al cinco de septiembre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Resultados de las auditorías concluidas realizadas al Ayuntamiento al cinco de septiembre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bCs/>
          <w:i/>
          <w:iCs/>
          <w:lang w:val="es-ES" w:eastAsia="es-ES"/>
        </w:rPr>
        <w:lastRenderedPageBreak/>
        <w:t xml:space="preserve">Denuncias y quejas presentadas ante la Contraloría Municipal que dieron origen a los procedimientos de responsabilidades, que al cinco de septiembre de dos mil veintitrés, se encontraran concluidas, así como, de aquellos que se encuentren en trámite y se relacione con actos de corrupción, delitos de lesa humanidad o posibles violaciones graves a derechos humanos, de conformidad con el artículo 142, de la </w:t>
      </w:r>
      <w:r w:rsidRPr="00B31EC0">
        <w:rPr>
          <w:rFonts w:ascii="Palatino Linotype" w:eastAsia="Times New Roman" w:hAnsi="Palatino Linotype"/>
          <w:bCs/>
          <w:i/>
          <w:iCs/>
          <w:lang w:eastAsia="es-ES"/>
        </w:rPr>
        <w:t>Ley de Transparencia y Acceso a la Información  Pública del Estado de México y Municipios;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Monto de los ingresos y egresos netos del Ayuntamiento del primero de enero al treinta y uno de agosto de agosto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Nombre, cargo y causas del personal dado de baja, del primero de enero al treinta y uno de agosto de dos mil veintitrés.</w:t>
      </w:r>
    </w:p>
    <w:p w:rsidR="00B31EC0" w:rsidRPr="00B31EC0" w:rsidRDefault="00B31EC0" w:rsidP="00B31EC0">
      <w:pPr>
        <w:numPr>
          <w:ilvl w:val="0"/>
          <w:numId w:val="4"/>
        </w:numPr>
        <w:spacing w:after="0" w:line="240" w:lineRule="auto"/>
        <w:contextualSpacing/>
        <w:jc w:val="both"/>
        <w:rPr>
          <w:rFonts w:ascii="Palatino Linotype" w:eastAsia="Times New Roman" w:hAnsi="Palatino Linotype"/>
          <w:i/>
          <w:lang w:eastAsia="es-ES"/>
        </w:rPr>
      </w:pPr>
      <w:r w:rsidRPr="00B31EC0">
        <w:rPr>
          <w:rFonts w:ascii="Palatino Linotype" w:eastAsia="Times New Roman" w:hAnsi="Palatino Linotype"/>
          <w:i/>
          <w:lang w:eastAsia="es-ES"/>
        </w:rPr>
        <w:t xml:space="preserve">Acuerdo de clasificación como información reservada de las denuncias y quejas en trámite presentadas ante la Contraloría Municipal, </w:t>
      </w:r>
      <w:r w:rsidRPr="00B31EC0">
        <w:rPr>
          <w:rFonts w:ascii="Palatino Linotype" w:hAnsi="Palatino Linotype" w:cs="Tahoma"/>
          <w:bCs/>
          <w:i/>
          <w:iCs/>
        </w:rPr>
        <w:t>con los artículos 49, fracciones II y VIII, 132, fracción II y 140 de la Ley de Transparencia y Acceso a la Información Pública del Estado de México y Municipios.</w:t>
      </w:r>
    </w:p>
    <w:p w:rsidR="00B31EC0" w:rsidRPr="00B31EC0" w:rsidRDefault="00B31EC0" w:rsidP="00B31EC0">
      <w:pPr>
        <w:spacing w:after="0" w:line="240" w:lineRule="auto"/>
        <w:ind w:left="360"/>
        <w:contextualSpacing/>
        <w:jc w:val="both"/>
        <w:rPr>
          <w:rFonts w:ascii="Palatino Linotype" w:eastAsia="Times New Roman" w:hAnsi="Palatino Linotype"/>
          <w:i/>
          <w:lang w:eastAsia="es-ES"/>
        </w:rPr>
      </w:pPr>
    </w:p>
    <w:p w:rsidR="00B31EC0" w:rsidRPr="00B31EC0" w:rsidRDefault="00B31EC0" w:rsidP="00B31EC0">
      <w:pPr>
        <w:tabs>
          <w:tab w:val="left" w:pos="4962"/>
        </w:tabs>
        <w:spacing w:after="0" w:line="240" w:lineRule="auto"/>
        <w:contextualSpacing/>
        <w:jc w:val="both"/>
        <w:rPr>
          <w:rFonts w:ascii="Palatino Linotype" w:hAnsi="Palatino Linotype" w:cs="Tahoma"/>
          <w:bCs/>
          <w:i/>
          <w:iCs/>
        </w:rPr>
      </w:pPr>
      <w:r w:rsidRPr="00B31EC0">
        <w:rPr>
          <w:rFonts w:ascii="Palatino Linotype" w:hAnsi="Palatino Linotype" w:cs="Tahoma"/>
          <w:bCs/>
          <w:i/>
          <w:iCs/>
        </w:rPr>
        <w:t>Además, de ser necesario, deberá proporcionar el Acuerdo de Clasificación donde el Comité de Transparencia, confirme la eliminación de los datos o información clasificada, en las versiones públicas que se entreguen, de conformidad con los artículos 49, fracciones II y VIII y 132, fracción II de la Ley de Transparencia y Acceso a la Información Pública del Estado de México y Municipios.</w:t>
      </w:r>
    </w:p>
    <w:p w:rsidR="00B31EC0" w:rsidRPr="00B31EC0" w:rsidRDefault="00B31EC0" w:rsidP="00B31EC0">
      <w:pPr>
        <w:tabs>
          <w:tab w:val="left" w:pos="4962"/>
        </w:tabs>
        <w:spacing w:after="0" w:line="240" w:lineRule="auto"/>
        <w:contextualSpacing/>
        <w:jc w:val="both"/>
        <w:rPr>
          <w:rFonts w:ascii="Palatino Linotype" w:hAnsi="Palatino Linotype" w:cs="Tahoma"/>
          <w:bCs/>
          <w:i/>
          <w:iCs/>
        </w:rPr>
      </w:pPr>
    </w:p>
    <w:p w:rsidR="00E006B0" w:rsidRPr="00B31EC0" w:rsidRDefault="00B31EC0" w:rsidP="00B31EC0">
      <w:pPr>
        <w:spacing w:after="0" w:line="240" w:lineRule="auto"/>
        <w:contextualSpacing/>
        <w:jc w:val="both"/>
        <w:rPr>
          <w:rFonts w:ascii="Palatino Linotype" w:eastAsia="Palatino Linotype" w:hAnsi="Palatino Linotype" w:cs="Palatino Linotype"/>
          <w:i/>
          <w:color w:val="000000"/>
        </w:rPr>
      </w:pPr>
      <w:r w:rsidRPr="00B31EC0">
        <w:rPr>
          <w:rFonts w:ascii="Palatino Linotype" w:hAnsi="Palatino Linotype"/>
          <w:i/>
        </w:rPr>
        <w:t>Para el caso, de que la información que se ordena entregar en los numerales 4, 5 y 9 no se localice al no haberse administrado o generado, deberá hacerlo del conocimiento del ahora Recurr</w:t>
      </w:r>
      <w:r>
        <w:rPr>
          <w:rFonts w:ascii="Palatino Linotype" w:hAnsi="Palatino Linotype"/>
          <w:i/>
        </w:rPr>
        <w:t>ente, de manera clara y precisa</w:t>
      </w:r>
      <w:r w:rsidR="00D54907" w:rsidRPr="00B31EC0">
        <w:rPr>
          <w:rFonts w:ascii="Palatino Linotype" w:eastAsia="Palatino Linotype" w:hAnsi="Palatino Linotype" w:cs="Palatino Linotype"/>
          <w:i/>
        </w:rPr>
        <w:t>…</w:t>
      </w:r>
      <w:r w:rsidR="00D54907" w:rsidRPr="00B31EC0">
        <w:rPr>
          <w:rFonts w:ascii="Palatino Linotype" w:eastAsia="Palatino Linotype" w:hAnsi="Palatino Linotype" w:cs="Palatino Linotype"/>
          <w:i/>
          <w:color w:val="000000"/>
        </w:rPr>
        <w:t>” (Sic)</w:t>
      </w:r>
    </w:p>
    <w:p w:rsidR="00E006B0" w:rsidRDefault="00E006B0">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E006B0" w:rsidRDefault="00D54907">
      <w:pPr>
        <w:numPr>
          <w:ilvl w:val="0"/>
          <w:numId w:val="3"/>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E006B0" w:rsidRDefault="00E006B0">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E006B0" w:rsidRDefault="00D5490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sin embargo en cuanto al punto 3 que se ordena, sobre los recibos de nómina, por regla general la publicidad de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 xml:space="preserve">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w:t>
      </w:r>
      <w:r>
        <w:rPr>
          <w:rFonts w:ascii="Palatino Linotype" w:eastAsia="Palatino Linotype" w:hAnsi="Palatino Linotype" w:cs="Palatino Linotype"/>
          <w:color w:val="000000"/>
        </w:rPr>
        <w:lastRenderedPageBreak/>
        <w:t xml:space="preserve">Estado de México y Municipios; no obstante lo anterior, considero que dicha regla está sujeta a claro régimen de  excepción, la cual concretamente se aprecia en el caso de los recibos de nómina del personal de la policía que se encuentra adscrito a instituciones de seguridad pública con funciones operativas, en atención a los consideraciones que a continuación se exponen. </w:t>
      </w:r>
    </w:p>
    <w:p w:rsidR="00E006B0" w:rsidRDefault="00E006B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E006B0" w:rsidRDefault="00D5490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rPr>
        <w:t xml:space="preserve">. </w:t>
      </w:r>
    </w:p>
    <w:p w:rsidR="00E006B0" w:rsidRDefault="00E006B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006B0" w:rsidRDefault="00D5490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señala que la actuación de las instituciones de seguridad pública se regirá por los principios de legalidad, objetividad, eficiencia, profesionalismo, honradez y respeto a los derechos humanos.</w:t>
      </w:r>
    </w:p>
    <w:p w:rsidR="00E006B0" w:rsidRDefault="00E006B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E006B0" w:rsidRDefault="00D5490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E006B0" w:rsidRDefault="00E006B0">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E006B0" w:rsidRDefault="00E006B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006B0" w:rsidRDefault="00D54907">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E006B0" w:rsidRDefault="00E006B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E006B0" w:rsidRDefault="00D5490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81.- Toda información para la seguridad pública generada o en poder de Instituciones de Seguridad Pública o de cualquier instancia del Sistema Estatal debe registrarse, clasificarse y tratarse de conformidad con las disposiciones aplicables. No </w:t>
      </w:r>
      <w:r>
        <w:rPr>
          <w:rFonts w:ascii="Palatino Linotype" w:eastAsia="Palatino Linotype" w:hAnsi="Palatino Linotype" w:cs="Palatino Linotype"/>
          <w:i/>
        </w:rPr>
        <w:lastRenderedPageBreak/>
        <w:t>obstante lo anterior, esta información se considerará reservada en los casos siguientes:</w:t>
      </w:r>
    </w:p>
    <w:p w:rsidR="00E006B0" w:rsidRDefault="00D5490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006B0" w:rsidRDefault="00D54907">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E006B0" w:rsidRDefault="00E006B0">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E006B0" w:rsidRDefault="00D5490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113. Como información reservada podrá clasificarse aquella cuya publicación: </w:t>
      </w:r>
    </w:p>
    <w:p w:rsidR="00E006B0" w:rsidRDefault="00D5490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E006B0" w:rsidRDefault="00D5490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E006B0" w:rsidRDefault="00D54907">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140. El acceso a la información pública será restringido excepcionalmente, cuando por razones de interés público, ésta sea clasificada como reservada, conforme a los criterios siguientes: </w:t>
      </w:r>
    </w:p>
    <w:p w:rsidR="00E006B0" w:rsidRDefault="00D54907">
      <w:pPr>
        <w:numPr>
          <w:ilvl w:val="0"/>
          <w:numId w:val="2"/>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Comprometa la seguridad pública y cuente con un propósito genuino y un efecto demostrable…” (Sic)</w:t>
      </w:r>
    </w:p>
    <w:p w:rsidR="00E006B0" w:rsidRDefault="00E006B0">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w:t>
      </w:r>
      <w:r>
        <w:rPr>
          <w:rFonts w:ascii="Palatino Linotype" w:eastAsia="Palatino Linotype" w:hAnsi="Palatino Linotype" w:cs="Palatino Linotype"/>
        </w:rPr>
        <w:lastRenderedPageBreak/>
        <w:t>la Ciudad de México, los Estados y los Municipios, tendientes a preservar y resguardar la vida, la salud, la integridad y el ejercicio de los derechos de las personas, así como para el mantenimiento del orden público.</w:t>
      </w: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E006B0" w:rsidRDefault="00D5490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E006B0" w:rsidRDefault="00D5490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1. Se identifica en términos concretos cómo es que la información requerida podría comprometer el ejercicio de sus facultades constitucionales y, con ello, la seguridad pública, en virtud de que: </w:t>
      </w:r>
    </w:p>
    <w:p w:rsidR="00E006B0" w:rsidRDefault="00D5490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006B0" w:rsidRDefault="00D5490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E006B0" w:rsidRDefault="00D54907">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dinámica social.</w:t>
      </w:r>
    </w:p>
    <w:p w:rsidR="00E006B0" w:rsidRDefault="00D54907">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E006B0" w:rsidRDefault="00D54907">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 la fecha de la solicitud, aunado a que no se hace una distinción entre el número de personal operativo y administrativo. </w:t>
      </w:r>
    </w:p>
    <w:p w:rsidR="00E006B0" w:rsidRDefault="00D54907">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consecuencia, la información de los elementos operativos adscrito a instituciones de seguridad pública,  deben recibir un tratamiento de carácter excepcional, y esto es en razón </w:t>
      </w:r>
      <w:r>
        <w:rPr>
          <w:rFonts w:ascii="Palatino Linotype" w:eastAsia="Palatino Linotype" w:hAnsi="Palatino Linotype" w:cs="Palatino Linotype"/>
          <w:color w:val="000000"/>
        </w:rPr>
        <w:lastRenderedPageBreak/>
        <w:t>de que,  son los responsables de procurar el orden, la estabilidad y la defensa de la sociedad a la que pertenecen, por lo que, se estima que al proporcionar dicha información se revela el número de servidores públicos operativos con funciones de seguridad pública activos en el Sujeto obligado; información con la que se da a conocer el estado de fuerza y la capacidad de reacción del órgano público.</w:t>
      </w:r>
    </w:p>
    <w:p w:rsidR="00E006B0" w:rsidRDefault="00D54907">
      <w:pPr>
        <w:spacing w:before="240" w:after="240" w:line="360" w:lineRule="auto"/>
        <w:jc w:val="both"/>
        <w:rPr>
          <w:rFonts w:ascii="Palatino Linotype" w:eastAsia="Palatino Linotype" w:hAnsi="Palatino Linotype" w:cs="Palatino Linotype"/>
        </w:rPr>
      </w:pPr>
      <w:bookmarkStart w:id="6" w:name="_heading=h.jjcdfz331x30" w:colFirst="0" w:colLast="0"/>
      <w:bookmarkEnd w:id="6"/>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w:t>
      </w:r>
      <w:r w:rsidRPr="00B31EC0">
        <w:rPr>
          <w:rFonts w:ascii="Palatino Linotype" w:eastAsia="Palatino Linotype" w:hAnsi="Palatino Linotype" w:cs="Palatino Linotype"/>
        </w:rPr>
        <w:t xml:space="preserve"> 4 para la entrega del informe trimestral 2023</w:t>
      </w:r>
      <w:r>
        <w:rPr>
          <w:rFonts w:ascii="Palatino Linotype" w:eastAsia="Palatino Linotype" w:hAnsi="Palatino Linotype" w:cs="Palatino Linotype"/>
        </w:rPr>
        <w:t xml:space="preserve">, en dicho documento obran los siguientes elementos: </w:t>
      </w:r>
    </w:p>
    <w:p w:rsidR="00B31EC0" w:rsidRDefault="00B31EC0">
      <w:pPr>
        <w:spacing w:before="240" w:after="240" w:line="360" w:lineRule="auto"/>
        <w:jc w:val="both"/>
        <w:rPr>
          <w:rFonts w:ascii="Palatino Linotype" w:eastAsia="Palatino Linotype" w:hAnsi="Palatino Linotype" w:cs="Palatino Linotype"/>
          <w:color w:val="FF0000"/>
        </w:rPr>
      </w:pPr>
      <w:r w:rsidRPr="00E45EF3">
        <w:rPr>
          <w:rFonts w:ascii="Palatino Linotype" w:eastAsia="Palatino Linotype" w:hAnsi="Palatino Linotype" w:cs="Palatino Linotype"/>
          <w:noProof/>
        </w:rPr>
        <w:drawing>
          <wp:inline distT="0" distB="0" distL="0" distR="0" wp14:anchorId="553997C0" wp14:editId="1D7F7C51">
            <wp:extent cx="5526886" cy="340888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9983" cy="3423129"/>
                    </a:xfrm>
                    <a:prstGeom prst="rect">
                      <a:avLst/>
                    </a:prstGeom>
                  </pic:spPr>
                </pic:pic>
              </a:graphicData>
            </a:graphic>
          </wp:inline>
        </w:drawing>
      </w:r>
    </w:p>
    <w:p w:rsidR="00E006B0" w:rsidRDefault="00B31EC0">
      <w:pPr>
        <w:spacing w:before="240" w:after="240" w:line="360" w:lineRule="auto"/>
        <w:ind w:right="139"/>
        <w:jc w:val="both"/>
        <w:rPr>
          <w:rFonts w:ascii="Palatino Linotype" w:eastAsia="Palatino Linotype" w:hAnsi="Palatino Linotype" w:cs="Palatino Linotype"/>
        </w:rPr>
      </w:pPr>
      <w:r w:rsidRPr="00E45EF3">
        <w:rPr>
          <w:rFonts w:ascii="Palatino Linotype" w:eastAsia="Palatino Linotype" w:hAnsi="Palatino Linotype" w:cs="Palatino Linotype"/>
          <w:noProof/>
        </w:rPr>
        <w:lastRenderedPageBreak/>
        <w:drawing>
          <wp:inline distT="0" distB="0" distL="0" distR="0" wp14:anchorId="781196A5" wp14:editId="55CD3E23">
            <wp:extent cx="5442509" cy="2570683"/>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2963" cy="2589791"/>
                    </a:xfrm>
                    <a:prstGeom prst="rect">
                      <a:avLst/>
                    </a:prstGeom>
                  </pic:spPr>
                </pic:pic>
              </a:graphicData>
            </a:graphic>
          </wp:inline>
        </w:drawing>
      </w:r>
    </w:p>
    <w:p w:rsidR="00E006B0" w:rsidRDefault="00D54907">
      <w:pPr>
        <w:spacing w:before="240" w:after="240" w:line="360" w:lineRule="auto"/>
        <w:ind w:right="139"/>
        <w:jc w:val="both"/>
        <w:rPr>
          <w:rFonts w:ascii="Palatino Linotype" w:eastAsia="Palatino Linotype" w:hAnsi="Palatino Linotype" w:cs="Palatino Linotype"/>
        </w:rPr>
        <w:sectPr w:rsidR="00E006B0">
          <w:headerReference w:type="even" r:id="rId10"/>
          <w:headerReference w:type="default" r:id="rId11"/>
          <w:footerReference w:type="default" r:id="rId12"/>
          <w:pgSz w:w="12240" w:h="15840"/>
          <w:pgMar w:top="1871" w:right="1327" w:bottom="2836" w:left="1985" w:header="709" w:footer="586" w:gutter="0"/>
          <w:pgNumType w:start="1"/>
          <w:cols w:space="720"/>
        </w:sectPr>
      </w:pPr>
      <w:bookmarkStart w:id="7" w:name="_heading=h.2et92p0" w:colFirst="0" w:colLast="0"/>
      <w:bookmarkStart w:id="8" w:name="_heading=h.3znysh7" w:colFirst="0" w:colLast="0"/>
      <w:bookmarkEnd w:id="7"/>
      <w:bookmarkEnd w:id="8"/>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p w:rsidR="00E006B0" w:rsidRDefault="00E006B0">
      <w:pPr>
        <w:spacing w:after="0" w:line="360" w:lineRule="auto"/>
        <w:ind w:right="139"/>
        <w:jc w:val="both"/>
        <w:rPr>
          <w:rFonts w:ascii="Palatino Linotype" w:eastAsia="Palatino Linotype" w:hAnsi="Palatino Linotype" w:cs="Palatino Linotype"/>
        </w:rPr>
      </w:pPr>
    </w:p>
    <w:sectPr w:rsidR="00E006B0">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25" w:rsidRDefault="00236525">
      <w:pPr>
        <w:spacing w:after="0" w:line="240" w:lineRule="auto"/>
      </w:pPr>
      <w:r>
        <w:separator/>
      </w:r>
    </w:p>
  </w:endnote>
  <w:endnote w:type="continuationSeparator" w:id="0">
    <w:p w:rsidR="00236525" w:rsidRDefault="0023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0" w:rsidRDefault="00D5490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00CC7">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00CC7">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E006B0" w:rsidRDefault="00E006B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0" w:rsidRDefault="00D549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0CC7">
      <w:rPr>
        <w:b/>
        <w:noProof/>
        <w:color w:val="000000"/>
        <w:sz w:val="24"/>
        <w:szCs w:val="24"/>
      </w:rPr>
      <w:t>1</w:t>
    </w:r>
    <w:r>
      <w:rPr>
        <w:b/>
        <w:color w:val="000000"/>
        <w:sz w:val="24"/>
        <w:szCs w:val="24"/>
      </w:rPr>
      <w:fldChar w:fldCharType="end"/>
    </w:r>
    <w:r>
      <w:rPr>
        <w:b/>
        <w:color w:val="000000"/>
        <w:sz w:val="24"/>
        <w:szCs w:val="24"/>
      </w:rPr>
      <w:t>2</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0CC7">
      <w:rPr>
        <w:b/>
        <w:noProof/>
        <w:color w:val="000000"/>
        <w:sz w:val="24"/>
        <w:szCs w:val="24"/>
      </w:rPr>
      <w:t>12</w:t>
    </w:r>
    <w:r>
      <w:rPr>
        <w:b/>
        <w:color w:val="000000"/>
        <w:sz w:val="24"/>
        <w:szCs w:val="24"/>
      </w:rPr>
      <w:fldChar w:fldCharType="end"/>
    </w:r>
  </w:p>
  <w:p w:rsidR="00E006B0" w:rsidRDefault="00E006B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25" w:rsidRDefault="00236525">
      <w:pPr>
        <w:spacing w:after="0" w:line="240" w:lineRule="auto"/>
      </w:pPr>
      <w:r>
        <w:separator/>
      </w:r>
    </w:p>
  </w:footnote>
  <w:footnote w:type="continuationSeparator" w:id="0">
    <w:p w:rsidR="00236525" w:rsidRDefault="0023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0" w:rsidRDefault="00D5490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33" name="Rectángulo 33"/>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E006B0" w:rsidRDefault="00D54907">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Rectángulo 33" o:spid="_x0000_s1026" style="position:absolute;margin-left:0;margin-top:0;width:3357.75pt;height:3357.7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" filled="f" stroked="f">
              <v:textbox inset="2.53958mm,2.53958mm,2.53958mm,2.53958mm">
                <w:txbxContent>
                  <w:p w:rsidR="00E006B0" w:rsidRDefault="00D54907">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0" w:rsidRDefault="00D5490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-1115053</wp:posOffset>
          </wp:positionH>
          <wp:positionV relativeFrom="paragraph">
            <wp:posOffset>-433695</wp:posOffset>
          </wp:positionV>
          <wp:extent cx="7510628" cy="9883775"/>
          <wp:effectExtent l="0" t="0" r="0" b="0"/>
          <wp:wrapNone/>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006B0" w:rsidRDefault="00E006B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006B0" w:rsidRDefault="00E006B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006B0" w:rsidRDefault="00D549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006B0" w:rsidRDefault="00D549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FF0000"/>
        <w:sz w:val="20"/>
        <w:szCs w:val="20"/>
        <w:highlight w:val="yellow"/>
      </w:rPr>
    </w:pPr>
    <w:r>
      <w:rPr>
        <w:rFonts w:ascii="Palatino Linotype" w:eastAsia="Palatino Linotype" w:hAnsi="Palatino Linotype" w:cs="Palatino Linotype"/>
        <w:b/>
        <w:color w:val="000000"/>
        <w:sz w:val="20"/>
        <w:szCs w:val="20"/>
      </w:rPr>
      <w:t xml:space="preserve">   RECURSOS DE REVISIÓN 06916/INFOEM/IP/RR/2023</w:t>
    </w:r>
    <w:r>
      <w:rPr>
        <w:rFonts w:ascii="Palatino Linotype" w:eastAsia="Palatino Linotype" w:hAnsi="Palatino Linotype" w:cs="Palatino Linotype"/>
        <w:b/>
        <w:color w:val="FF0000"/>
        <w:sz w:val="20"/>
        <w:szCs w:val="20"/>
        <w:highlight w:val="yellow"/>
      </w:rPr>
      <w:t xml:space="preserve"> </w:t>
    </w:r>
  </w:p>
  <w:p w:rsidR="00E006B0" w:rsidRDefault="00E006B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0" w:rsidRDefault="00E006B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006B0" w:rsidRDefault="00E006B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006B0" w:rsidRDefault="00E006B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006B0" w:rsidRDefault="00E006B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E42C8"/>
    <w:multiLevelType w:val="hybridMultilevel"/>
    <w:tmpl w:val="0B9CC3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956E3C"/>
    <w:multiLevelType w:val="multilevel"/>
    <w:tmpl w:val="6FC2BF28"/>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15:restartNumberingAfterBreak="0">
    <w:nsid w:val="708F69FB"/>
    <w:multiLevelType w:val="multilevel"/>
    <w:tmpl w:val="4642A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40684B"/>
    <w:multiLevelType w:val="multilevel"/>
    <w:tmpl w:val="97343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0"/>
    <w:rsid w:val="00100CC7"/>
    <w:rsid w:val="00236525"/>
    <w:rsid w:val="00B31EC0"/>
    <w:rsid w:val="00D54907"/>
    <w:rsid w:val="00E00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5F11E-5359-4ACB-8790-CA8A2FF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61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618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cOg/7W3GF+V7wjbJJ4DL9l3nQ==">CgMxLjAyCGguZ2pkZ3hzMgloLjMwajB6bGwyDmguejczNWwzY3pndTNjMg5oLmIyZDJieDZ4cTQ1djIJaC4xZm9iOXRlMg5oLmpqY2RmejMzMXgzMDIJaC4yZXQ5MnAwMgloLjN6bnlzaDc4AHIhMW9mNUhWX0NpcHBfOUdvRHU5TVdEZW5PeTRGZnBFYkFx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2769</Words>
  <Characters>15231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2024-04-08T17:44:00Z</cp:lastPrinted>
  <dcterms:created xsi:type="dcterms:W3CDTF">2024-04-04T18:00:00Z</dcterms:created>
  <dcterms:modified xsi:type="dcterms:W3CDTF">2024-04-08T17:44:00Z</dcterms:modified>
</cp:coreProperties>
</file>