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A1" w:rsidRPr="00275340" w:rsidRDefault="00F034A5">
      <w:pPr>
        <w:spacing w:before="240" w:after="240" w:line="360" w:lineRule="auto"/>
        <w:jc w:val="both"/>
        <w:rPr>
          <w:rFonts w:ascii="Palatino Linotype" w:eastAsia="Palatino Linotype" w:hAnsi="Palatino Linotype" w:cs="Palatino Linotype"/>
          <w:b/>
          <w:sz w:val="24"/>
          <w:szCs w:val="24"/>
        </w:rPr>
      </w:pPr>
      <w:bookmarkStart w:id="0" w:name="_heading=h.u5yn92xmpz4a" w:colFirst="0" w:colLast="0"/>
      <w:bookmarkEnd w:id="0"/>
      <w:r w:rsidRPr="00275340">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Pr="00275340">
        <w:rPr>
          <w:rFonts w:ascii="Palatino Linotype" w:eastAsia="Palatino Linotype" w:hAnsi="Palatino Linotype" w:cs="Palatino Linotype"/>
          <w:b/>
          <w:sz w:val="24"/>
          <w:szCs w:val="24"/>
        </w:rPr>
        <w:t>SÉPTIMA SESIÓN ORDINARIA CELEBRADA EL VEINTIOCHO DE FEBRERO DE DOS MIL VEINTICUATRO, EN LOS RECURSOS DE REVISIÓN 03871/INFOEM/IP/RR/2023, 04629/INFOEM/IP/RR/2023, 05049/INFOEM/IP/RR/2023, 05569/INFOEM/IP/RR/2023, 05570/INFOEM/IP/RR/2023, 05584/INFOEM/IP/RR</w:t>
      </w:r>
      <w:r w:rsidRPr="00275340">
        <w:rPr>
          <w:rFonts w:ascii="Palatino Linotype" w:eastAsia="Palatino Linotype" w:hAnsi="Palatino Linotype" w:cs="Palatino Linotype"/>
          <w:b/>
          <w:sz w:val="24"/>
          <w:szCs w:val="24"/>
        </w:rPr>
        <w:t>/2023, 05623/INFOEM/IP/RR/2023, 05817/INFOEM/IP/RR/2023, 05848/INFOEM/IP/RR/2023, 05898/INFOEM/IP/RR/2023, 05926/INFOEM/IP/RR/2023, 05948/INFOEM/IP/RR/2023, 05962/INFOEM/IP/RR/2023, 05986/INFOEM/IP/RR/2023, 05994/INFOEM/IP/RR/2023, 06029/INFOEM/IP/RR/2023,</w:t>
      </w:r>
      <w:r w:rsidRPr="00275340">
        <w:rPr>
          <w:rFonts w:ascii="Palatino Linotype" w:eastAsia="Palatino Linotype" w:hAnsi="Palatino Linotype" w:cs="Palatino Linotype"/>
          <w:b/>
          <w:sz w:val="24"/>
          <w:szCs w:val="24"/>
        </w:rPr>
        <w:t xml:space="preserve"> 06142/INFOEM/IP/RR/2023 Y 06196/INFOEM/IP/RR/2023 , ACUMULADOS.</w:t>
      </w:r>
    </w:p>
    <w:p w:rsidR="003113A1" w:rsidRPr="00275340" w:rsidRDefault="00F034A5">
      <w:p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Con fundamento en lo dispuesto por el artículo 14, fracciones X y XI, del Reglamento del Instituto de Transparencia, Acceso a la Información Pública y Protección de Datos Personales del Estad</w:t>
      </w:r>
      <w:r w:rsidRPr="00275340">
        <w:rPr>
          <w:rFonts w:ascii="Palatino Linotype" w:eastAsia="Palatino Linotype" w:hAnsi="Palatino Linotype" w:cs="Palatino Linotype"/>
          <w:sz w:val="24"/>
          <w:szCs w:val="24"/>
        </w:rPr>
        <w:t xml:space="preserve">o de México, la que suscribe </w:t>
      </w:r>
      <w:r w:rsidRPr="00275340">
        <w:rPr>
          <w:rFonts w:ascii="Palatino Linotype" w:eastAsia="Palatino Linotype" w:hAnsi="Palatino Linotype" w:cs="Palatino Linotype"/>
          <w:b/>
          <w:sz w:val="24"/>
          <w:szCs w:val="24"/>
        </w:rPr>
        <w:t xml:space="preserve">Guadalupe Ramírez Peña, </w:t>
      </w:r>
      <w:r w:rsidRPr="00275340">
        <w:rPr>
          <w:rFonts w:ascii="Palatino Linotype" w:eastAsia="Palatino Linotype" w:hAnsi="Palatino Linotype" w:cs="Palatino Linotype"/>
          <w:sz w:val="24"/>
          <w:szCs w:val="24"/>
        </w:rPr>
        <w:t xml:space="preserve">emite </w:t>
      </w:r>
      <w:r w:rsidRPr="00275340">
        <w:rPr>
          <w:rFonts w:ascii="Palatino Linotype" w:eastAsia="Palatino Linotype" w:hAnsi="Palatino Linotype" w:cs="Palatino Linotype"/>
          <w:b/>
          <w:sz w:val="24"/>
          <w:szCs w:val="24"/>
        </w:rPr>
        <w:t xml:space="preserve">Voto Particular </w:t>
      </w:r>
      <w:r w:rsidRPr="00275340">
        <w:rPr>
          <w:rFonts w:ascii="Palatino Linotype" w:eastAsia="Palatino Linotype" w:hAnsi="Palatino Linotype" w:cs="Palatino Linotype"/>
          <w:sz w:val="24"/>
          <w:szCs w:val="24"/>
        </w:rPr>
        <w:t xml:space="preserve">respecto a la resolución dictada en los recursos de revisión </w:t>
      </w:r>
      <w:r w:rsidRPr="00275340">
        <w:rPr>
          <w:rFonts w:ascii="Palatino Linotype" w:eastAsia="Palatino Linotype" w:hAnsi="Palatino Linotype" w:cs="Palatino Linotype"/>
          <w:b/>
          <w:sz w:val="24"/>
          <w:szCs w:val="24"/>
        </w:rPr>
        <w:t>03871/INFOEM/IP/RR/2023</w:t>
      </w:r>
      <w:r w:rsidRPr="00275340">
        <w:rPr>
          <w:rFonts w:ascii="Palatino Linotype" w:eastAsia="Palatino Linotype" w:hAnsi="Palatino Linotype" w:cs="Palatino Linotype"/>
          <w:b/>
          <w:sz w:val="24"/>
          <w:szCs w:val="24"/>
        </w:rPr>
        <w:t xml:space="preserve"> </w:t>
      </w:r>
      <w:r w:rsidRPr="00275340">
        <w:rPr>
          <w:rFonts w:ascii="Palatino Linotype" w:eastAsia="Palatino Linotype" w:hAnsi="Palatino Linotype" w:cs="Palatino Linotype"/>
          <w:sz w:val="24"/>
          <w:szCs w:val="24"/>
        </w:rPr>
        <w:t>y</w:t>
      </w:r>
      <w:r w:rsidRPr="00275340">
        <w:rPr>
          <w:rFonts w:ascii="Palatino Linotype" w:eastAsia="Palatino Linotype" w:hAnsi="Palatino Linotype" w:cs="Palatino Linotype"/>
          <w:sz w:val="24"/>
          <w:szCs w:val="24"/>
        </w:rPr>
        <w:t xml:space="preserve"> acumulados, pronunciada con el criterio mayoritario </w:t>
      </w:r>
      <w:r w:rsidRPr="00275340">
        <w:rPr>
          <w:rFonts w:ascii="Palatino Linotype" w:eastAsia="Palatino Linotype" w:hAnsi="Palatino Linotype" w:cs="Palatino Linotype"/>
          <w:sz w:val="24"/>
          <w:szCs w:val="24"/>
        </w:rPr>
        <w:lastRenderedPageBreak/>
        <w:t>del Pleno de este Instituto ante el proyec</w:t>
      </w:r>
      <w:r w:rsidRPr="00275340">
        <w:rPr>
          <w:rFonts w:ascii="Palatino Linotype" w:eastAsia="Palatino Linotype" w:hAnsi="Palatino Linotype" w:cs="Palatino Linotype"/>
          <w:sz w:val="24"/>
          <w:szCs w:val="24"/>
        </w:rPr>
        <w:t xml:space="preserve">to presentado por el Comisionado </w:t>
      </w:r>
      <w:r w:rsidRPr="00275340">
        <w:rPr>
          <w:rFonts w:ascii="Palatino Linotype" w:eastAsia="Palatino Linotype" w:hAnsi="Palatino Linotype" w:cs="Palatino Linotype"/>
          <w:b/>
          <w:sz w:val="24"/>
          <w:szCs w:val="24"/>
        </w:rPr>
        <w:t>Luis Gustavo Parra  Noriega</w:t>
      </w:r>
      <w:r w:rsidR="00B45EDC" w:rsidRPr="00275340">
        <w:rPr>
          <w:rFonts w:ascii="Palatino Linotype" w:eastAsia="Palatino Linotype" w:hAnsi="Palatino Linotype" w:cs="Palatino Linotype"/>
          <w:sz w:val="24"/>
          <w:szCs w:val="24"/>
        </w:rPr>
        <w:t xml:space="preserve">, </w:t>
      </w:r>
      <w:r w:rsidRPr="00275340">
        <w:rPr>
          <w:rFonts w:ascii="Palatino Linotype" w:eastAsia="Palatino Linotype" w:hAnsi="Palatino Linotype" w:cs="Palatino Linotype"/>
          <w:sz w:val="24"/>
          <w:szCs w:val="24"/>
        </w:rPr>
        <w:t>el cual es al tenor siguiente:</w:t>
      </w:r>
    </w:p>
    <w:p w:rsidR="00B45EDC" w:rsidRPr="00275340" w:rsidRDefault="00B45EDC" w:rsidP="00B45EDC">
      <w:pPr>
        <w:spacing w:before="240" w:after="240" w:line="360" w:lineRule="auto"/>
        <w:ind w:right="140"/>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Para iniciar la emisión del presente voto, conviene mencionar, que si bien se comparte el sentido de la resolución,</w:t>
      </w:r>
      <w:r w:rsidRPr="00275340">
        <w:rPr>
          <w:rFonts w:ascii="Palatino Linotype" w:eastAsia="Palatino Linotype" w:hAnsi="Palatino Linotype" w:cs="Palatino Linotype"/>
          <w:sz w:val="24"/>
          <w:szCs w:val="24"/>
        </w:rPr>
        <w:t xml:space="preserve"> </w:t>
      </w:r>
      <w:r w:rsidRPr="00275340">
        <w:rPr>
          <w:rFonts w:ascii="Palatino Linotype" w:eastAsia="Palatino Linotype" w:hAnsi="Palatino Linotype" w:cs="Palatino Linotype"/>
          <w:sz w:val="24"/>
          <w:szCs w:val="24"/>
        </w:rPr>
        <w:t xml:space="preserve">ya que del análisis de las constancias que conforman los expedientes electrónicos, se desprendió que la información solicitada es susceptible de transparentarse pues se encuentra relacionada con la gestión pública y con su publicidad se favorece indudablemente a la rendición de cuentas, sin embargo, no se coincide con los argumentos señalados en la misma particularmente respecto al recurso de revisión </w:t>
      </w:r>
      <w:r w:rsidRPr="00275340">
        <w:rPr>
          <w:rFonts w:ascii="Palatino Linotype" w:eastAsia="Palatino Linotype" w:hAnsi="Palatino Linotype" w:cs="Palatino Linotype"/>
          <w:b/>
          <w:sz w:val="24"/>
          <w:szCs w:val="24"/>
        </w:rPr>
        <w:t>0</w:t>
      </w:r>
      <w:r w:rsidRPr="00275340">
        <w:rPr>
          <w:rFonts w:ascii="Palatino Linotype" w:eastAsia="Palatino Linotype" w:hAnsi="Palatino Linotype" w:cs="Palatino Linotype"/>
          <w:b/>
          <w:sz w:val="24"/>
          <w:szCs w:val="24"/>
        </w:rPr>
        <w:t>6142</w:t>
      </w:r>
      <w:r w:rsidRPr="00275340">
        <w:rPr>
          <w:rFonts w:ascii="Palatino Linotype" w:eastAsia="Palatino Linotype" w:hAnsi="Palatino Linotype" w:cs="Palatino Linotype"/>
          <w:b/>
          <w:sz w:val="24"/>
          <w:szCs w:val="24"/>
        </w:rPr>
        <w:t xml:space="preserve">/INFOEM/IP/RR/2023, </w:t>
      </w:r>
      <w:r w:rsidRPr="00275340">
        <w:rPr>
          <w:rFonts w:ascii="Palatino Linotype" w:eastAsia="Palatino Linotype" w:hAnsi="Palatino Linotype" w:cs="Palatino Linotype"/>
          <w:sz w:val="24"/>
          <w:szCs w:val="24"/>
        </w:rPr>
        <w:t>en atención a los consideraciones que a continuación se exponen.</w:t>
      </w:r>
    </w:p>
    <w:p w:rsidR="00B012BD" w:rsidRPr="00275340" w:rsidRDefault="00B45EDC" w:rsidP="00B45EDC">
      <w:p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 xml:space="preserve">En primer lugar, debe decirse que la materia de la solicitud que le dio origen consistió en conocer el monto de gratificaciones otorgadas a servidores públicos durante los ejercicios 2022 y 2023, así como los recibos correspondientes, por lo que en atención a dicho requerimiento </w:t>
      </w:r>
      <w:r w:rsidR="00F034A5" w:rsidRPr="00275340">
        <w:rPr>
          <w:rFonts w:ascii="Palatino Linotype" w:eastAsia="Palatino Linotype" w:hAnsi="Palatino Linotype" w:cs="Palatino Linotype"/>
          <w:sz w:val="24"/>
          <w:szCs w:val="24"/>
        </w:rPr>
        <w:t xml:space="preserve">el </w:t>
      </w:r>
      <w:r w:rsidR="00F034A5" w:rsidRPr="00275340">
        <w:rPr>
          <w:rFonts w:ascii="Palatino Linotype" w:eastAsia="Palatino Linotype" w:hAnsi="Palatino Linotype" w:cs="Palatino Linotype"/>
          <w:b/>
          <w:sz w:val="24"/>
          <w:szCs w:val="24"/>
        </w:rPr>
        <w:t>Sujeto Obligado</w:t>
      </w:r>
      <w:r w:rsidRPr="00275340">
        <w:rPr>
          <w:rFonts w:ascii="Palatino Linotype" w:eastAsia="Palatino Linotype" w:hAnsi="Palatino Linotype" w:cs="Palatino Linotype"/>
          <w:b/>
          <w:sz w:val="24"/>
          <w:szCs w:val="24"/>
        </w:rPr>
        <w:t xml:space="preserve"> </w:t>
      </w:r>
      <w:r w:rsidRPr="00275340">
        <w:rPr>
          <w:rFonts w:ascii="Palatino Linotype" w:eastAsia="Palatino Linotype" w:hAnsi="Palatino Linotype" w:cs="Palatino Linotype"/>
          <w:sz w:val="24"/>
          <w:szCs w:val="24"/>
        </w:rPr>
        <w:t>manifestó que los servidores públicos que cuentan con percepciones por concepto de gratificaciones, es el personal sindicalizado, haciendo entrega de los recibos de nómina en versión pública correspondientes.</w:t>
      </w:r>
    </w:p>
    <w:p w:rsidR="00E02D9D" w:rsidRPr="00275340" w:rsidRDefault="00B012BD">
      <w:p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No obstante, al no esta</w:t>
      </w:r>
      <w:r w:rsidR="00690B07" w:rsidRPr="00275340">
        <w:rPr>
          <w:rFonts w:ascii="Palatino Linotype" w:eastAsia="Palatino Linotype" w:hAnsi="Palatino Linotype" w:cs="Palatino Linotype"/>
          <w:sz w:val="24"/>
          <w:szCs w:val="24"/>
        </w:rPr>
        <w:t>r</w:t>
      </w:r>
      <w:r w:rsidRPr="00275340">
        <w:rPr>
          <w:rFonts w:ascii="Palatino Linotype" w:eastAsia="Palatino Linotype" w:hAnsi="Palatino Linotype" w:cs="Palatino Linotype"/>
          <w:sz w:val="24"/>
          <w:szCs w:val="24"/>
        </w:rPr>
        <w:t xml:space="preserve"> conforme con los términos de la respuesta proporcionada, la</w:t>
      </w:r>
      <w:r w:rsidR="00690B07" w:rsidRPr="00275340">
        <w:rPr>
          <w:rFonts w:ascii="Palatino Linotype" w:eastAsia="Palatino Linotype" w:hAnsi="Palatino Linotype" w:cs="Palatino Linotype"/>
          <w:sz w:val="24"/>
          <w:szCs w:val="24"/>
        </w:rPr>
        <w:t xml:space="preserve"> persona solicitante inter</w:t>
      </w:r>
      <w:bookmarkStart w:id="1" w:name="_GoBack"/>
      <w:bookmarkEnd w:id="1"/>
      <w:r w:rsidR="00690B07" w:rsidRPr="00275340">
        <w:rPr>
          <w:rFonts w:ascii="Palatino Linotype" w:eastAsia="Palatino Linotype" w:hAnsi="Palatino Linotype" w:cs="Palatino Linotype"/>
          <w:sz w:val="24"/>
          <w:szCs w:val="24"/>
        </w:rPr>
        <w:t>puso</w:t>
      </w:r>
      <w:r w:rsidR="006A5CA1" w:rsidRPr="00275340">
        <w:rPr>
          <w:rFonts w:ascii="Palatino Linotype" w:eastAsia="Palatino Linotype" w:hAnsi="Palatino Linotype" w:cs="Palatino Linotype"/>
          <w:sz w:val="24"/>
          <w:szCs w:val="24"/>
        </w:rPr>
        <w:t xml:space="preserve"> recurso de revisión, donde manifestó como motivo de inconformidad, en lo medular, que tiene conocimiento de que a servidores públicos </w:t>
      </w:r>
      <w:r w:rsidR="006A5CA1" w:rsidRPr="00275340">
        <w:rPr>
          <w:rFonts w:ascii="Palatino Linotype" w:eastAsia="Palatino Linotype" w:hAnsi="Palatino Linotype" w:cs="Palatino Linotype"/>
          <w:sz w:val="24"/>
          <w:szCs w:val="24"/>
        </w:rPr>
        <w:lastRenderedPageBreak/>
        <w:t xml:space="preserve">no sindicalizados les fue otorgada una gratificación, </w:t>
      </w:r>
      <w:r w:rsidR="005C45F2" w:rsidRPr="00275340">
        <w:rPr>
          <w:rFonts w:ascii="Palatino Linotype" w:eastAsia="Palatino Linotype" w:hAnsi="Palatino Linotype" w:cs="Palatino Linotype"/>
          <w:sz w:val="24"/>
          <w:szCs w:val="24"/>
        </w:rPr>
        <w:t xml:space="preserve">asimismo adjuntó </w:t>
      </w:r>
      <w:r w:rsidR="006A5CA1" w:rsidRPr="00275340">
        <w:rPr>
          <w:rFonts w:ascii="Palatino Linotype" w:eastAsia="Palatino Linotype" w:hAnsi="Palatino Linotype" w:cs="Palatino Linotype"/>
          <w:sz w:val="24"/>
          <w:szCs w:val="24"/>
        </w:rPr>
        <w:t xml:space="preserve">un documento que contiene diversos recibos de nómina </w:t>
      </w:r>
      <w:r w:rsidR="005C45F2" w:rsidRPr="00275340">
        <w:rPr>
          <w:rFonts w:ascii="Palatino Linotype" w:eastAsia="Palatino Linotype" w:hAnsi="Palatino Linotype" w:cs="Palatino Linotype"/>
          <w:sz w:val="24"/>
          <w:szCs w:val="24"/>
        </w:rPr>
        <w:t xml:space="preserve">con la finalidad de acreditar </w:t>
      </w:r>
      <w:r w:rsidR="006A5CA1" w:rsidRPr="00275340">
        <w:rPr>
          <w:rFonts w:ascii="Palatino Linotype" w:eastAsia="Palatino Linotype" w:hAnsi="Palatino Linotype" w:cs="Palatino Linotype"/>
          <w:sz w:val="24"/>
          <w:szCs w:val="24"/>
        </w:rPr>
        <w:t>su dicho.</w:t>
      </w:r>
    </w:p>
    <w:p w:rsidR="00043633" w:rsidRPr="00275340" w:rsidRDefault="00F034A5" w:rsidP="00C02EEF">
      <w:pPr>
        <w:spacing w:before="240" w:after="240" w:line="360" w:lineRule="auto"/>
        <w:ind w:right="51"/>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A partir de estas ac</w:t>
      </w:r>
      <w:r w:rsidR="00C02EEF" w:rsidRPr="00275340">
        <w:rPr>
          <w:rFonts w:ascii="Palatino Linotype" w:eastAsia="Palatino Linotype" w:hAnsi="Palatino Linotype" w:cs="Palatino Linotype"/>
          <w:sz w:val="24"/>
          <w:szCs w:val="24"/>
        </w:rPr>
        <w:t>tuaciones este Organismo Garante</w:t>
      </w:r>
      <w:r w:rsidR="00E02D9D" w:rsidRPr="00275340">
        <w:rPr>
          <w:rFonts w:ascii="Palatino Linotype" w:eastAsia="Palatino Linotype" w:hAnsi="Palatino Linotype" w:cs="Palatino Linotype"/>
          <w:sz w:val="24"/>
          <w:szCs w:val="24"/>
        </w:rPr>
        <w:t xml:space="preserve"> </w:t>
      </w:r>
      <w:r w:rsidR="00043633" w:rsidRPr="00275340">
        <w:rPr>
          <w:rFonts w:ascii="Palatino Linotype" w:eastAsia="Palatino Linotype" w:hAnsi="Palatino Linotype" w:cs="Palatino Linotype"/>
          <w:sz w:val="24"/>
          <w:szCs w:val="24"/>
        </w:rPr>
        <w:t xml:space="preserve">aplicó lo señalado en </w:t>
      </w:r>
      <w:r w:rsidR="00043633" w:rsidRPr="00275340">
        <w:rPr>
          <w:rFonts w:ascii="Palatino Linotype" w:eastAsia="Palatino Linotype" w:hAnsi="Palatino Linotype" w:cs="Palatino Linotype"/>
          <w:sz w:val="24"/>
          <w:szCs w:val="24"/>
        </w:rPr>
        <w:t>los artículos 202 al 205 de la Ley de Transparencia y Acceso a la Información Pública del Estado de México y Municipios</w:t>
      </w:r>
      <w:r w:rsidR="00043633" w:rsidRPr="00275340">
        <w:rPr>
          <w:rFonts w:ascii="Palatino Linotype" w:eastAsia="Palatino Linotype" w:hAnsi="Palatino Linotype" w:cs="Palatino Linotype"/>
          <w:sz w:val="24"/>
          <w:szCs w:val="24"/>
        </w:rPr>
        <w:t xml:space="preserve"> y </w:t>
      </w:r>
      <w:r w:rsidR="00E02D9D" w:rsidRPr="00275340">
        <w:rPr>
          <w:rFonts w:ascii="Palatino Linotype" w:eastAsia="Palatino Linotype" w:hAnsi="Palatino Linotype" w:cs="Palatino Linotype"/>
          <w:sz w:val="24"/>
          <w:szCs w:val="24"/>
        </w:rPr>
        <w:t xml:space="preserve">determinó </w:t>
      </w:r>
      <w:r w:rsidR="00043633" w:rsidRPr="00275340">
        <w:rPr>
          <w:rFonts w:ascii="Palatino Linotype" w:eastAsia="Palatino Linotype" w:hAnsi="Palatino Linotype" w:cs="Palatino Linotype"/>
          <w:sz w:val="24"/>
          <w:szCs w:val="24"/>
        </w:rPr>
        <w:t>dar vista a la Dirección General de Protección de Datos Personales,</w:t>
      </w:r>
      <w:r w:rsidR="00043633" w:rsidRPr="00275340">
        <w:rPr>
          <w:rFonts w:ascii="Palatino Linotype" w:eastAsia="Palatino Linotype" w:hAnsi="Palatino Linotype" w:cs="Palatino Linotype"/>
          <w:sz w:val="24"/>
          <w:szCs w:val="24"/>
        </w:rPr>
        <w:t xml:space="preserve"> asimismo, </w:t>
      </w:r>
      <w:r w:rsidR="00E02D9D" w:rsidRPr="00275340">
        <w:rPr>
          <w:rFonts w:ascii="Palatino Linotype" w:eastAsia="Palatino Linotype" w:hAnsi="Palatino Linotype" w:cs="Palatino Linotype"/>
          <w:sz w:val="24"/>
          <w:szCs w:val="24"/>
        </w:rPr>
        <w:t>orden</w:t>
      </w:r>
      <w:r w:rsidR="00043633" w:rsidRPr="00275340">
        <w:rPr>
          <w:rFonts w:ascii="Palatino Linotype" w:eastAsia="Palatino Linotype" w:hAnsi="Palatino Linotype" w:cs="Palatino Linotype"/>
          <w:sz w:val="24"/>
          <w:szCs w:val="24"/>
        </w:rPr>
        <w:t xml:space="preserve">o </w:t>
      </w:r>
      <w:r w:rsidR="00E02D9D" w:rsidRPr="00275340">
        <w:rPr>
          <w:rFonts w:ascii="Palatino Linotype" w:eastAsia="Palatino Linotype" w:hAnsi="Palatino Linotype" w:cs="Palatino Linotype"/>
          <w:sz w:val="24"/>
          <w:szCs w:val="24"/>
        </w:rPr>
        <w:t xml:space="preserve">la entrega del documento que dé cuenta del monto total erogado por concepto de gratificación al personal no sindicalizado, del primero de enero de dos mil veintidós, al dieciséis de agosto de dos mil </w:t>
      </w:r>
      <w:r w:rsidR="00043633" w:rsidRPr="00275340">
        <w:rPr>
          <w:rFonts w:ascii="Palatino Linotype" w:eastAsia="Palatino Linotype" w:hAnsi="Palatino Linotype" w:cs="Palatino Linotype"/>
          <w:sz w:val="24"/>
          <w:szCs w:val="24"/>
        </w:rPr>
        <w:t>veintitrés.</w:t>
      </w:r>
    </w:p>
    <w:p w:rsidR="003113A1" w:rsidRPr="00275340" w:rsidRDefault="00E02D9D" w:rsidP="00C02EEF">
      <w:pPr>
        <w:spacing w:before="240" w:after="240" w:line="360" w:lineRule="auto"/>
        <w:ind w:right="51"/>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S</w:t>
      </w:r>
      <w:r w:rsidR="00F034A5" w:rsidRPr="00275340">
        <w:rPr>
          <w:rFonts w:ascii="Palatino Linotype" w:eastAsia="Palatino Linotype" w:hAnsi="Palatino Linotype" w:cs="Palatino Linotype"/>
          <w:sz w:val="24"/>
          <w:szCs w:val="24"/>
        </w:rPr>
        <w:t>irve de referencia el criterio con clave de control SO/001/2020, emitido por el Instituto Nacional de Transparencia, Acceso a la Información y Protección de Dat</w:t>
      </w:r>
      <w:r w:rsidR="00F034A5" w:rsidRPr="00275340">
        <w:rPr>
          <w:rFonts w:ascii="Palatino Linotype" w:eastAsia="Palatino Linotype" w:hAnsi="Palatino Linotype" w:cs="Palatino Linotype"/>
          <w:sz w:val="24"/>
          <w:szCs w:val="24"/>
        </w:rPr>
        <w:t>os Personales:</w:t>
      </w:r>
    </w:p>
    <w:p w:rsidR="005C45F2" w:rsidRPr="00275340" w:rsidRDefault="00F034A5" w:rsidP="005C45F2">
      <w:pPr>
        <w:spacing w:after="0" w:line="276" w:lineRule="auto"/>
        <w:ind w:left="851" w:right="990"/>
        <w:jc w:val="both"/>
        <w:rPr>
          <w:rFonts w:ascii="Palatino Linotype" w:eastAsia="Palatino Linotype" w:hAnsi="Palatino Linotype" w:cs="Palatino Linotype"/>
          <w:i/>
          <w:szCs w:val="20"/>
        </w:rPr>
      </w:pPr>
      <w:r w:rsidRPr="00275340">
        <w:rPr>
          <w:rFonts w:ascii="Palatino Linotype" w:eastAsia="Palatino Linotype" w:hAnsi="Palatino Linotype" w:cs="Palatino Linotype"/>
          <w:sz w:val="24"/>
          <w:szCs w:val="24"/>
        </w:rPr>
        <w:t xml:space="preserve"> </w:t>
      </w:r>
      <w:r w:rsidR="005C45F2" w:rsidRPr="00275340">
        <w:rPr>
          <w:rFonts w:ascii="Palatino Linotype" w:eastAsia="Palatino Linotype" w:hAnsi="Palatino Linotype" w:cs="Palatino Linotype"/>
          <w:b/>
          <w:i/>
          <w:szCs w:val="20"/>
        </w:rPr>
        <w:t>Actos consentidos tácitamente. Improcedencia de su análisis</w:t>
      </w:r>
      <w:r w:rsidR="005C45F2" w:rsidRPr="00275340">
        <w:rPr>
          <w:rFonts w:ascii="Palatino Linotype" w:eastAsia="Palatino Linotype" w:hAnsi="Palatino Linotype" w:cs="Palatino Linotype"/>
          <w:i/>
          <w:szCs w:val="20"/>
        </w:rPr>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5C45F2" w:rsidRPr="00275340" w:rsidRDefault="005C45F2" w:rsidP="005C45F2">
      <w:pPr>
        <w:spacing w:before="240"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De igual manera, la jurisprudencia, VI.2o. J/21., publicado en el Semanario Judicial de la Federación y su Gaceta. Tomo II, agosto de 1995, página 291, de la novena época, con registro digital 204707, define a los actos consentidos de la siguiente manera:</w:t>
      </w:r>
    </w:p>
    <w:p w:rsidR="005C45F2" w:rsidRPr="00275340" w:rsidRDefault="005C45F2" w:rsidP="005C45F2">
      <w:pPr>
        <w:spacing w:after="0" w:line="276" w:lineRule="auto"/>
        <w:ind w:left="560" w:right="620"/>
        <w:jc w:val="both"/>
        <w:rPr>
          <w:rFonts w:ascii="Palatino Linotype" w:eastAsia="Palatino Linotype" w:hAnsi="Palatino Linotype" w:cs="Palatino Linotype"/>
          <w:b/>
          <w:i/>
          <w:sz w:val="20"/>
          <w:szCs w:val="20"/>
        </w:rPr>
      </w:pPr>
      <w:r w:rsidRPr="00275340">
        <w:rPr>
          <w:rFonts w:ascii="Palatino Linotype" w:eastAsia="Palatino Linotype" w:hAnsi="Palatino Linotype" w:cs="Palatino Linotype"/>
          <w:b/>
          <w:i/>
          <w:sz w:val="20"/>
          <w:szCs w:val="20"/>
        </w:rPr>
        <w:t xml:space="preserve"> </w:t>
      </w:r>
    </w:p>
    <w:p w:rsidR="005C45F2" w:rsidRPr="00275340" w:rsidRDefault="005C45F2" w:rsidP="005C45F2">
      <w:pPr>
        <w:spacing w:after="0" w:line="276" w:lineRule="auto"/>
        <w:ind w:left="851" w:right="990"/>
        <w:jc w:val="both"/>
        <w:rPr>
          <w:rFonts w:ascii="Palatino Linotype" w:eastAsia="Palatino Linotype" w:hAnsi="Palatino Linotype" w:cs="Palatino Linotype"/>
          <w:i/>
          <w:szCs w:val="20"/>
        </w:rPr>
      </w:pPr>
      <w:r w:rsidRPr="00275340">
        <w:rPr>
          <w:rFonts w:ascii="Palatino Linotype" w:eastAsia="Palatino Linotype" w:hAnsi="Palatino Linotype" w:cs="Palatino Linotype"/>
          <w:b/>
          <w:i/>
          <w:szCs w:val="20"/>
        </w:rPr>
        <w:lastRenderedPageBreak/>
        <w:t xml:space="preserve">ACTOS CONSENTIDOS TACITAMENTE. </w:t>
      </w:r>
      <w:r w:rsidRPr="00275340">
        <w:rPr>
          <w:rFonts w:ascii="Palatino Linotype" w:eastAsia="Palatino Linotype" w:hAnsi="Palatino Linotype" w:cs="Palatino Linotype"/>
          <w:i/>
          <w:szCs w:val="20"/>
        </w:rPr>
        <w:t>Se presumen así, para los efectos del amparo, los actos del orden civil y administrativo, que no hubieren sido reclamados en esa vía dentro de los plazos que la ley señala.</w:t>
      </w:r>
    </w:p>
    <w:p w:rsidR="005C45F2" w:rsidRPr="00275340" w:rsidRDefault="005C45F2" w:rsidP="005C45F2">
      <w:pPr>
        <w:spacing w:before="240"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Por ello, considero</w:t>
      </w:r>
      <w:r w:rsidRPr="00275340">
        <w:rPr>
          <w:rFonts w:ascii="Palatino Linotype" w:eastAsia="Palatino Linotype" w:hAnsi="Palatino Linotype" w:cs="Palatino Linotype"/>
          <w:sz w:val="24"/>
          <w:szCs w:val="24"/>
        </w:rPr>
        <w:t xml:space="preserve"> que, en el caso de hacer estudio de documentales, que no fueron recurridos de manera específica por la parte </w:t>
      </w:r>
      <w:r w:rsidRPr="00275340">
        <w:rPr>
          <w:rFonts w:ascii="Palatino Linotype" w:eastAsia="Palatino Linotype" w:hAnsi="Palatino Linotype" w:cs="Palatino Linotype"/>
          <w:b/>
          <w:sz w:val="24"/>
          <w:szCs w:val="24"/>
        </w:rPr>
        <w:t>Recurrente</w:t>
      </w:r>
      <w:r w:rsidRPr="00275340">
        <w:rPr>
          <w:rFonts w:ascii="Palatino Linotype" w:eastAsia="Palatino Linotype" w:hAnsi="Palatino Linotype" w:cs="Palatino Linotype"/>
          <w:sz w:val="24"/>
          <w:szCs w:val="24"/>
        </w:rPr>
        <w:t>, se contrapone a lo señalado en la legislación de la materia, ya que al no haber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por lo que no debe girarse la vista citada.</w:t>
      </w:r>
    </w:p>
    <w:p w:rsidR="005C45F2" w:rsidRPr="00275340" w:rsidRDefault="005C45F2" w:rsidP="005C45F2">
      <w:pPr>
        <w:spacing w:before="240"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 xml:space="preserve">Aunado a lo anterior, es necesario precisar que conforme a los artículos 1°, 7°, 29, 36 fracciones II, XVI, XXI,XXII, XXVII y XXXVIII; 176, 185, 186, 188, 195, 198, 199, 200, 214, 216 y 220, fracción XIX de la Ley de Transparencia vigente en la Entidad, esta tiene por objeto establecer los principios, bases generales y procedimientos para tutelar y garantizar la transparencia y el derecho humano de acceso a la información pública en posesión de los sujetos obligados, del mismo modo precisa que este Instituto es un órgano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conforme a </w:t>
      </w:r>
      <w:r w:rsidRPr="00275340">
        <w:rPr>
          <w:rFonts w:ascii="Palatino Linotype" w:eastAsia="Palatino Linotype" w:hAnsi="Palatino Linotype" w:cs="Palatino Linotype"/>
          <w:sz w:val="24"/>
          <w:szCs w:val="24"/>
        </w:rPr>
        <w:lastRenderedPageBreak/>
        <w:t>los principios y bases establecidas en la Constitución Federal, Constitución Local, Ley General, así como lo previsto en esta Ley y demás disposiciones jurídicas aplicables.</w:t>
      </w:r>
    </w:p>
    <w:p w:rsidR="005C45F2" w:rsidRPr="00275340" w:rsidRDefault="005C45F2" w:rsidP="005C45F2">
      <w:p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En ese sentido, es de resaltar que el recurso de revisión es la garantía secundaria mediante la cual se pretende reparar cualquier posible afectación al derecho de acceso a la información pública, en donde las resoluciones de este Organismo Garante pueden:</w:t>
      </w:r>
    </w:p>
    <w:p w:rsidR="005C45F2" w:rsidRPr="00275340" w:rsidRDefault="005C45F2" w:rsidP="005C45F2">
      <w:pPr>
        <w:numPr>
          <w:ilvl w:val="0"/>
          <w:numId w:val="13"/>
        </w:num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Desechar o sobreseer el recurso</w:t>
      </w:r>
    </w:p>
    <w:p w:rsidR="005C45F2" w:rsidRPr="00275340" w:rsidRDefault="005C45F2" w:rsidP="005C45F2">
      <w:pPr>
        <w:numPr>
          <w:ilvl w:val="0"/>
          <w:numId w:val="13"/>
        </w:num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Confirma la respuesta del sujeto obligado</w:t>
      </w:r>
    </w:p>
    <w:p w:rsidR="005C45F2" w:rsidRPr="00275340" w:rsidRDefault="005C45F2" w:rsidP="005C45F2">
      <w:pPr>
        <w:numPr>
          <w:ilvl w:val="0"/>
          <w:numId w:val="13"/>
        </w:num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 xml:space="preserve">Revocar o modificar la respuesta del sujeto obligado; y </w:t>
      </w:r>
    </w:p>
    <w:p w:rsidR="005C45F2" w:rsidRPr="00275340" w:rsidRDefault="005C45F2" w:rsidP="005C45F2">
      <w:pPr>
        <w:numPr>
          <w:ilvl w:val="0"/>
          <w:numId w:val="13"/>
        </w:num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Ordenar la entrega de la información</w:t>
      </w:r>
    </w:p>
    <w:p w:rsidR="005C45F2" w:rsidRPr="00275340" w:rsidRDefault="005C45F2" w:rsidP="005C45F2">
      <w:p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Cabe agregar que las resoluciones que pronuncie este Instituto deben contener cuatro aspectos importantes:</w:t>
      </w:r>
    </w:p>
    <w:p w:rsidR="005C45F2" w:rsidRPr="00275340" w:rsidRDefault="005C45F2" w:rsidP="005C45F2">
      <w:pPr>
        <w:numPr>
          <w:ilvl w:val="0"/>
          <w:numId w:val="14"/>
        </w:num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Lugar, fecha, el nombre del recurrente y del tercero interesado en su caso, sujeto obligado y un extracto de los hechos cuestionados;</w:t>
      </w:r>
    </w:p>
    <w:p w:rsidR="005C45F2" w:rsidRPr="00275340" w:rsidRDefault="005C45F2" w:rsidP="005C45F2">
      <w:pPr>
        <w:numPr>
          <w:ilvl w:val="0"/>
          <w:numId w:val="14"/>
        </w:num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Los preceptos en que se fundamenten y las consideraciones que las sustenten;</w:t>
      </w:r>
    </w:p>
    <w:p w:rsidR="005C45F2" w:rsidRPr="00275340" w:rsidRDefault="005C45F2" w:rsidP="005C45F2">
      <w:pPr>
        <w:numPr>
          <w:ilvl w:val="0"/>
          <w:numId w:val="14"/>
        </w:num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Los alcances y efectos de la resolución, fijando con precisión, en su caso, los sujetos y órganos obligados a cumplirla; y</w:t>
      </w:r>
    </w:p>
    <w:p w:rsidR="005C45F2" w:rsidRPr="00275340" w:rsidRDefault="005C45F2" w:rsidP="005C45F2">
      <w:pPr>
        <w:numPr>
          <w:ilvl w:val="0"/>
          <w:numId w:val="14"/>
        </w:num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lastRenderedPageBreak/>
        <w:t>Los puntos resolutivos.</w:t>
      </w:r>
    </w:p>
    <w:p w:rsidR="005C45F2" w:rsidRPr="00275340" w:rsidRDefault="005C45F2" w:rsidP="005C45F2">
      <w:pPr>
        <w:spacing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Sobre este punto, se considera de suma importancia mencionar que, de la normatividad citada, se advierte que este Instituto está facultado entre otras cosas para:</w:t>
      </w:r>
    </w:p>
    <w:p w:rsidR="005C45F2" w:rsidRPr="00275340" w:rsidRDefault="005C45F2" w:rsidP="005C45F2">
      <w:pPr>
        <w:numPr>
          <w:ilvl w:val="0"/>
          <w:numId w:val="12"/>
        </w:numPr>
        <w:spacing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Conocer y resolver los recursos de revisión interpuestos por los particulares en contra de las resoluciones de los sujetos obligados en el ámbito estatal;</w:t>
      </w:r>
    </w:p>
    <w:p w:rsidR="005C45F2" w:rsidRPr="00275340" w:rsidRDefault="005C45F2" w:rsidP="005C45F2">
      <w:pPr>
        <w:numPr>
          <w:ilvl w:val="0"/>
          <w:numId w:val="12"/>
        </w:numPr>
        <w:spacing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Realizar de oficio y a petición de parte, análisis y recomendaciones o en su caso, lineamientos en relación con presuntos incumplimientos a las disposiciones de la Ley, cuando existan elementos suficientes a juicio del Pleno del Instituto;</w:t>
      </w:r>
    </w:p>
    <w:p w:rsidR="005C45F2" w:rsidRPr="00275340" w:rsidRDefault="005C45F2" w:rsidP="005C45F2">
      <w:pPr>
        <w:numPr>
          <w:ilvl w:val="0"/>
          <w:numId w:val="12"/>
        </w:numPr>
        <w:spacing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Emitir comunicados públicos sobre el incumplimiento de sus resoluciones o por infracciones reiteradas a la Ley, en el ámbito de su competencia;</w:t>
      </w:r>
    </w:p>
    <w:p w:rsidR="005C45F2" w:rsidRPr="00275340" w:rsidRDefault="005C45F2" w:rsidP="005C45F2">
      <w:pPr>
        <w:numPr>
          <w:ilvl w:val="0"/>
          <w:numId w:val="12"/>
        </w:numPr>
        <w:spacing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Ordenar a los sujetos obligados la ejecutoría en la entrega de información en términos de la presente Ley;</w:t>
      </w:r>
    </w:p>
    <w:p w:rsidR="005C45F2" w:rsidRPr="00275340" w:rsidRDefault="005C45F2" w:rsidP="005C45F2">
      <w:pPr>
        <w:numPr>
          <w:ilvl w:val="0"/>
          <w:numId w:val="12"/>
        </w:numPr>
        <w:spacing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Imponer las medidas de apremio para asegurar el cumplimiento de sus determinaciones;</w:t>
      </w:r>
    </w:p>
    <w:p w:rsidR="005C45F2" w:rsidRPr="00275340" w:rsidRDefault="005C45F2" w:rsidP="005C45F2">
      <w:pPr>
        <w:numPr>
          <w:ilvl w:val="0"/>
          <w:numId w:val="12"/>
        </w:numPr>
        <w:spacing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b/>
          <w:sz w:val="24"/>
          <w:szCs w:val="24"/>
          <w:u w:val="single"/>
        </w:rPr>
        <w:t>Hacer del conocimiento de la instancia competente la probable responsabilidad por el incumplimiento de las obligaciones</w:t>
      </w:r>
      <w:r w:rsidRPr="00275340">
        <w:rPr>
          <w:rFonts w:ascii="Palatino Linotype" w:eastAsia="Palatino Linotype" w:hAnsi="Palatino Linotype" w:cs="Palatino Linotype"/>
          <w:sz w:val="24"/>
          <w:szCs w:val="24"/>
        </w:rPr>
        <w:t xml:space="preserve"> previstas en la Ley y en las demás disposiciones aplicable.  </w:t>
      </w:r>
    </w:p>
    <w:p w:rsidR="005C45F2" w:rsidRPr="00275340" w:rsidRDefault="005C45F2" w:rsidP="005C45F2">
      <w:p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 xml:space="preserve">Establecido lo anterior, debe tomarse en cuenta que la vista a la Dirección General de Protección de Datos Personales de este Instituto, no debió incluirse en los resolutivos </w:t>
      </w:r>
      <w:r w:rsidRPr="00275340">
        <w:rPr>
          <w:rFonts w:ascii="Palatino Linotype" w:eastAsia="Palatino Linotype" w:hAnsi="Palatino Linotype" w:cs="Palatino Linotype"/>
          <w:sz w:val="24"/>
          <w:szCs w:val="24"/>
        </w:rPr>
        <w:lastRenderedPageBreak/>
        <w:t xml:space="preserve">de la resolución referida, toda vez que, la parte </w:t>
      </w:r>
      <w:r w:rsidRPr="00275340">
        <w:rPr>
          <w:rFonts w:ascii="Palatino Linotype" w:eastAsia="Palatino Linotype" w:hAnsi="Palatino Linotype" w:cs="Palatino Linotype"/>
          <w:b/>
          <w:sz w:val="24"/>
          <w:szCs w:val="24"/>
        </w:rPr>
        <w:t>Recurrente</w:t>
      </w:r>
      <w:r w:rsidRPr="00275340">
        <w:rPr>
          <w:rFonts w:ascii="Palatino Linotype" w:eastAsia="Palatino Linotype" w:hAnsi="Palatino Linotype" w:cs="Palatino Linotype"/>
          <w:sz w:val="24"/>
          <w:szCs w:val="24"/>
        </w:rPr>
        <w:t xml:space="preserve"> no se inconformó sobre la información proporcionada en respuesta, es decir, no forma parte de la “</w:t>
      </w:r>
      <w:r w:rsidRPr="00275340">
        <w:rPr>
          <w:rFonts w:ascii="Palatino Linotype" w:eastAsia="Palatino Linotype" w:hAnsi="Palatino Linotype" w:cs="Palatino Linotype"/>
          <w:i/>
          <w:sz w:val="24"/>
          <w:szCs w:val="24"/>
        </w:rPr>
        <w:t xml:space="preserve">Litis” </w:t>
      </w:r>
      <w:r w:rsidRPr="00275340">
        <w:rPr>
          <w:rFonts w:ascii="Palatino Linotype" w:eastAsia="Palatino Linotype" w:hAnsi="Palatino Linotype" w:cs="Palatino Linotype"/>
          <w:sz w:val="24"/>
          <w:szCs w:val="24"/>
        </w:rPr>
        <w:t>(“</w:t>
      </w:r>
      <w:r w:rsidRPr="00275340">
        <w:rPr>
          <w:rFonts w:ascii="Palatino Linotype" w:eastAsia="Palatino Linotype" w:hAnsi="Palatino Linotype" w:cs="Palatino Linotype"/>
          <w:i/>
          <w:sz w:val="24"/>
          <w:szCs w:val="24"/>
        </w:rPr>
        <w:t xml:space="preserve">Litis”: </w:t>
      </w:r>
      <w:r w:rsidRPr="00275340">
        <w:rPr>
          <w:rFonts w:ascii="Palatino Linotype" w:eastAsia="Palatino Linotype" w:hAnsi="Palatino Linotype" w:cs="Palatino Linotype"/>
          <w:sz w:val="24"/>
          <w:szCs w:val="24"/>
        </w:rPr>
        <w:t>vocablo latino que en idioma español se traduce como litigio, significando disputa o controversia judicial; diferencia de intereses entre dos partes, llamadas litigantes, sometidas a decisión de un Juez) y, por lo tanto, no se debió analizar la documentación entregada, al haberse invocado actos consentidos.</w:t>
      </w:r>
    </w:p>
    <w:p w:rsidR="003113A1" w:rsidRPr="00275340" w:rsidRDefault="00FA21E9" w:rsidP="00043633">
      <w:p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 xml:space="preserve">Por otro lado, </w:t>
      </w:r>
      <w:r w:rsidR="00043633" w:rsidRPr="00275340">
        <w:rPr>
          <w:rFonts w:ascii="Palatino Linotype" w:eastAsia="Palatino Linotype" w:hAnsi="Palatino Linotype" w:cs="Palatino Linotype"/>
          <w:sz w:val="24"/>
          <w:szCs w:val="24"/>
        </w:rPr>
        <w:t xml:space="preserve">respecto del </w:t>
      </w:r>
      <w:r w:rsidR="00043633" w:rsidRPr="00275340">
        <w:rPr>
          <w:rFonts w:ascii="Palatino Linotype" w:eastAsia="Palatino Linotype" w:hAnsi="Palatino Linotype" w:cs="Palatino Linotype"/>
          <w:b/>
          <w:sz w:val="24"/>
          <w:szCs w:val="24"/>
        </w:rPr>
        <w:t>d</w:t>
      </w:r>
      <w:r w:rsidRPr="00275340">
        <w:rPr>
          <w:rFonts w:ascii="Palatino Linotype" w:eastAsia="Palatino Linotype" w:hAnsi="Palatino Linotype" w:cs="Palatino Linotype"/>
          <w:b/>
          <w:sz w:val="24"/>
          <w:szCs w:val="24"/>
        </w:rPr>
        <w:t>ocumento que dé cuenta del monto total erogado por concepto de gratificación</w:t>
      </w:r>
      <w:r w:rsidR="00043633" w:rsidRPr="00275340">
        <w:rPr>
          <w:rFonts w:ascii="Palatino Linotype" w:eastAsia="Palatino Linotype" w:hAnsi="Palatino Linotype" w:cs="Palatino Linotype"/>
          <w:b/>
          <w:sz w:val="24"/>
          <w:szCs w:val="24"/>
        </w:rPr>
        <w:t xml:space="preserve"> al personal no sindicalizado</w:t>
      </w:r>
      <w:r w:rsidR="00043633" w:rsidRPr="00275340">
        <w:rPr>
          <w:rFonts w:ascii="Palatino Linotype" w:eastAsia="Palatino Linotype" w:hAnsi="Palatino Linotype" w:cs="Palatino Linotype"/>
          <w:sz w:val="24"/>
          <w:szCs w:val="24"/>
        </w:rPr>
        <w:t xml:space="preserve">, </w:t>
      </w:r>
      <w:r w:rsidR="00F034A5" w:rsidRPr="00275340">
        <w:rPr>
          <w:rFonts w:ascii="Palatino Linotype" w:eastAsia="Palatino Linotype" w:hAnsi="Palatino Linotype" w:cs="Palatino Linotype"/>
          <w:sz w:val="24"/>
          <w:szCs w:val="24"/>
        </w:rPr>
        <w:t>resulta importante señalar que coincido con los términos generales planteados en la Resolución toda vez que por regla general la publicidad de los nombres de los servidores públicos en el  ejercicio de la función pública, se encuent</w:t>
      </w:r>
      <w:r w:rsidR="00F034A5" w:rsidRPr="00275340">
        <w:rPr>
          <w:rFonts w:ascii="Palatino Linotype" w:eastAsia="Palatino Linotype" w:hAnsi="Palatino Linotype" w:cs="Palatino Linotype"/>
          <w:sz w:val="24"/>
          <w:szCs w:val="24"/>
        </w:rPr>
        <w:t xml:space="preserve">ran establecidas como una obligación de transparencia común, tanto en la Ley General como en la Ley Local, y de manera específica, el artículo 92, fracción VII de la Ley de Transparencia y Acceso a la Información Pública del Estado de México y Municipios; </w:t>
      </w:r>
      <w:r w:rsidR="00F034A5" w:rsidRPr="00275340">
        <w:rPr>
          <w:rFonts w:ascii="Palatino Linotype" w:eastAsia="Palatino Linotype" w:hAnsi="Palatino Linotype" w:cs="Palatino Linotype"/>
          <w:sz w:val="24"/>
          <w:szCs w:val="24"/>
        </w:rPr>
        <w:t>no obstante lo anterior, considero que dicha regla está sujeta a claro régimen de  excepción, la cual concretamente se aprecia en el caso de las remuneraciones de personal que se encuentra adscrito a instituciones de seguridad pública con funciones operati</w:t>
      </w:r>
      <w:r w:rsidR="00F034A5" w:rsidRPr="00275340">
        <w:rPr>
          <w:rFonts w:ascii="Palatino Linotype" w:eastAsia="Palatino Linotype" w:hAnsi="Palatino Linotype" w:cs="Palatino Linotype"/>
          <w:sz w:val="24"/>
          <w:szCs w:val="24"/>
        </w:rPr>
        <w:t>vas en atención a los consideraciones que a continuación se exponen.</w:t>
      </w:r>
    </w:p>
    <w:p w:rsidR="003113A1" w:rsidRPr="00275340" w:rsidRDefault="00F034A5" w:rsidP="00043633">
      <w:p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Sobre este punto, debemos partir desde la máxima establecida en nuestro texto Constitucional Federal pues el artículo 21 en su párrafo noveno reconoce que la seguridad pública es una func</w:t>
      </w:r>
      <w:r w:rsidRPr="00275340">
        <w:rPr>
          <w:rFonts w:ascii="Palatino Linotype" w:eastAsia="Palatino Linotype" w:hAnsi="Palatino Linotype" w:cs="Palatino Linotype"/>
          <w:sz w:val="24"/>
          <w:szCs w:val="24"/>
        </w:rPr>
        <w:t xml:space="preserve">ión del Estado a cargo de la Federación, las Entidades </w:t>
      </w:r>
      <w:r w:rsidRPr="00275340">
        <w:rPr>
          <w:rFonts w:ascii="Palatino Linotype" w:eastAsia="Palatino Linotype" w:hAnsi="Palatino Linotype" w:cs="Palatino Linotype"/>
          <w:sz w:val="24"/>
          <w:szCs w:val="24"/>
        </w:rPr>
        <w:lastRenderedPageBreak/>
        <w:t xml:space="preserve">Federativas y </w:t>
      </w:r>
      <w:r w:rsidRPr="00275340">
        <w:rPr>
          <w:rFonts w:ascii="Palatino Linotype" w:eastAsia="Palatino Linotype" w:hAnsi="Palatino Linotype" w:cs="Palatino Linotype"/>
          <w:b/>
          <w:sz w:val="24"/>
          <w:szCs w:val="24"/>
        </w:rPr>
        <w:t>los Municipios</w:t>
      </w:r>
      <w:r w:rsidRPr="00275340">
        <w:rPr>
          <w:rFonts w:ascii="Palatino Linotype" w:eastAsia="Palatino Linotype" w:hAnsi="Palatino Linotype" w:cs="Palatino Linotype"/>
          <w:sz w:val="24"/>
          <w:szCs w:val="24"/>
        </w:rPr>
        <w:t xml:space="preserve">, </w:t>
      </w:r>
      <w:r w:rsidRPr="00275340">
        <w:rPr>
          <w:rFonts w:ascii="Palatino Linotype" w:eastAsia="Palatino Linotype" w:hAnsi="Palatino Linotype" w:cs="Palatino Linotype"/>
          <w:b/>
          <w:sz w:val="24"/>
          <w:szCs w:val="24"/>
        </w:rPr>
        <w:t>cuyos fines son salvaguardar la vida, las libertades, la integridad y el patrimonio de las personas, así como contribuir a la generación y preservación del orden público y</w:t>
      </w:r>
      <w:r w:rsidRPr="00275340">
        <w:rPr>
          <w:rFonts w:ascii="Palatino Linotype" w:eastAsia="Palatino Linotype" w:hAnsi="Palatino Linotype" w:cs="Palatino Linotype"/>
          <w:b/>
          <w:sz w:val="24"/>
          <w:szCs w:val="24"/>
        </w:rPr>
        <w:t xml:space="preserve"> la paz social</w:t>
      </w:r>
      <w:r w:rsidRPr="00275340">
        <w:rPr>
          <w:rFonts w:ascii="Palatino Linotype" w:eastAsia="Palatino Linotype" w:hAnsi="Palatino Linotype" w:cs="Palatino Linotype"/>
          <w:sz w:val="24"/>
          <w:szCs w:val="24"/>
        </w:rPr>
        <w:t>. Asimismo, señala que la actuación de las instituciones de seguridad pública se regirá por los principios de legalidad, objetividad, eficiencia, profesionalismo, honradez y respeto a los derechos humanos.</w:t>
      </w:r>
    </w:p>
    <w:p w:rsidR="003113A1" w:rsidRPr="00275340" w:rsidRDefault="00F034A5">
      <w:pP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Dicha circunstancia es replicada por</w:t>
      </w:r>
      <w:r w:rsidRPr="00275340">
        <w:rPr>
          <w:rFonts w:ascii="Palatino Linotype" w:eastAsia="Palatino Linotype" w:hAnsi="Palatino Linotype" w:cs="Palatino Linotype"/>
          <w:sz w:val="24"/>
          <w:szCs w:val="24"/>
        </w:rPr>
        <w:t xml:space="preserve"> la Ley de Seguridad del Estado de México en su artículo 1, fracciones II, III y V, las cuales señalan que dicho ordenamiento es de orden público, de interés social y de observancia general en todo el territorio del Estado de México y tiene por objeto esta</w:t>
      </w:r>
      <w:r w:rsidRPr="00275340">
        <w:rPr>
          <w:rFonts w:ascii="Palatino Linotype" w:eastAsia="Palatino Linotype" w:hAnsi="Palatino Linotype" w:cs="Palatino Linotype"/>
          <w:sz w:val="24"/>
          <w:szCs w:val="24"/>
        </w:rPr>
        <w:t xml:space="preserve">blecer las bases de coordinación del Estado y los Municipios con la Federación, las Entidades Federativas, Municipios y Alcaldías de la Ciudad de México; integrar el Sistema Estatal de Seguridad Pública, que a su vez contribuirá con el Sistema Nacional de </w:t>
      </w:r>
      <w:r w:rsidRPr="00275340">
        <w:rPr>
          <w:rFonts w:ascii="Palatino Linotype" w:eastAsia="Palatino Linotype" w:hAnsi="Palatino Linotype" w:cs="Palatino Linotype"/>
          <w:sz w:val="24"/>
          <w:szCs w:val="24"/>
        </w:rPr>
        <w:t>Seguridad Pública; para la construcción de las bases para una plena seguridad ciudadana.</w:t>
      </w:r>
    </w:p>
    <w:p w:rsidR="003113A1" w:rsidRPr="00275340" w:rsidRDefault="00F034A5">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 xml:space="preserve">De tal suerte que con lo señalado hasta este punto se advierte que la finalidad de la función de seguridad pública indudablemente tienen como eje central a la persona </w:t>
      </w:r>
      <w:r w:rsidRPr="00275340">
        <w:rPr>
          <w:rFonts w:ascii="Palatino Linotype" w:eastAsia="Palatino Linotype" w:hAnsi="Palatino Linotype" w:cs="Palatino Linotype"/>
          <w:sz w:val="24"/>
          <w:szCs w:val="24"/>
        </w:rPr>
        <w:t>humana y, por ende, contribuyen al establecimiento de la seguridad ciudadana, la cual tiene por objeto proteger a las personas; asegurar el ejercicio de su ciudadanía, sus libertades y derechos fundamentales; establecer espacios de participación social cor</w:t>
      </w:r>
      <w:r w:rsidRPr="00275340">
        <w:rPr>
          <w:rFonts w:ascii="Palatino Linotype" w:eastAsia="Palatino Linotype" w:hAnsi="Palatino Linotype" w:cs="Palatino Linotype"/>
          <w:sz w:val="24"/>
          <w:szCs w:val="24"/>
        </w:rPr>
        <w:t xml:space="preserve">responsable y armónica; propiciar la solución pacífica de los conflictos interpersonales y sociales; fortalecer a las instituciones, y propiciar condiciones </w:t>
      </w:r>
      <w:r w:rsidRPr="00275340">
        <w:rPr>
          <w:rFonts w:ascii="Palatino Linotype" w:eastAsia="Palatino Linotype" w:hAnsi="Palatino Linotype" w:cs="Palatino Linotype"/>
          <w:sz w:val="24"/>
          <w:szCs w:val="24"/>
        </w:rPr>
        <w:lastRenderedPageBreak/>
        <w:t>durables que permitan a los ciudadanos desarrollar sus capacidades, en un ambiente de paz y democra</w:t>
      </w:r>
      <w:r w:rsidRPr="00275340">
        <w:rPr>
          <w:rFonts w:ascii="Palatino Linotype" w:eastAsia="Palatino Linotype" w:hAnsi="Palatino Linotype" w:cs="Palatino Linotype"/>
          <w:sz w:val="24"/>
          <w:szCs w:val="24"/>
        </w:rPr>
        <w:t>cia.</w:t>
      </w:r>
    </w:p>
    <w:p w:rsidR="003113A1" w:rsidRPr="00275340" w:rsidRDefault="00F034A5">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Una vez acreditado el objeto de la seguridad pública, así como los sujetos encargados de ejecutar las acciones para consumar esta función, podemos observar con claridad la importancia de los elementos operativos que ejecutan estas acciones encaminadas</w:t>
      </w:r>
      <w:r w:rsidRPr="00275340">
        <w:rPr>
          <w:rFonts w:ascii="Palatino Linotype" w:eastAsia="Palatino Linotype" w:hAnsi="Palatino Linotype" w:cs="Palatino Linotype"/>
          <w:sz w:val="24"/>
          <w:szCs w:val="24"/>
        </w:rPr>
        <w:t xml:space="preserve"> a preservar el orden dentro de la dinámica social y podemos partir de este punto para determinar el riesgo de la divulgación de esta información y por ende, la procedencia de su clasificación como información reservada. </w:t>
      </w:r>
    </w:p>
    <w:p w:rsidR="003113A1" w:rsidRPr="00275340" w:rsidRDefault="00F034A5">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En primer momento podemos vislumbr</w:t>
      </w:r>
      <w:r w:rsidRPr="00275340">
        <w:rPr>
          <w:rFonts w:ascii="Palatino Linotype" w:eastAsia="Palatino Linotype" w:hAnsi="Palatino Linotype" w:cs="Palatino Linotype"/>
          <w:sz w:val="24"/>
          <w:szCs w:val="24"/>
        </w:rPr>
        <w:t>ar que el artículo 81, fracción II de la Ley de Seguridad del Estado de México dispone de manera expresa que toda información para la seguridad pública generada o en poder de Instituciones de Seguridad Pública o de cualquier instancia del Sistema Estatal d</w:t>
      </w:r>
      <w:r w:rsidRPr="00275340">
        <w:rPr>
          <w:rFonts w:ascii="Palatino Linotype" w:eastAsia="Palatino Linotype" w:hAnsi="Palatino Linotype" w:cs="Palatino Linotype"/>
          <w:sz w:val="24"/>
          <w:szCs w:val="24"/>
        </w:rPr>
        <w:t>ebe clasificarse, sirve de referencia la siguiente cita:</w:t>
      </w:r>
    </w:p>
    <w:p w:rsidR="003113A1" w:rsidRPr="00275340" w:rsidRDefault="00F034A5">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sidRPr="00275340">
        <w:rPr>
          <w:rFonts w:ascii="Palatino Linotype" w:eastAsia="Palatino Linotype" w:hAnsi="Palatino Linotype" w:cs="Palatino Linotype"/>
          <w:i/>
        </w:rPr>
        <w:t>“</w:t>
      </w:r>
      <w:r w:rsidRPr="00275340">
        <w:rPr>
          <w:rFonts w:ascii="Palatino Linotype" w:eastAsia="Palatino Linotype" w:hAnsi="Palatino Linotype" w:cs="Palatino Linotype"/>
          <w:b/>
          <w:i/>
        </w:rPr>
        <w:t>Artículo 81.-</w:t>
      </w:r>
      <w:r w:rsidRPr="00275340">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w:t>
      </w:r>
      <w:r w:rsidRPr="00275340">
        <w:rPr>
          <w:rFonts w:ascii="Palatino Linotype" w:eastAsia="Palatino Linotype" w:hAnsi="Palatino Linotype" w:cs="Palatino Linotype"/>
          <w:i/>
        </w:rPr>
        <w:t>rse de conformidad con las disposiciones aplicables. No obstante lo anterior, esta información se considerará reservada en los casos siguientes:</w:t>
      </w:r>
    </w:p>
    <w:p w:rsidR="003113A1" w:rsidRPr="00275340" w:rsidRDefault="00F034A5">
      <w:pPr>
        <w:pBdr>
          <w:top w:val="nil"/>
          <w:left w:val="nil"/>
          <w:bottom w:val="nil"/>
          <w:right w:val="nil"/>
          <w:between w:val="nil"/>
        </w:pBdr>
        <w:spacing w:after="0" w:line="240" w:lineRule="auto"/>
        <w:ind w:left="851" w:right="900"/>
        <w:jc w:val="both"/>
        <w:rPr>
          <w:rFonts w:ascii="Palatino Linotype" w:eastAsia="Palatino Linotype" w:hAnsi="Palatino Linotype" w:cs="Palatino Linotype"/>
          <w:i/>
        </w:rPr>
      </w:pPr>
      <w:r w:rsidRPr="00275340">
        <w:rPr>
          <w:rFonts w:ascii="Palatino Linotype" w:eastAsia="Palatino Linotype" w:hAnsi="Palatino Linotype" w:cs="Palatino Linotype"/>
          <w:i/>
        </w:rPr>
        <w:t>…</w:t>
      </w:r>
    </w:p>
    <w:p w:rsidR="003113A1" w:rsidRPr="00275340" w:rsidRDefault="00F034A5">
      <w:pPr>
        <w:pBdr>
          <w:top w:val="nil"/>
          <w:left w:val="nil"/>
          <w:bottom w:val="nil"/>
          <w:right w:val="nil"/>
          <w:between w:val="nil"/>
        </w:pBdr>
        <w:spacing w:after="0" w:line="240" w:lineRule="auto"/>
        <w:ind w:left="1276" w:right="900"/>
        <w:jc w:val="both"/>
        <w:rPr>
          <w:rFonts w:ascii="Palatino Linotype" w:eastAsia="Palatino Linotype" w:hAnsi="Palatino Linotype" w:cs="Palatino Linotype"/>
          <w:i/>
        </w:rPr>
      </w:pPr>
      <w:r w:rsidRPr="00275340">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sidRPr="00275340">
        <w:rPr>
          <w:rFonts w:ascii="Palatino Linotype" w:eastAsia="Palatino Linotype" w:hAnsi="Palatino Linotype" w:cs="Palatino Linotype"/>
          <w:b/>
          <w:i/>
          <w:u w:val="single"/>
        </w:rPr>
        <w:t>México ;</w:t>
      </w:r>
      <w:proofErr w:type="gramEnd"/>
      <w:r w:rsidRPr="00275340">
        <w:rPr>
          <w:rFonts w:ascii="Palatino Linotype" w:eastAsia="Palatino Linotype" w:hAnsi="Palatino Linotype" w:cs="Palatino Linotype"/>
          <w:b/>
          <w:i/>
        </w:rPr>
        <w:t xml:space="preserve">” </w:t>
      </w:r>
    </w:p>
    <w:p w:rsidR="003113A1" w:rsidRPr="00275340" w:rsidRDefault="003113A1">
      <w:pPr>
        <w:pBdr>
          <w:top w:val="nil"/>
          <w:left w:val="nil"/>
          <w:bottom w:val="nil"/>
          <w:right w:val="nil"/>
          <w:between w:val="nil"/>
        </w:pBdr>
        <w:spacing w:after="0" w:line="360" w:lineRule="auto"/>
        <w:ind w:left="567" w:right="990"/>
        <w:jc w:val="both"/>
        <w:rPr>
          <w:rFonts w:ascii="Palatino Linotype" w:eastAsia="Palatino Linotype" w:hAnsi="Palatino Linotype" w:cs="Palatino Linotype"/>
          <w:b/>
          <w:i/>
          <w:u w:val="single"/>
        </w:rPr>
      </w:pPr>
    </w:p>
    <w:p w:rsidR="003113A1" w:rsidRPr="00275340" w:rsidRDefault="00F034A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lastRenderedPageBreak/>
        <w:t>En armonía con esta disposición normativa, la Ley General de Transparencia y Acceso a la Información Pública, en su artículo 113, fracción I señala que deberá reservarse la información que con su publicación se comprometa a la seguridad pública y cuente co</w:t>
      </w:r>
      <w:r w:rsidRPr="00275340">
        <w:rPr>
          <w:rFonts w:ascii="Palatino Linotype" w:eastAsia="Palatino Linotype" w:hAnsi="Palatino Linotype" w:cs="Palatino Linotype"/>
          <w:sz w:val="24"/>
          <w:szCs w:val="24"/>
        </w:rPr>
        <w:t xml:space="preserve">n un efecto demostrable, posteriormente el artículo 140 fracción I de la Ley de Transparencia Local replica esta circunstancia de reserva, que señalan: </w:t>
      </w:r>
    </w:p>
    <w:p w:rsidR="003113A1" w:rsidRPr="00275340" w:rsidRDefault="003113A1">
      <w:pPr>
        <w:pBdr>
          <w:top w:val="nil"/>
          <w:left w:val="nil"/>
          <w:bottom w:val="nil"/>
          <w:right w:val="nil"/>
          <w:between w:val="nil"/>
        </w:pBdr>
        <w:tabs>
          <w:tab w:val="left" w:pos="284"/>
        </w:tabs>
        <w:spacing w:after="0" w:line="240" w:lineRule="auto"/>
        <w:ind w:left="567" w:right="709"/>
        <w:jc w:val="both"/>
        <w:rPr>
          <w:rFonts w:ascii="Palatino Linotype" w:eastAsia="Palatino Linotype" w:hAnsi="Palatino Linotype" w:cs="Palatino Linotype"/>
          <w:i/>
        </w:rPr>
      </w:pPr>
    </w:p>
    <w:p w:rsidR="003113A1" w:rsidRPr="00275340" w:rsidRDefault="00F034A5">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b/>
        </w:rPr>
      </w:pPr>
      <w:r w:rsidRPr="00275340">
        <w:rPr>
          <w:rFonts w:ascii="Palatino Linotype" w:eastAsia="Palatino Linotype" w:hAnsi="Palatino Linotype" w:cs="Palatino Linotype"/>
          <w:b/>
        </w:rPr>
        <w:t>“Ley General de Transparencia y Acceso a la Información Pública:</w:t>
      </w:r>
    </w:p>
    <w:p w:rsidR="003113A1" w:rsidRPr="00275340" w:rsidRDefault="00F034A5">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sidRPr="00275340">
        <w:rPr>
          <w:rFonts w:ascii="Palatino Linotype" w:eastAsia="Palatino Linotype" w:hAnsi="Palatino Linotype" w:cs="Palatino Linotype"/>
          <w:b/>
          <w:i/>
        </w:rPr>
        <w:t>Artículo 113</w:t>
      </w:r>
      <w:r w:rsidRPr="00275340">
        <w:rPr>
          <w:rFonts w:ascii="Palatino Linotype" w:eastAsia="Palatino Linotype" w:hAnsi="Palatino Linotype" w:cs="Palatino Linotype"/>
          <w:i/>
        </w:rPr>
        <w:t>. Como información reservada podrá clasificarse aquella cuya publicación:</w:t>
      </w:r>
    </w:p>
    <w:p w:rsidR="003113A1" w:rsidRPr="00275340" w:rsidRDefault="00F034A5">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sidRPr="00275340">
        <w:rPr>
          <w:rFonts w:ascii="Palatino Linotype" w:eastAsia="Palatino Linotype" w:hAnsi="Palatino Linotype" w:cs="Palatino Linotype"/>
          <w:b/>
          <w:i/>
        </w:rPr>
        <w:t>I. Comprometa la seguridad nacional, la seguridad pública o la defensa nacional y cuente con un propósito genuino y un efecto demostrable</w:t>
      </w:r>
      <w:r w:rsidRPr="00275340">
        <w:rPr>
          <w:rFonts w:ascii="Palatino Linotype" w:eastAsia="Palatino Linotype" w:hAnsi="Palatino Linotype" w:cs="Palatino Linotype"/>
          <w:i/>
        </w:rPr>
        <w:t>;”</w:t>
      </w:r>
    </w:p>
    <w:p w:rsidR="003113A1" w:rsidRPr="00275340" w:rsidRDefault="00F034A5">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b/>
        </w:rPr>
      </w:pPr>
      <w:r w:rsidRPr="00275340">
        <w:rPr>
          <w:rFonts w:ascii="Palatino Linotype" w:eastAsia="Palatino Linotype" w:hAnsi="Palatino Linotype" w:cs="Palatino Linotype"/>
          <w:b/>
        </w:rPr>
        <w:t xml:space="preserve">“Ley de Transparencia y Acceso a la Información Pública del Estado de México y Municipios: </w:t>
      </w:r>
    </w:p>
    <w:p w:rsidR="003113A1" w:rsidRPr="00275340" w:rsidRDefault="00F034A5">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rPr>
      </w:pPr>
      <w:r w:rsidRPr="00275340">
        <w:rPr>
          <w:rFonts w:ascii="Palatino Linotype" w:eastAsia="Palatino Linotype" w:hAnsi="Palatino Linotype" w:cs="Palatino Linotype"/>
          <w:b/>
          <w:i/>
        </w:rPr>
        <w:t>Artículo 140</w:t>
      </w:r>
      <w:r w:rsidRPr="00275340">
        <w:rPr>
          <w:rFonts w:ascii="Palatino Linotype" w:eastAsia="Palatino Linotype" w:hAnsi="Palatino Linotype" w:cs="Palatino Linotype"/>
          <w:i/>
        </w:rPr>
        <w:t>. El acceso a la información pública será restringido excepcionalmente, cuando por razones de interés público, ésta sea clasificada como reservada, conf</w:t>
      </w:r>
      <w:r w:rsidRPr="00275340">
        <w:rPr>
          <w:rFonts w:ascii="Palatino Linotype" w:eastAsia="Palatino Linotype" w:hAnsi="Palatino Linotype" w:cs="Palatino Linotype"/>
          <w:i/>
        </w:rPr>
        <w:t>orme a los criterios siguientes:</w:t>
      </w:r>
    </w:p>
    <w:p w:rsidR="003113A1" w:rsidRPr="00275340" w:rsidRDefault="00F034A5">
      <w:pPr>
        <w:pBdr>
          <w:top w:val="nil"/>
          <w:left w:val="nil"/>
          <w:bottom w:val="nil"/>
          <w:right w:val="nil"/>
          <w:between w:val="nil"/>
        </w:pBdr>
        <w:spacing w:after="120" w:line="276" w:lineRule="auto"/>
        <w:ind w:left="1134" w:right="900"/>
        <w:jc w:val="both"/>
        <w:rPr>
          <w:rFonts w:ascii="Palatino Linotype" w:eastAsia="Palatino Linotype" w:hAnsi="Palatino Linotype" w:cs="Palatino Linotype"/>
          <w:i/>
        </w:rPr>
      </w:pPr>
      <w:r w:rsidRPr="00275340">
        <w:rPr>
          <w:rFonts w:ascii="Palatino Linotype" w:eastAsia="Palatino Linotype" w:hAnsi="Palatino Linotype" w:cs="Palatino Linotype"/>
          <w:b/>
          <w:i/>
        </w:rPr>
        <w:t>I. Comprometa la seguridad pública y cuente con un propósito genuino y un efecto demostrable</w:t>
      </w:r>
      <w:r w:rsidRPr="00275340">
        <w:rPr>
          <w:rFonts w:ascii="Palatino Linotype" w:eastAsia="Palatino Linotype" w:hAnsi="Palatino Linotype" w:cs="Palatino Linotype"/>
          <w:i/>
        </w:rPr>
        <w:t>;”</w:t>
      </w:r>
    </w:p>
    <w:p w:rsidR="003113A1" w:rsidRPr="00275340" w:rsidRDefault="00F034A5">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Correlativo a lo anterior, los Lineamientos Generales en Materia de Clasificación y Desclasificación de la Información, así como</w:t>
      </w:r>
      <w:r w:rsidRPr="00275340">
        <w:rPr>
          <w:rFonts w:ascii="Palatino Linotype" w:eastAsia="Palatino Linotype" w:hAnsi="Palatino Linotype" w:cs="Palatino Linotype"/>
          <w:sz w:val="24"/>
          <w:szCs w:val="24"/>
        </w:rPr>
        <w:t xml:space="preserve"> para la Elaboración de Versiones Públicas, publicados el 16 de abril de 2016 y reformados el 18 de noviembre de 2022 señalan en su numeral décimo octavo que podrá considerarse como información reservada, aquella que comprometa la seguridad pública, al pon</w:t>
      </w:r>
      <w:r w:rsidRPr="00275340">
        <w:rPr>
          <w:rFonts w:ascii="Palatino Linotype" w:eastAsia="Palatino Linotype" w:hAnsi="Palatino Linotype" w:cs="Palatino Linotype"/>
          <w:sz w:val="24"/>
          <w:szCs w:val="24"/>
        </w:rPr>
        <w:t xml:space="preserve">er en peligro las funciones a cargo de la Federación, la Ciudad de México, los Estados y los </w:t>
      </w:r>
      <w:r w:rsidRPr="00275340">
        <w:rPr>
          <w:rFonts w:ascii="Palatino Linotype" w:eastAsia="Palatino Linotype" w:hAnsi="Palatino Linotype" w:cs="Palatino Linotype"/>
          <w:sz w:val="24"/>
          <w:szCs w:val="24"/>
        </w:rPr>
        <w:lastRenderedPageBreak/>
        <w:t>Municipios, tendientes a preservar y resguardar la vida, la salud, la integridad y el ejercicio de los derechos de las personas, así como para el mantenimiento del</w:t>
      </w:r>
      <w:r w:rsidRPr="00275340">
        <w:rPr>
          <w:rFonts w:ascii="Palatino Linotype" w:eastAsia="Palatino Linotype" w:hAnsi="Palatino Linotype" w:cs="Palatino Linotype"/>
          <w:sz w:val="24"/>
          <w:szCs w:val="24"/>
        </w:rPr>
        <w:t xml:space="preserve"> orden público.</w:t>
      </w:r>
    </w:p>
    <w:p w:rsidR="003113A1" w:rsidRPr="00275340" w:rsidRDefault="00F034A5">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 xml:space="preserve">Es crucial señalar que estos Lineamientos señalan </w:t>
      </w:r>
      <w:r w:rsidRPr="00275340">
        <w:rPr>
          <w:rFonts w:ascii="Palatino Linotype" w:eastAsia="Palatino Linotype" w:hAnsi="Palatino Linotype" w:cs="Palatino Linotype"/>
          <w:b/>
          <w:sz w:val="24"/>
          <w:szCs w:val="24"/>
          <w:u w:val="single"/>
        </w:rPr>
        <w:t>que es susceptible de considerarse como reservada aquella que revele datos que pudieran ser aprovechados para conocer la capacidad de reacción de las instituciones encargadas de la seguridad</w:t>
      </w:r>
      <w:r w:rsidRPr="00275340">
        <w:rPr>
          <w:rFonts w:ascii="Palatino Linotype" w:eastAsia="Palatino Linotype" w:hAnsi="Palatino Linotype" w:cs="Palatino Linotype"/>
          <w:b/>
          <w:sz w:val="24"/>
          <w:szCs w:val="24"/>
          <w:u w:val="single"/>
        </w:rPr>
        <w:t xml:space="preserve"> pública</w:t>
      </w:r>
      <w:r w:rsidRPr="00275340">
        <w:rPr>
          <w:rFonts w:ascii="Palatino Linotype" w:eastAsia="Palatino Linotype" w:hAnsi="Palatino Linotype" w:cs="Palatino Linotype"/>
          <w:sz w:val="24"/>
          <w:szCs w:val="24"/>
        </w:rPr>
        <w:t>, sus planes, estrategias, tecnología, información, sistemas de comunicaciones.</w:t>
      </w:r>
    </w:p>
    <w:p w:rsidR="003113A1" w:rsidRPr="00275340" w:rsidRDefault="00F034A5">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 xml:space="preserve">Hasta este punto tenemos que los instrumentos normativos que debemos observar en estricto sentido disponen puntualmente la reserva de información para los casos en los </w:t>
      </w:r>
      <w:r w:rsidRPr="00275340">
        <w:rPr>
          <w:rFonts w:ascii="Palatino Linotype" w:eastAsia="Palatino Linotype" w:hAnsi="Palatino Linotype" w:cs="Palatino Linotype"/>
          <w:sz w:val="24"/>
          <w:szCs w:val="24"/>
        </w:rPr>
        <w:t>que se revele información que pueda ser empleada para conocer la capacidad de reacción, es decir, todo lo relativo a servidores públicos operativos que integran las instituciones de seguridad pública, ya que su divulgación podría ser utilizada para actuali</w:t>
      </w:r>
      <w:r w:rsidRPr="00275340">
        <w:rPr>
          <w:rFonts w:ascii="Palatino Linotype" w:eastAsia="Palatino Linotype" w:hAnsi="Palatino Linotype" w:cs="Palatino Linotype"/>
          <w:sz w:val="24"/>
          <w:szCs w:val="24"/>
        </w:rPr>
        <w:t>zar o potenciar una amenaza para la seguridad pública de la sociedad; teniendo esto en cuenta y trasladando estas premisas al caso particular se estima que con la entrega de información de los servidores públicos con funciones operativas adscritos a instit</w:t>
      </w:r>
      <w:r w:rsidRPr="00275340">
        <w:rPr>
          <w:rFonts w:ascii="Palatino Linotype" w:eastAsia="Palatino Linotype" w:hAnsi="Palatino Linotype" w:cs="Palatino Linotype"/>
          <w:sz w:val="24"/>
          <w:szCs w:val="24"/>
        </w:rPr>
        <w:t>uciones de seguridad pública, revela información actualizada sobre el número de policías operativos en activo a la fecha de la solicitud de información y en consecuencia su estado de fuerza vigente, lo cual no sólo contraviene lo dispuesto expresamente por</w:t>
      </w:r>
      <w:r w:rsidRPr="00275340">
        <w:rPr>
          <w:rFonts w:ascii="Palatino Linotype" w:eastAsia="Palatino Linotype" w:hAnsi="Palatino Linotype" w:cs="Palatino Linotype"/>
          <w:sz w:val="24"/>
          <w:szCs w:val="24"/>
        </w:rPr>
        <w:t xml:space="preserve"> las disposiciones previamente insertadas, sino que, además, pone en riesgo los valores jurídicos y los principios bajo los cuales de las instituciones de </w:t>
      </w:r>
      <w:r w:rsidRPr="00275340">
        <w:rPr>
          <w:rFonts w:ascii="Palatino Linotype" w:eastAsia="Palatino Linotype" w:hAnsi="Palatino Linotype" w:cs="Palatino Linotype"/>
          <w:sz w:val="24"/>
          <w:szCs w:val="24"/>
        </w:rPr>
        <w:lastRenderedPageBreak/>
        <w:t>seguridad pública se debe regir como son la legalidad, objetividad, eficiencia, profesionalismo, honr</w:t>
      </w:r>
      <w:r w:rsidRPr="00275340">
        <w:rPr>
          <w:rFonts w:ascii="Palatino Linotype" w:eastAsia="Palatino Linotype" w:hAnsi="Palatino Linotype" w:cs="Palatino Linotype"/>
          <w:sz w:val="24"/>
          <w:szCs w:val="24"/>
        </w:rPr>
        <w:t>adez y respeto a los derechos humanos reconocidos en la Constitución General.</w:t>
      </w:r>
    </w:p>
    <w:p w:rsidR="003113A1" w:rsidRPr="00275340" w:rsidRDefault="00F034A5">
      <w:pPr>
        <w:spacing w:before="240" w:after="240" w:line="360" w:lineRule="auto"/>
        <w:ind w:right="-3"/>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En conclusión, la reserva del personal operativo procede por dos circunstancias:</w:t>
      </w:r>
    </w:p>
    <w:p w:rsidR="003113A1" w:rsidRPr="00275340" w:rsidRDefault="00F034A5">
      <w:pPr>
        <w:spacing w:before="240" w:after="240" w:line="360" w:lineRule="auto"/>
        <w:ind w:left="284" w:right="-3"/>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 xml:space="preserve">1. Se identifica en términos concretos cómo es que la información requerida podría comprometer el ejercicio de sus facultades constitucionales y, con ello, la seguridad pública, en virtud de que: </w:t>
      </w:r>
    </w:p>
    <w:p w:rsidR="003113A1" w:rsidRPr="00275340" w:rsidRDefault="00F034A5">
      <w:pPr>
        <w:spacing w:before="240" w:after="240" w:line="360" w:lineRule="auto"/>
        <w:ind w:left="567" w:right="-3"/>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a) La información podría ser aprovechada por los grupos cri</w:t>
      </w:r>
      <w:r w:rsidRPr="00275340">
        <w:rPr>
          <w:rFonts w:ascii="Palatino Linotype" w:eastAsia="Palatino Linotype" w:hAnsi="Palatino Linotype" w:cs="Palatino Linotype"/>
          <w:sz w:val="24"/>
          <w:szCs w:val="24"/>
        </w:rPr>
        <w:t xml:space="preserve">minales para conocer la capacidad de reacción </w:t>
      </w:r>
    </w:p>
    <w:p w:rsidR="003113A1" w:rsidRPr="00275340" w:rsidRDefault="00F034A5">
      <w:pPr>
        <w:spacing w:before="240" w:after="240" w:line="360" w:lineRule="auto"/>
        <w:ind w:left="567" w:right="-3"/>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 xml:space="preserve">b) Con dicha información se revelarían a detalle las características funcionales del personal y con ello, su organización para el cumplimiento de sus funciones; y </w:t>
      </w:r>
    </w:p>
    <w:p w:rsidR="003113A1" w:rsidRPr="00275340" w:rsidRDefault="00F034A5">
      <w:pPr>
        <w:spacing w:before="240" w:after="240" w:line="360" w:lineRule="auto"/>
        <w:ind w:left="284" w:right="-3"/>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2. Existe una relación causal general entre l</w:t>
      </w:r>
      <w:r w:rsidRPr="00275340">
        <w:rPr>
          <w:rFonts w:ascii="Palatino Linotype" w:eastAsia="Palatino Linotype" w:hAnsi="Palatino Linotype" w:cs="Palatino Linotype"/>
          <w:sz w:val="24"/>
          <w:szCs w:val="24"/>
        </w:rPr>
        <w:t xml:space="preserve">a entrega de la información y la afectación a la seguridad pública, pues los grupos criminales estarían en posibilidad de obstaculizar o bloquear actividades encaminadas a preservar el orden dentro de la dinámica social. </w:t>
      </w:r>
    </w:p>
    <w:p w:rsidR="003113A1" w:rsidRPr="00275340" w:rsidRDefault="00F034A5">
      <w:pPr>
        <w:spacing w:before="240" w:after="240" w:line="360" w:lineRule="auto"/>
        <w:ind w:right="-3"/>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Por lo tanto, entre mayor informac</w:t>
      </w:r>
      <w:r w:rsidRPr="00275340">
        <w:rPr>
          <w:rFonts w:ascii="Palatino Linotype" w:eastAsia="Palatino Linotype" w:hAnsi="Palatino Linotype" w:cs="Palatino Linotype"/>
          <w:sz w:val="24"/>
          <w:szCs w:val="24"/>
        </w:rPr>
        <w:t xml:space="preserve">ión se dé a conocer respecto del </w:t>
      </w:r>
      <w:r w:rsidRPr="00275340">
        <w:rPr>
          <w:rFonts w:ascii="Palatino Linotype" w:eastAsia="Palatino Linotype" w:hAnsi="Palatino Linotype" w:cs="Palatino Linotype"/>
          <w:b/>
          <w:i/>
          <w:sz w:val="24"/>
          <w:szCs w:val="24"/>
        </w:rPr>
        <w:t xml:space="preserve">estado de fuerza </w:t>
      </w:r>
      <w:r w:rsidRPr="00275340">
        <w:rPr>
          <w:rFonts w:ascii="Palatino Linotype" w:eastAsia="Palatino Linotype" w:hAnsi="Palatino Linotype" w:cs="Palatino Linotype"/>
          <w:sz w:val="24"/>
          <w:szCs w:val="24"/>
        </w:rPr>
        <w:t xml:space="preserve">con que cuentan el Estado y Municipios, mayor es la probabilidad de que la </w:t>
      </w:r>
      <w:r w:rsidRPr="00275340">
        <w:rPr>
          <w:rFonts w:ascii="Palatino Linotype" w:eastAsia="Palatino Linotype" w:hAnsi="Palatino Linotype" w:cs="Palatino Linotype"/>
          <w:sz w:val="24"/>
          <w:szCs w:val="24"/>
        </w:rPr>
        <w:lastRenderedPageBreak/>
        <w:t>información pueda implementarse como medio para actualizar o potenciar una amenaza en contra de la seguridad pública de los mismos.</w:t>
      </w:r>
      <w:r w:rsidRPr="00275340">
        <w:rPr>
          <w:rFonts w:ascii="Palatino Linotype" w:eastAsia="Palatino Linotype" w:hAnsi="Palatino Linotype" w:cs="Palatino Linotype"/>
          <w:sz w:val="24"/>
          <w:szCs w:val="24"/>
        </w:rPr>
        <w:t xml:space="preserve"> </w:t>
      </w:r>
    </w:p>
    <w:p w:rsidR="003113A1" w:rsidRPr="00275340" w:rsidRDefault="00F034A5">
      <w:pPr>
        <w:spacing w:before="240" w:after="240" w:line="360" w:lineRule="auto"/>
        <w:ind w:right="139"/>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 xml:space="preserve">No pasa inadvertido para la suscrita que en los casos en los que se publiciten diversas notas o documentos en los que se dé a conocer información estadística sobre el número de elementos de policía con los que cuentan los ayuntamientos, esta información </w:t>
      </w:r>
      <w:r w:rsidRPr="00275340">
        <w:rPr>
          <w:rFonts w:ascii="Palatino Linotype" w:eastAsia="Palatino Linotype" w:hAnsi="Palatino Linotype" w:cs="Palatino Linotype"/>
          <w:sz w:val="24"/>
          <w:szCs w:val="24"/>
        </w:rPr>
        <w:t>no se encuentra actualizada, aunado a que no se hace una distinción entre el número de personal operativo y administrativo.</w:t>
      </w:r>
    </w:p>
    <w:p w:rsidR="003113A1" w:rsidRPr="00275340" w:rsidRDefault="00F034A5">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En consecuencia, la información de los elementos operativos adscrito a instituciones de seguridad pública,  deben recibir un tratamiento de carácter excepcional, y esto es en razón de que, son los responsables de procurar el orden, la estabilidad y la defe</w:t>
      </w:r>
      <w:r w:rsidRPr="00275340">
        <w:rPr>
          <w:rFonts w:ascii="Palatino Linotype" w:eastAsia="Palatino Linotype" w:hAnsi="Palatino Linotype" w:cs="Palatino Linotype"/>
          <w:sz w:val="24"/>
          <w:szCs w:val="24"/>
        </w:rPr>
        <w:t xml:space="preserve">nsa de la sociedad a la que pertenecen, por lo que, se estima que al proporcionar documentales en las que se aprecie dicha información dicha información se revela el número de servidores públicos operativos con funciones de seguridad pública activos en el </w:t>
      </w:r>
      <w:r w:rsidRPr="00275340">
        <w:rPr>
          <w:rFonts w:ascii="Palatino Linotype" w:eastAsia="Palatino Linotype" w:hAnsi="Palatino Linotype" w:cs="Palatino Linotype"/>
          <w:sz w:val="24"/>
          <w:szCs w:val="24"/>
        </w:rPr>
        <w:t>Sujeto obligado; información con la que se da a conocer el estado de fuerza y la capacidad de reacción del órgano público.</w:t>
      </w:r>
    </w:p>
    <w:p w:rsidR="003113A1" w:rsidRPr="00275340" w:rsidRDefault="00F034A5">
      <w:pPr>
        <w:spacing w:before="240" w:after="240" w:line="360" w:lineRule="auto"/>
        <w:jc w:val="both"/>
        <w:rPr>
          <w:rFonts w:ascii="Palatino Linotype" w:eastAsia="Palatino Linotype" w:hAnsi="Palatino Linotype" w:cs="Palatino Linotype"/>
          <w:sz w:val="24"/>
          <w:szCs w:val="24"/>
        </w:rPr>
      </w:pPr>
      <w:bookmarkStart w:id="2" w:name="_heading=h.fald234fiuyg" w:colFirst="0" w:colLast="0"/>
      <w:bookmarkEnd w:id="2"/>
      <w:r w:rsidRPr="00275340">
        <w:rPr>
          <w:rFonts w:ascii="Palatino Linotype" w:eastAsia="Palatino Linotype" w:hAnsi="Palatino Linotype" w:cs="Palatino Linotype"/>
          <w:sz w:val="24"/>
          <w:szCs w:val="24"/>
        </w:rPr>
        <w:t>Ahora bien, la suscrita considera que es de vital importancia señalar que para los casos en los que los particulares deseen conocer l</w:t>
      </w:r>
      <w:r w:rsidRPr="00275340">
        <w:rPr>
          <w:rFonts w:ascii="Palatino Linotype" w:eastAsia="Palatino Linotype" w:hAnsi="Palatino Linotype" w:cs="Palatino Linotype"/>
          <w:sz w:val="24"/>
          <w:szCs w:val="24"/>
        </w:rPr>
        <w:t>as remuneraciones de los elementos operativos de las instituciones de seguridad pública, estas se pueden otorgar mediante el tabulador de sueldos, pues en este soporte se asientan los puestos funcionales y las remuneraciones, lo anterior encuentra sustento</w:t>
      </w:r>
      <w:r w:rsidRPr="00275340">
        <w:rPr>
          <w:rFonts w:ascii="Palatino Linotype" w:eastAsia="Palatino Linotype" w:hAnsi="Palatino Linotype" w:cs="Palatino Linotype"/>
          <w:sz w:val="24"/>
          <w:szCs w:val="24"/>
        </w:rPr>
        <w:t xml:space="preserve"> en el Instructivo del </w:t>
      </w:r>
      <w:r w:rsidRPr="00275340">
        <w:rPr>
          <w:rFonts w:ascii="Palatino Linotype" w:eastAsia="Palatino Linotype" w:hAnsi="Palatino Linotype" w:cs="Palatino Linotype"/>
          <w:sz w:val="24"/>
          <w:szCs w:val="24"/>
        </w:rPr>
        <w:lastRenderedPageBreak/>
        <w:t>módulo 4 para la entrega del Informe Trimestral 2023, en dicho documento obran los siguientes elementos:</w:t>
      </w:r>
    </w:p>
    <w:p w:rsidR="003113A1" w:rsidRPr="00275340" w:rsidRDefault="00F034A5">
      <w:pPr>
        <w:spacing w:before="240" w:after="240" w:line="360" w:lineRule="auto"/>
        <w:ind w:right="139"/>
        <w:jc w:val="center"/>
        <w:rPr>
          <w:rFonts w:ascii="Palatino Linotype" w:eastAsia="Palatino Linotype" w:hAnsi="Palatino Linotype" w:cs="Palatino Linotype"/>
        </w:rPr>
      </w:pPr>
      <w:r w:rsidRPr="00275340">
        <w:rPr>
          <w:rFonts w:ascii="Palatino Linotype" w:hAnsi="Palatino Linotype"/>
          <w:noProof/>
          <w:lang w:val="es-MX"/>
        </w:rPr>
        <w:drawing>
          <wp:inline distT="0" distB="0" distL="0" distR="0">
            <wp:extent cx="5580000" cy="4826873"/>
            <wp:effectExtent l="0" t="0" r="0" b="0"/>
            <wp:docPr id="15421330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80000" cy="4826873"/>
                    </a:xfrm>
                    <a:prstGeom prst="rect">
                      <a:avLst/>
                    </a:prstGeom>
                    <a:ln/>
                  </pic:spPr>
                </pic:pic>
              </a:graphicData>
            </a:graphic>
          </wp:inline>
        </w:drawing>
      </w:r>
    </w:p>
    <w:p w:rsidR="003113A1" w:rsidRPr="00275340" w:rsidRDefault="00F034A5">
      <w:pPr>
        <w:spacing w:before="240" w:after="240" w:line="360" w:lineRule="auto"/>
        <w:ind w:right="139"/>
        <w:jc w:val="center"/>
        <w:rPr>
          <w:rFonts w:ascii="Palatino Linotype" w:eastAsia="Palatino Linotype" w:hAnsi="Palatino Linotype" w:cs="Palatino Linotype"/>
        </w:rPr>
      </w:pPr>
      <w:r w:rsidRPr="00275340">
        <w:rPr>
          <w:rFonts w:ascii="Palatino Linotype" w:hAnsi="Palatino Linotype"/>
          <w:noProof/>
          <w:lang w:val="es-MX"/>
        </w:rPr>
        <w:lastRenderedPageBreak/>
        <w:drawing>
          <wp:inline distT="0" distB="0" distL="0" distR="0">
            <wp:extent cx="4320000" cy="1738260"/>
            <wp:effectExtent l="0" t="0" r="0" b="0"/>
            <wp:docPr id="15421330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70494"/>
                    <a:stretch>
                      <a:fillRect/>
                    </a:stretch>
                  </pic:blipFill>
                  <pic:spPr>
                    <a:xfrm>
                      <a:off x="0" y="0"/>
                      <a:ext cx="4320000" cy="1738260"/>
                    </a:xfrm>
                    <a:prstGeom prst="rect">
                      <a:avLst/>
                    </a:prstGeom>
                    <a:ln/>
                  </pic:spPr>
                </pic:pic>
              </a:graphicData>
            </a:graphic>
          </wp:inline>
        </w:drawing>
      </w:r>
      <w:r w:rsidRPr="00275340">
        <w:rPr>
          <w:rFonts w:ascii="Palatino Linotype" w:hAnsi="Palatino Linotype"/>
          <w:noProof/>
          <w:lang w:val="es-MX"/>
        </w:rPr>
        <w:drawing>
          <wp:inline distT="0" distB="0" distL="0" distR="0">
            <wp:extent cx="4320000" cy="2089095"/>
            <wp:effectExtent l="0" t="0" r="0" b="0"/>
            <wp:docPr id="15421330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64538"/>
                    <a:stretch>
                      <a:fillRect/>
                    </a:stretch>
                  </pic:blipFill>
                  <pic:spPr>
                    <a:xfrm>
                      <a:off x="0" y="0"/>
                      <a:ext cx="4320000" cy="2089095"/>
                    </a:xfrm>
                    <a:prstGeom prst="rect">
                      <a:avLst/>
                    </a:prstGeom>
                    <a:ln/>
                  </pic:spPr>
                </pic:pic>
              </a:graphicData>
            </a:graphic>
          </wp:inline>
        </w:drawing>
      </w:r>
    </w:p>
    <w:p w:rsidR="003113A1" w:rsidRPr="00275340" w:rsidRDefault="00F034A5">
      <w:pPr>
        <w:spacing w:before="240" w:after="240" w:line="360" w:lineRule="auto"/>
        <w:ind w:right="139"/>
        <w:jc w:val="both"/>
        <w:rPr>
          <w:rFonts w:ascii="Palatino Linotype" w:eastAsia="Palatino Linotype" w:hAnsi="Palatino Linotype" w:cs="Palatino Linotype"/>
          <w:sz w:val="24"/>
          <w:szCs w:val="24"/>
        </w:rPr>
      </w:pPr>
      <w:bookmarkStart w:id="3" w:name="_heading=h.3znysh7" w:colFirst="0" w:colLast="0"/>
      <w:bookmarkEnd w:id="3"/>
      <w:r w:rsidRPr="00275340">
        <w:rPr>
          <w:rFonts w:ascii="Palatino Linotype" w:eastAsia="Palatino Linotype" w:hAnsi="Palatino Linotype" w:cs="Palatino Linotype"/>
          <w:sz w:val="24"/>
          <w:szCs w:val="24"/>
        </w:rPr>
        <w:t>De manera que con la consulta de este documento podrá visualizarse con claridad el cargo, la remuneración, así como las gratificaciones, sin conocer el estado de fuerza de las entidades públicas y así no se restringe el derecho de acceso a la información d</w:t>
      </w:r>
      <w:r w:rsidRPr="00275340">
        <w:rPr>
          <w:rFonts w:ascii="Palatino Linotype" w:eastAsia="Palatino Linotype" w:hAnsi="Palatino Linotype" w:cs="Palatino Linotype"/>
          <w:sz w:val="24"/>
          <w:szCs w:val="24"/>
        </w:rPr>
        <w:t xml:space="preserve">e las personas solicitantes. </w:t>
      </w:r>
    </w:p>
    <w:p w:rsidR="003113A1" w:rsidRPr="00275340" w:rsidRDefault="00F034A5">
      <w:pPr>
        <w:spacing w:before="240" w:after="240" w:line="360" w:lineRule="auto"/>
        <w:ind w:right="139"/>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Es por todo lo anteriormente expuesto que considero que en las líneas argumentativas que anteceden, se acreditó de manera fehaciente que esta información debe ser reservada pues su entrega revela datos que pudieran ser aprovec</w:t>
      </w:r>
      <w:r w:rsidRPr="00275340">
        <w:rPr>
          <w:rFonts w:ascii="Palatino Linotype" w:eastAsia="Palatino Linotype" w:hAnsi="Palatino Linotype" w:cs="Palatino Linotype"/>
          <w:sz w:val="24"/>
          <w:szCs w:val="24"/>
        </w:rPr>
        <w:t xml:space="preserve">hados para conocer la capacidad de reacción de las instituciones encargadas </w:t>
      </w:r>
      <w:r w:rsidRPr="00275340">
        <w:rPr>
          <w:rFonts w:ascii="Palatino Linotype" w:eastAsia="Palatino Linotype" w:hAnsi="Palatino Linotype" w:cs="Palatino Linotype"/>
          <w:sz w:val="24"/>
          <w:szCs w:val="24"/>
        </w:rPr>
        <w:lastRenderedPageBreak/>
        <w:t xml:space="preserve">de la seguridad pública y </w:t>
      </w:r>
      <w:r w:rsidRPr="00275340">
        <w:rPr>
          <w:rFonts w:ascii="Palatino Linotype" w:eastAsia="Palatino Linotype" w:hAnsi="Palatino Linotype" w:cs="Palatino Linotype"/>
          <w:b/>
          <w:sz w:val="24"/>
          <w:szCs w:val="24"/>
          <w:u w:val="single"/>
        </w:rPr>
        <w:t xml:space="preserve">facilitaría a las células delictivas el neutralizar las acciones implementadas o por implementar para la preservación de la paz pública, afectando así su </w:t>
      </w:r>
      <w:r w:rsidRPr="00275340">
        <w:rPr>
          <w:rFonts w:ascii="Palatino Linotype" w:eastAsia="Palatino Linotype" w:hAnsi="Palatino Linotype" w:cs="Palatino Linotype"/>
          <w:b/>
          <w:sz w:val="24"/>
          <w:szCs w:val="24"/>
          <w:u w:val="single"/>
        </w:rPr>
        <w:t xml:space="preserve">estado de fuerza, o bien les permita </w:t>
      </w:r>
      <w:r w:rsidRPr="00275340">
        <w:rPr>
          <w:rFonts w:ascii="Palatino Linotype" w:eastAsia="Palatino Linotype" w:hAnsi="Palatino Linotype" w:cs="Palatino Linotype"/>
          <w:sz w:val="24"/>
          <w:szCs w:val="24"/>
        </w:rPr>
        <w:t>realizar actos para amenazar, inhibir, extorsionar o corromper las funciones del personal operativo, lo que causaría una vulneración a la Seguridad Municipal, por lo tanto la suscrita no comparte las consideraciones ver</w:t>
      </w:r>
      <w:r w:rsidRPr="00275340">
        <w:rPr>
          <w:rFonts w:ascii="Palatino Linotype" w:eastAsia="Palatino Linotype" w:hAnsi="Palatino Linotype" w:cs="Palatino Linotype"/>
          <w:sz w:val="24"/>
          <w:szCs w:val="24"/>
        </w:rPr>
        <w:t>tidas en la resolución respecto del tratamiento que se le da a la información relativa a elementos operativos de instituciones de seguridad pública.</w:t>
      </w:r>
    </w:p>
    <w:p w:rsidR="003113A1" w:rsidRPr="00275340" w:rsidRDefault="00F034A5">
      <w:pPr>
        <w:tabs>
          <w:tab w:val="left" w:pos="4962"/>
        </w:tabs>
        <w:spacing w:before="240" w:after="0" w:line="360" w:lineRule="auto"/>
        <w:jc w:val="both"/>
        <w:rPr>
          <w:rFonts w:ascii="Palatino Linotype" w:eastAsia="Palatino Linotype" w:hAnsi="Palatino Linotype" w:cs="Palatino Linotype"/>
          <w:sz w:val="24"/>
          <w:szCs w:val="24"/>
        </w:rPr>
      </w:pPr>
      <w:r w:rsidRPr="00275340">
        <w:rPr>
          <w:rFonts w:ascii="Palatino Linotype" w:eastAsia="Palatino Linotype" w:hAnsi="Palatino Linotype" w:cs="Palatino Linotype"/>
          <w:sz w:val="24"/>
          <w:szCs w:val="24"/>
        </w:rPr>
        <w:t>Lo anterior expone razones suficientes para la emisión y presentación del presente</w:t>
      </w:r>
      <w:r w:rsidRPr="00275340">
        <w:rPr>
          <w:rFonts w:ascii="Palatino Linotype" w:eastAsia="Palatino Linotype" w:hAnsi="Palatino Linotype" w:cs="Palatino Linotype"/>
          <w:b/>
          <w:sz w:val="24"/>
          <w:szCs w:val="24"/>
        </w:rPr>
        <w:t xml:space="preserve"> Voto Particular</w:t>
      </w:r>
      <w:r w:rsidRPr="00275340">
        <w:rPr>
          <w:rFonts w:ascii="Palatino Linotype" w:eastAsia="Palatino Linotype" w:hAnsi="Palatino Linotype" w:cs="Palatino Linotype"/>
          <w:b/>
          <w:sz w:val="24"/>
          <w:szCs w:val="24"/>
        </w:rPr>
        <w:t xml:space="preserve">, </w:t>
      </w:r>
      <w:r w:rsidRPr="00275340">
        <w:rPr>
          <w:rFonts w:ascii="Palatino Linotype" w:eastAsia="Palatino Linotype" w:hAnsi="Palatino Linotype" w:cs="Palatino Linotype"/>
          <w:sz w:val="24"/>
          <w:szCs w:val="24"/>
        </w:rPr>
        <w:t>relacionado con la resolución del Recurso de Revisión referido.</w:t>
      </w:r>
      <w:r w:rsidRPr="00275340">
        <w:rPr>
          <w:rFonts w:ascii="Palatino Linotype" w:eastAsia="Palatino Linotype" w:hAnsi="Palatino Linotype" w:cs="Palatino Linotype"/>
          <w:sz w:val="24"/>
          <w:szCs w:val="24"/>
        </w:rPr>
        <w:t xml:space="preserve"> </w:t>
      </w:r>
    </w:p>
    <w:p w:rsidR="003113A1" w:rsidRPr="00275340" w:rsidRDefault="003113A1">
      <w:pPr>
        <w:tabs>
          <w:tab w:val="left" w:pos="4962"/>
        </w:tabs>
        <w:spacing w:before="240" w:after="240" w:line="360" w:lineRule="auto"/>
        <w:jc w:val="both"/>
        <w:rPr>
          <w:rFonts w:ascii="Palatino Linotype" w:eastAsia="Palatino Linotype" w:hAnsi="Palatino Linotype" w:cs="Palatino Linotype"/>
          <w:b/>
          <w:sz w:val="24"/>
          <w:szCs w:val="24"/>
        </w:rPr>
      </w:pPr>
    </w:p>
    <w:p w:rsidR="003113A1" w:rsidRPr="00275340" w:rsidRDefault="003113A1">
      <w:pPr>
        <w:tabs>
          <w:tab w:val="left" w:pos="4962"/>
        </w:tabs>
        <w:spacing w:before="240" w:after="240" w:line="360" w:lineRule="auto"/>
        <w:jc w:val="both"/>
        <w:rPr>
          <w:rFonts w:ascii="Palatino Linotype" w:eastAsia="Palatino Linotype" w:hAnsi="Palatino Linotype" w:cs="Palatino Linotype"/>
          <w:b/>
          <w:sz w:val="24"/>
          <w:szCs w:val="24"/>
        </w:rPr>
      </w:pPr>
    </w:p>
    <w:p w:rsidR="003113A1" w:rsidRPr="00275340" w:rsidRDefault="003113A1">
      <w:pPr>
        <w:tabs>
          <w:tab w:val="left" w:pos="4962"/>
        </w:tabs>
        <w:spacing w:before="240" w:after="240" w:line="360" w:lineRule="auto"/>
        <w:jc w:val="both"/>
        <w:rPr>
          <w:rFonts w:ascii="Palatino Linotype" w:eastAsia="Palatino Linotype" w:hAnsi="Palatino Linotype" w:cs="Palatino Linotype"/>
          <w:b/>
          <w:sz w:val="24"/>
          <w:szCs w:val="24"/>
        </w:rPr>
      </w:pPr>
    </w:p>
    <w:p w:rsidR="003113A1" w:rsidRPr="00275340" w:rsidRDefault="003113A1">
      <w:pPr>
        <w:tabs>
          <w:tab w:val="left" w:pos="4962"/>
        </w:tabs>
        <w:spacing w:before="240" w:after="240" w:line="360" w:lineRule="auto"/>
        <w:jc w:val="both"/>
        <w:rPr>
          <w:rFonts w:ascii="Palatino Linotype" w:eastAsia="Palatino Linotype" w:hAnsi="Palatino Linotype" w:cs="Palatino Linotype"/>
          <w:sz w:val="24"/>
          <w:szCs w:val="24"/>
        </w:rPr>
      </w:pPr>
    </w:p>
    <w:p w:rsidR="003113A1" w:rsidRPr="00275340" w:rsidRDefault="003113A1">
      <w:pPr>
        <w:spacing w:after="0" w:line="360" w:lineRule="auto"/>
        <w:ind w:right="423"/>
        <w:jc w:val="both"/>
        <w:rPr>
          <w:rFonts w:ascii="Palatino Linotype" w:eastAsia="Palatino Linotype" w:hAnsi="Palatino Linotype" w:cs="Palatino Linotype"/>
        </w:rPr>
      </w:pPr>
    </w:p>
    <w:sectPr w:rsidR="003113A1" w:rsidRPr="00275340">
      <w:headerReference w:type="default" r:id="rId10"/>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34A5">
      <w:pPr>
        <w:spacing w:after="0" w:line="240" w:lineRule="auto"/>
      </w:pPr>
      <w:r>
        <w:separator/>
      </w:r>
    </w:p>
  </w:endnote>
  <w:endnote w:type="continuationSeparator" w:id="0">
    <w:p w:rsidR="00000000" w:rsidRDefault="00F0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34A5">
      <w:pPr>
        <w:spacing w:after="0" w:line="240" w:lineRule="auto"/>
      </w:pPr>
      <w:r>
        <w:separator/>
      </w:r>
    </w:p>
  </w:footnote>
  <w:footnote w:type="continuationSeparator" w:id="0">
    <w:p w:rsidR="00000000" w:rsidRDefault="00F0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A1" w:rsidRDefault="00F034A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-1171572</wp:posOffset>
          </wp:positionH>
          <wp:positionV relativeFrom="paragraph">
            <wp:posOffset>-486407</wp:posOffset>
          </wp:positionV>
          <wp:extent cx="7510628" cy="9883775"/>
          <wp:effectExtent l="0" t="0" r="0" b="0"/>
          <wp:wrapNone/>
          <wp:docPr id="154213300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3113A1" w:rsidRDefault="00F034A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3113A1" w:rsidRDefault="00F034A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RECURSOS DE REVISIÓN 03871/INFOEM/IP/RR/2023</w:t>
    </w:r>
  </w:p>
  <w:p w:rsidR="003113A1" w:rsidRDefault="00F034A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Y ACUMULADOS </w:t>
    </w:r>
  </w:p>
  <w:p w:rsidR="003113A1" w:rsidRDefault="003113A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3113A1" w:rsidRDefault="003113A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D6B41"/>
    <w:multiLevelType w:val="multilevel"/>
    <w:tmpl w:val="D4DC9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B922C8"/>
    <w:multiLevelType w:val="multilevel"/>
    <w:tmpl w:val="1EC26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54681C"/>
    <w:multiLevelType w:val="multilevel"/>
    <w:tmpl w:val="7D4A1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8134F1"/>
    <w:multiLevelType w:val="multilevel"/>
    <w:tmpl w:val="8472A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CA6466"/>
    <w:multiLevelType w:val="multilevel"/>
    <w:tmpl w:val="E86AD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D260D5"/>
    <w:multiLevelType w:val="multilevel"/>
    <w:tmpl w:val="3716C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5F1D65"/>
    <w:multiLevelType w:val="multilevel"/>
    <w:tmpl w:val="D5D85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F30722"/>
    <w:multiLevelType w:val="multilevel"/>
    <w:tmpl w:val="C80CE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107D62"/>
    <w:multiLevelType w:val="multilevel"/>
    <w:tmpl w:val="DEBEB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0218B4"/>
    <w:multiLevelType w:val="multilevel"/>
    <w:tmpl w:val="DAEE9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1028CC"/>
    <w:multiLevelType w:val="multilevel"/>
    <w:tmpl w:val="89225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064952"/>
    <w:multiLevelType w:val="multilevel"/>
    <w:tmpl w:val="08026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3320BE"/>
    <w:multiLevelType w:val="multilevel"/>
    <w:tmpl w:val="B0424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AA76BE"/>
    <w:multiLevelType w:val="multilevel"/>
    <w:tmpl w:val="312A8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0"/>
  </w:num>
  <w:num w:numId="3">
    <w:abstractNumId w:val="2"/>
  </w:num>
  <w:num w:numId="4">
    <w:abstractNumId w:val="8"/>
  </w:num>
  <w:num w:numId="5">
    <w:abstractNumId w:val="3"/>
  </w:num>
  <w:num w:numId="6">
    <w:abstractNumId w:val="11"/>
  </w:num>
  <w:num w:numId="7">
    <w:abstractNumId w:val="0"/>
  </w:num>
  <w:num w:numId="8">
    <w:abstractNumId w:val="6"/>
  </w:num>
  <w:num w:numId="9">
    <w:abstractNumId w:val="5"/>
  </w:num>
  <w:num w:numId="10">
    <w:abstractNumId w:val="9"/>
  </w:num>
  <w:num w:numId="11">
    <w:abstractNumId w:val="13"/>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A1"/>
    <w:rsid w:val="000042B4"/>
    <w:rsid w:val="00043633"/>
    <w:rsid w:val="00255673"/>
    <w:rsid w:val="00275340"/>
    <w:rsid w:val="003113A1"/>
    <w:rsid w:val="003165D0"/>
    <w:rsid w:val="00365F3F"/>
    <w:rsid w:val="005C45F2"/>
    <w:rsid w:val="00690B07"/>
    <w:rsid w:val="006A5CA1"/>
    <w:rsid w:val="00915CD7"/>
    <w:rsid w:val="00B012BD"/>
    <w:rsid w:val="00B45EDC"/>
    <w:rsid w:val="00B61BE0"/>
    <w:rsid w:val="00C02EEF"/>
    <w:rsid w:val="00E02D9D"/>
    <w:rsid w:val="00F034A5"/>
    <w:rsid w:val="00FA2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B6145-929E-411F-84E4-00FC6FA9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F745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5F0"/>
  </w:style>
  <w:style w:type="paragraph" w:styleId="Encabezado">
    <w:name w:val="header"/>
    <w:basedOn w:val="Normal"/>
    <w:link w:val="EncabezadoCar"/>
    <w:uiPriority w:val="99"/>
    <w:unhideWhenUsed/>
    <w:rsid w:val="00F745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5F0"/>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300B"/>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300B"/>
    <w:rPr>
      <w:rFonts w:ascii="Times New Roman" w:eastAsia="Times New Roman" w:hAnsi="Times New Roman" w:cs="Times New Roman"/>
      <w:sz w:val="24"/>
      <w:szCs w:val="24"/>
      <w:lang w:val="es-MX" w:eastAsia="es-ES"/>
    </w:rPr>
  </w:style>
  <w:style w:type="table" w:styleId="Tablaconcuadrcula">
    <w:name w:val="Table Grid"/>
    <w:basedOn w:val="Tablanormal"/>
    <w:uiPriority w:val="59"/>
    <w:rsid w:val="008A3CC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faMivGspBOnRic5SF1z468KWg==">CgMxLjAyDmgudTV5bjkyeG1wejRhMg5oLmZhbGQyMzRmaXV5ZzIJaC4zem55c2g3OAByITFCS3NnSmFUdWZ0UEwzazk4ZFZmOUQ2cXh5UFFmc0hveA==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3120</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SAFOVI</dc:creator>
  <cp:lastModifiedBy>INFOEM509</cp:lastModifiedBy>
  <cp:revision>2</cp:revision>
  <dcterms:created xsi:type="dcterms:W3CDTF">2024-03-05T19:31:00Z</dcterms:created>
  <dcterms:modified xsi:type="dcterms:W3CDTF">2024-03-05T19:31:00Z</dcterms:modified>
</cp:coreProperties>
</file>