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4681" w14:textId="77777777" w:rsidR="00BC7006" w:rsidRDefault="009C6171">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316E2B">
        <w:rPr>
          <w:rFonts w:ascii="Palatino Linotype" w:eastAsia="Palatino Linotype" w:hAnsi="Palatino Linotype" w:cs="Palatino Linotype"/>
          <w:b/>
          <w:sz w:val="24"/>
          <w:szCs w:val="24"/>
        </w:rPr>
        <w:t>SÉPTIMA</w:t>
      </w:r>
      <w:r>
        <w:rPr>
          <w:rFonts w:ascii="Palatino Linotype" w:eastAsia="Palatino Linotype" w:hAnsi="Palatino Linotype" w:cs="Palatino Linotype"/>
          <w:b/>
          <w:sz w:val="24"/>
          <w:szCs w:val="24"/>
        </w:rPr>
        <w:t xml:space="preserve"> SESIÓN ORDINARIA DEL </w:t>
      </w:r>
      <w:r w:rsidR="00316E2B">
        <w:rPr>
          <w:rFonts w:ascii="Palatino Linotype" w:eastAsia="Palatino Linotype" w:hAnsi="Palatino Linotype" w:cs="Palatino Linotype"/>
          <w:b/>
          <w:sz w:val="24"/>
          <w:szCs w:val="24"/>
        </w:rPr>
        <w:t>VEINTIOCHO</w:t>
      </w:r>
      <w:r>
        <w:rPr>
          <w:rFonts w:ascii="Palatino Linotype" w:eastAsia="Palatino Linotype" w:hAnsi="Palatino Linotype" w:cs="Palatino Linotype"/>
          <w:b/>
          <w:sz w:val="24"/>
          <w:szCs w:val="24"/>
        </w:rPr>
        <w:t xml:space="preserve"> DE FEBRERO DE DOS MIL VEINTICUA</w:t>
      </w:r>
      <w:r w:rsidR="00316E2B">
        <w:rPr>
          <w:rFonts w:ascii="Palatino Linotype" w:eastAsia="Palatino Linotype" w:hAnsi="Palatino Linotype" w:cs="Palatino Linotype"/>
          <w:b/>
          <w:sz w:val="24"/>
          <w:szCs w:val="24"/>
        </w:rPr>
        <w:t>TRO, EN EL RECURSO DE REVISIÓN 07421</w:t>
      </w:r>
      <w:r>
        <w:rPr>
          <w:rFonts w:ascii="Palatino Linotype" w:eastAsia="Palatino Linotype" w:hAnsi="Palatino Linotype" w:cs="Palatino Linotype"/>
          <w:b/>
          <w:sz w:val="24"/>
          <w:szCs w:val="24"/>
        </w:rPr>
        <w:t>/INFOEM/IP/RR/2023.</w:t>
      </w:r>
    </w:p>
    <w:p w14:paraId="693B7BBB" w14:textId="77777777" w:rsidR="00BC7006" w:rsidRDefault="009C617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que suscribe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 xml:space="preserve">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w:t>
      </w:r>
      <w:r>
        <w:rPr>
          <w:rFonts w:ascii="Palatino Linotype" w:eastAsia="Palatino Linotype" w:hAnsi="Palatino Linotype" w:cs="Palatino Linotype"/>
          <w:b/>
          <w:sz w:val="24"/>
          <w:szCs w:val="24"/>
        </w:rPr>
        <w:t>0</w:t>
      </w:r>
      <w:r w:rsidR="00316E2B">
        <w:rPr>
          <w:rFonts w:ascii="Palatino Linotype" w:eastAsia="Palatino Linotype" w:hAnsi="Palatino Linotype" w:cs="Palatino Linotype"/>
          <w:b/>
          <w:sz w:val="24"/>
          <w:szCs w:val="24"/>
        </w:rPr>
        <w:t>7421</w:t>
      </w:r>
      <w:r>
        <w:rPr>
          <w:rFonts w:ascii="Palatino Linotype" w:eastAsia="Palatino Linotype" w:hAnsi="Palatino Linotype" w:cs="Palatino Linotype"/>
          <w:b/>
          <w:sz w:val="24"/>
          <w:szCs w:val="24"/>
        </w:rPr>
        <w:t>/INFOEM/IP/RR/2023</w:t>
      </w:r>
      <w:r>
        <w:rPr>
          <w:rFonts w:ascii="Palatino Linotype" w:eastAsia="Palatino Linotype" w:hAnsi="Palatino Linotype" w:cs="Palatino Linotype"/>
          <w:sz w:val="24"/>
          <w:szCs w:val="24"/>
        </w:rPr>
        <w:t>, pronunciada con el criterio mayoritario del Pleno de este Instituto an</w:t>
      </w:r>
      <w:r w:rsidR="00316E2B">
        <w:rPr>
          <w:rFonts w:ascii="Palatino Linotype" w:eastAsia="Palatino Linotype" w:hAnsi="Palatino Linotype" w:cs="Palatino Linotype"/>
          <w:sz w:val="24"/>
          <w:szCs w:val="24"/>
        </w:rPr>
        <w:t>te el proyecto presentado por el</w:t>
      </w:r>
      <w:r>
        <w:rPr>
          <w:rFonts w:ascii="Palatino Linotype" w:eastAsia="Palatino Linotype" w:hAnsi="Palatino Linotype" w:cs="Palatino Linotype"/>
          <w:sz w:val="24"/>
          <w:szCs w:val="24"/>
        </w:rPr>
        <w:t xml:space="preserve"> Comisionad</w:t>
      </w:r>
      <w:r w:rsidR="00316E2B">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w:t>
      </w:r>
      <w:r w:rsidR="00316E2B">
        <w:rPr>
          <w:rFonts w:ascii="Palatino Linotype" w:eastAsia="Palatino Linotype" w:hAnsi="Palatino Linotype" w:cs="Palatino Linotype"/>
          <w:b/>
          <w:sz w:val="24"/>
          <w:szCs w:val="24"/>
        </w:rPr>
        <w:t>Luis Gustavo Parra Noriega</w:t>
      </w:r>
      <w:r>
        <w:rPr>
          <w:rFonts w:ascii="Palatino Linotype" w:eastAsia="Palatino Linotype" w:hAnsi="Palatino Linotype" w:cs="Palatino Linotype"/>
          <w:sz w:val="24"/>
          <w:szCs w:val="24"/>
        </w:rPr>
        <w:t>, el cual es al tenor siguiente:</w:t>
      </w:r>
    </w:p>
    <w:p w14:paraId="2A06AFF8" w14:textId="77777777" w:rsidR="00BC7006" w:rsidRDefault="009C6171">
      <w:pPr>
        <w:numPr>
          <w:ilvl w:val="0"/>
          <w:numId w:val="2"/>
        </w:numPr>
        <w:tabs>
          <w:tab w:val="left" w:pos="567"/>
        </w:tabs>
        <w:spacing w:after="0" w:line="360" w:lineRule="auto"/>
        <w:ind w:left="284"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14:paraId="5D997A4F" w14:textId="77777777" w:rsidR="00BC7006" w:rsidRDefault="009C617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le proporcionara la siguiente información: </w:t>
      </w:r>
    </w:p>
    <w:p w14:paraId="63F611E6" w14:textId="77777777" w:rsidR="00BC7006" w:rsidRDefault="009C6171">
      <w:pPr>
        <w:tabs>
          <w:tab w:val="left" w:pos="851"/>
        </w:tabs>
        <w:spacing w:before="120" w:after="120" w:line="240" w:lineRule="auto"/>
        <w:ind w:left="851" w:right="902"/>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i/>
        </w:rPr>
        <w:t>“</w:t>
      </w:r>
      <w:r w:rsidR="00316E2B" w:rsidRPr="00316E2B">
        <w:rPr>
          <w:rFonts w:ascii="Palatino Linotype" w:eastAsia="Palatino Linotype" w:hAnsi="Palatino Linotype" w:cs="Palatino Linotype"/>
          <w:i/>
        </w:rPr>
        <w:t>Bitácoras de gasolina desglosadas por dirección, departamento, vehículo, si es diésel o gasolina, operador, licencia de conducir, gafetes y en su caso nombramientos desde el 1ero de enero del 2019 a la fecha</w:t>
      </w:r>
      <w:r>
        <w:rPr>
          <w:rFonts w:ascii="Palatino Linotype" w:eastAsia="Palatino Linotype" w:hAnsi="Palatino Linotype" w:cs="Palatino Linotype"/>
          <w:i/>
        </w:rPr>
        <w:t>” (Sic)</w:t>
      </w:r>
    </w:p>
    <w:p w14:paraId="72197F4A" w14:textId="77777777" w:rsidR="00BC7006" w:rsidRDefault="00BC7006">
      <w:pPr>
        <w:spacing w:before="240" w:after="240" w:line="360" w:lineRule="auto"/>
        <w:jc w:val="both"/>
        <w:rPr>
          <w:rFonts w:ascii="Palatino Linotype" w:eastAsia="Palatino Linotype" w:hAnsi="Palatino Linotype" w:cs="Palatino Linotype"/>
          <w:sz w:val="24"/>
          <w:szCs w:val="24"/>
        </w:rPr>
      </w:pPr>
    </w:p>
    <w:p w14:paraId="573538CF" w14:textId="77777777" w:rsidR="00BC7006" w:rsidRDefault="009C617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w:t>
      </w:r>
      <w:r w:rsidR="00316E2B">
        <w:rPr>
          <w:rFonts w:ascii="Palatino Linotype" w:eastAsia="Palatino Linotype" w:hAnsi="Palatino Linotype" w:cs="Palatino Linotype"/>
          <w:sz w:val="24"/>
          <w:szCs w:val="24"/>
        </w:rPr>
        <w:t xml:space="preserve"> su</w:t>
      </w:r>
      <w:r>
        <w:rPr>
          <w:rFonts w:ascii="Palatino Linotype" w:eastAsia="Palatino Linotype" w:hAnsi="Palatino Linotype" w:cs="Palatino Linotype"/>
          <w:sz w:val="24"/>
          <w:szCs w:val="24"/>
        </w:rPr>
        <w:t xml:space="preserve"> respuesta, el </w:t>
      </w:r>
      <w:r w:rsidR="00316E2B">
        <w:rPr>
          <w:rFonts w:ascii="Palatino Linotype" w:eastAsia="Palatino Linotype" w:hAnsi="Palatino Linotype" w:cs="Palatino Linotype"/>
          <w:b/>
          <w:sz w:val="24"/>
          <w:szCs w:val="24"/>
        </w:rPr>
        <w:t xml:space="preserve">Sujeto Obligado </w:t>
      </w:r>
      <w:r w:rsidR="00316E2B">
        <w:rPr>
          <w:rFonts w:ascii="Palatino Linotype" w:eastAsia="Palatino Linotype" w:hAnsi="Palatino Linotype" w:cs="Palatino Linotype"/>
          <w:sz w:val="24"/>
          <w:szCs w:val="24"/>
        </w:rPr>
        <w:t xml:space="preserve">a través de la Subdirección de Recurso Humanos manifestó que no tiene elementos para entrega información sobre gafetes y/o nombramientos; por otro lado, la Directora de Administración remitió en versión pública cuarenta y un bitácoras de Consumo de Gasolina/Diesel, de las áreas administrativas y periodos que a continuación se describen: </w:t>
      </w:r>
    </w:p>
    <w:p w14:paraId="2FD15204" w14:textId="77777777" w:rsidR="00316E2B" w:rsidRDefault="00316E2B" w:rsidP="00316E2B">
      <w:pPr>
        <w:pStyle w:val="Prrafodelista"/>
        <w:numPr>
          <w:ilvl w:val="0"/>
          <w:numId w:val="3"/>
        </w:numPr>
        <w:spacing w:line="360" w:lineRule="auto"/>
        <w:jc w:val="both"/>
      </w:pPr>
      <w:r>
        <w:t xml:space="preserve">De 2022: </w:t>
      </w:r>
    </w:p>
    <w:p w14:paraId="0C441DC0" w14:textId="77777777" w:rsidR="00316E2B" w:rsidRPr="00C6294F" w:rsidRDefault="00316E2B" w:rsidP="00316E2B">
      <w:pPr>
        <w:pStyle w:val="Prrafodelista"/>
        <w:numPr>
          <w:ilvl w:val="0"/>
          <w:numId w:val="4"/>
        </w:numPr>
        <w:spacing w:line="360" w:lineRule="auto"/>
        <w:jc w:val="both"/>
      </w:pPr>
      <w:r w:rsidRPr="00C6294F">
        <w:rPr>
          <w:b/>
          <w:bCs/>
        </w:rPr>
        <w:t>Presidencia Municipal:</w:t>
      </w:r>
      <w:r w:rsidRPr="00C6294F">
        <w:t xml:space="preserve"> Enero, febrero, abril, mayo, junio, julio, agosto, septiembre, octubre y diciembre. (10) </w:t>
      </w:r>
    </w:p>
    <w:p w14:paraId="2C360E5E" w14:textId="77777777" w:rsidR="00316E2B" w:rsidRPr="00C6294F" w:rsidRDefault="00316E2B" w:rsidP="00316E2B">
      <w:pPr>
        <w:pStyle w:val="Prrafodelista"/>
        <w:numPr>
          <w:ilvl w:val="0"/>
          <w:numId w:val="4"/>
        </w:numPr>
        <w:spacing w:line="360" w:lineRule="auto"/>
        <w:jc w:val="both"/>
      </w:pPr>
      <w:r w:rsidRPr="00C6294F">
        <w:rPr>
          <w:b/>
          <w:bCs/>
        </w:rPr>
        <w:t>Desarrollo Económico:</w:t>
      </w:r>
      <w:r w:rsidRPr="00C6294F">
        <w:t xml:space="preserve"> Febrero, abril, agosto, septiembre, octubre y diciembre.(6) </w:t>
      </w:r>
    </w:p>
    <w:p w14:paraId="30D1E7CB" w14:textId="77777777" w:rsidR="00316E2B" w:rsidRPr="00C6294F" w:rsidRDefault="00316E2B" w:rsidP="00316E2B">
      <w:pPr>
        <w:pStyle w:val="Prrafodelista"/>
        <w:numPr>
          <w:ilvl w:val="0"/>
          <w:numId w:val="4"/>
        </w:numPr>
        <w:spacing w:line="360" w:lineRule="auto"/>
        <w:jc w:val="both"/>
      </w:pPr>
      <w:r w:rsidRPr="00C6294F">
        <w:rPr>
          <w:b/>
          <w:bCs/>
        </w:rPr>
        <w:t>Contraloría Municipal:</w:t>
      </w:r>
      <w:r w:rsidRPr="00C6294F">
        <w:t xml:space="preserve"> Febrero, abril, mayo, junio, agosto, septiembre, octubre y diciembre. (8)</w:t>
      </w:r>
    </w:p>
    <w:p w14:paraId="7FB620B2" w14:textId="77777777" w:rsidR="00316E2B" w:rsidRPr="00C6294F" w:rsidRDefault="00316E2B" w:rsidP="00316E2B">
      <w:pPr>
        <w:pStyle w:val="Prrafodelista"/>
        <w:numPr>
          <w:ilvl w:val="0"/>
          <w:numId w:val="3"/>
        </w:numPr>
        <w:spacing w:line="360" w:lineRule="auto"/>
        <w:jc w:val="both"/>
      </w:pPr>
      <w:r w:rsidRPr="00C6294F">
        <w:t>De 2023:</w:t>
      </w:r>
    </w:p>
    <w:p w14:paraId="09115796" w14:textId="77777777" w:rsidR="00316E2B" w:rsidRPr="00C6294F" w:rsidRDefault="00316E2B" w:rsidP="00316E2B">
      <w:pPr>
        <w:pStyle w:val="Prrafodelista"/>
        <w:numPr>
          <w:ilvl w:val="0"/>
          <w:numId w:val="4"/>
        </w:numPr>
        <w:spacing w:line="360" w:lineRule="auto"/>
        <w:jc w:val="both"/>
      </w:pPr>
      <w:r w:rsidRPr="00C6294F">
        <w:rPr>
          <w:b/>
          <w:bCs/>
        </w:rPr>
        <w:t>Desarrollo Económico:</w:t>
      </w:r>
      <w:r w:rsidRPr="00C6294F">
        <w:t xml:space="preserve"> Febrero, abril, marzo, mayo y junio. (5)</w:t>
      </w:r>
    </w:p>
    <w:p w14:paraId="7959BFF9" w14:textId="77777777" w:rsidR="00316E2B" w:rsidRPr="00C6294F" w:rsidRDefault="00316E2B" w:rsidP="00316E2B">
      <w:pPr>
        <w:pStyle w:val="Prrafodelista"/>
        <w:numPr>
          <w:ilvl w:val="0"/>
          <w:numId w:val="4"/>
        </w:numPr>
        <w:spacing w:line="360" w:lineRule="auto"/>
        <w:jc w:val="both"/>
      </w:pPr>
      <w:r w:rsidRPr="00C6294F">
        <w:rPr>
          <w:b/>
          <w:bCs/>
        </w:rPr>
        <w:t>Contraloría Municipal:</w:t>
      </w:r>
      <w:r w:rsidRPr="00C6294F">
        <w:t xml:space="preserve"> Enero, febrero, abril, marzo, mayo y junio. (6)</w:t>
      </w:r>
    </w:p>
    <w:p w14:paraId="0326B34A" w14:textId="77777777" w:rsidR="00316E2B" w:rsidRPr="00C6294F" w:rsidRDefault="00316E2B" w:rsidP="00316E2B">
      <w:pPr>
        <w:pStyle w:val="Prrafodelista"/>
        <w:numPr>
          <w:ilvl w:val="0"/>
          <w:numId w:val="4"/>
        </w:numPr>
        <w:spacing w:line="360" w:lineRule="auto"/>
        <w:jc w:val="both"/>
      </w:pPr>
      <w:r w:rsidRPr="00C6294F">
        <w:rPr>
          <w:b/>
          <w:bCs/>
        </w:rPr>
        <w:t>Desarrollo Social:</w:t>
      </w:r>
      <w:r w:rsidRPr="00C6294F">
        <w:t xml:space="preserve"> Enero, febrero, abril, marzo, mayo y junio. (6) </w:t>
      </w:r>
    </w:p>
    <w:p w14:paraId="7EB8CCDC" w14:textId="77777777" w:rsidR="00BC7006" w:rsidRDefault="009C617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citado al rubro, manifestado lo siguiente: </w:t>
      </w:r>
    </w:p>
    <w:p w14:paraId="12980FDC" w14:textId="77777777" w:rsidR="00316E2B" w:rsidRPr="00316E2B" w:rsidRDefault="003460BE" w:rsidP="003460BE">
      <w:pPr>
        <w:spacing w:after="0" w:line="360" w:lineRule="auto"/>
        <w:ind w:left="567" w:right="567"/>
        <w:jc w:val="both"/>
        <w:rPr>
          <w:rFonts w:ascii="Palatino Linotype" w:hAnsi="Palatino Linotype"/>
          <w:i/>
        </w:rPr>
      </w:pPr>
      <w:bookmarkStart w:id="2" w:name="_heading=h.2et92p0" w:colFirst="0" w:colLast="0"/>
      <w:bookmarkEnd w:id="2"/>
      <w:r w:rsidRPr="00316E2B">
        <w:rPr>
          <w:rFonts w:ascii="Palatino Linotype" w:eastAsia="Palatino Linotype" w:hAnsi="Palatino Linotype" w:cs="Palatino Linotype"/>
          <w:i/>
        </w:rPr>
        <w:t xml:space="preserve"> </w:t>
      </w:r>
      <w:r w:rsidR="009C6171" w:rsidRPr="00316E2B">
        <w:rPr>
          <w:rFonts w:ascii="Palatino Linotype" w:eastAsia="Palatino Linotype" w:hAnsi="Palatino Linotype" w:cs="Palatino Linotype"/>
          <w:i/>
        </w:rPr>
        <w:t>“</w:t>
      </w:r>
      <w:r w:rsidR="00316E2B" w:rsidRPr="00316E2B">
        <w:rPr>
          <w:rFonts w:ascii="Palatino Linotype" w:hAnsi="Palatino Linotype"/>
          <w:i/>
        </w:rPr>
        <w:t>BITACORAS INCOMPLETAS Y NO ME ENTREGAN LOS GAFETES. INFORMACION QUE DEBEN DE TENER NO NECESARIAMENTE EN EL AREA DE RECURSOS HUMANOS” (Sic.)</w:t>
      </w:r>
    </w:p>
    <w:p w14:paraId="6EA51FBE" w14:textId="77777777" w:rsidR="00316E2B" w:rsidRPr="00316E2B" w:rsidRDefault="00316E2B" w:rsidP="003460BE">
      <w:pPr>
        <w:spacing w:line="360" w:lineRule="auto"/>
        <w:ind w:right="567"/>
        <w:jc w:val="both"/>
        <w:rPr>
          <w:rFonts w:ascii="Palatino Linotype" w:eastAsia="Palatino Linotype" w:hAnsi="Palatino Linotype" w:cs="Palatino Linotype"/>
          <w:i/>
        </w:rPr>
      </w:pPr>
    </w:p>
    <w:p w14:paraId="4FBFBE66" w14:textId="77777777" w:rsidR="00BC7006" w:rsidRPr="003460BE" w:rsidRDefault="009C6171">
      <w:pPr>
        <w:spacing w:before="80"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manifestaciones, </w:t>
      </w:r>
      <w:r w:rsidR="003460BE">
        <w:rPr>
          <w:rFonts w:ascii="Palatino Linotype" w:eastAsia="Palatino Linotype" w:hAnsi="Palatino Linotype" w:cs="Palatino Linotype"/>
          <w:sz w:val="24"/>
          <w:szCs w:val="24"/>
        </w:rPr>
        <w:t xml:space="preserve">tanto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 xml:space="preserve">Sujeto Obligado </w:t>
      </w:r>
      <w:r w:rsidR="003460BE">
        <w:rPr>
          <w:rFonts w:ascii="Palatino Linotype" w:eastAsia="Palatino Linotype" w:hAnsi="Palatino Linotype" w:cs="Palatino Linotype"/>
          <w:sz w:val="24"/>
          <w:szCs w:val="24"/>
        </w:rPr>
        <w:t xml:space="preserve">como la parte </w:t>
      </w:r>
      <w:r w:rsidR="003460BE">
        <w:rPr>
          <w:rFonts w:ascii="Palatino Linotype" w:eastAsia="Palatino Linotype" w:hAnsi="Palatino Linotype" w:cs="Palatino Linotype"/>
          <w:b/>
          <w:sz w:val="24"/>
          <w:szCs w:val="24"/>
        </w:rPr>
        <w:t xml:space="preserve">Recurrente </w:t>
      </w:r>
      <w:r w:rsidR="003460BE">
        <w:rPr>
          <w:rFonts w:ascii="Palatino Linotype" w:eastAsia="Palatino Linotype" w:hAnsi="Palatino Linotype" w:cs="Palatino Linotype"/>
          <w:sz w:val="24"/>
          <w:szCs w:val="24"/>
        </w:rPr>
        <w:t xml:space="preserve">fueron omisas en emitir manifestaciones o alegatos. </w:t>
      </w:r>
    </w:p>
    <w:p w14:paraId="09F82AFF" w14:textId="77777777" w:rsidR="00BC7006" w:rsidRDefault="009C617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fundados, y determinó modificar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ordenar la entrega de lo siguiente:</w:t>
      </w:r>
    </w:p>
    <w:p w14:paraId="1096273F" w14:textId="77777777" w:rsidR="003460BE" w:rsidRPr="003460BE" w:rsidRDefault="009C6171" w:rsidP="003460BE">
      <w:pPr>
        <w:spacing w:after="0" w:line="276" w:lineRule="auto"/>
        <w:ind w:left="851" w:right="706"/>
        <w:jc w:val="both"/>
        <w:rPr>
          <w:rFonts w:ascii="Palatino Linotype" w:hAnsi="Palatino Linotype" w:cs="Tahoma"/>
          <w:i/>
          <w:color w:val="000000"/>
          <w:lang w:val="x-none"/>
        </w:rPr>
      </w:pPr>
      <w:r w:rsidRPr="003460BE">
        <w:rPr>
          <w:rFonts w:ascii="Palatino Linotype" w:eastAsia="Palatino Linotype" w:hAnsi="Palatino Linotype" w:cs="Palatino Linotype"/>
          <w:b/>
          <w:i/>
        </w:rPr>
        <w:t>“</w:t>
      </w:r>
      <w:r w:rsidR="003460BE" w:rsidRPr="003460BE">
        <w:rPr>
          <w:rFonts w:ascii="Palatino Linotype" w:hAnsi="Palatino Linotype"/>
          <w:b/>
          <w:i/>
        </w:rPr>
        <w:t xml:space="preserve">SEGUNDO. </w:t>
      </w:r>
      <w:r w:rsidR="003460BE" w:rsidRPr="003460BE">
        <w:rPr>
          <w:rFonts w:ascii="Palatino Linotype" w:hAnsi="Palatino Linotype"/>
          <w:i/>
        </w:rPr>
        <w:t xml:space="preserve">Se </w:t>
      </w:r>
      <w:r w:rsidR="003460BE" w:rsidRPr="003460BE">
        <w:rPr>
          <w:rFonts w:ascii="Palatino Linotype" w:hAnsi="Palatino Linotype"/>
          <w:b/>
          <w:i/>
        </w:rPr>
        <w:t>ORDENA</w:t>
      </w:r>
      <w:r w:rsidR="003460BE" w:rsidRPr="003460BE">
        <w:rPr>
          <w:rFonts w:ascii="Palatino Linotype" w:hAnsi="Palatino Linotype"/>
          <w:i/>
        </w:rPr>
        <w:t xml:space="preserve"> al Ente Recurrido</w:t>
      </w:r>
      <w:r w:rsidR="003460BE" w:rsidRPr="003460BE">
        <w:rPr>
          <w:rFonts w:ascii="Palatino Linotype" w:hAnsi="Palatino Linotype"/>
          <w:b/>
          <w:i/>
        </w:rPr>
        <w:t xml:space="preserve">, </w:t>
      </w:r>
      <w:r w:rsidR="003460BE" w:rsidRPr="003460BE">
        <w:rPr>
          <w:rFonts w:ascii="Palatino Linotype" w:hAnsi="Palatino Linotype"/>
          <w:i/>
        </w:rPr>
        <w:t xml:space="preserve">a efecto de que previa búsqueda exhaustiva y razonable en los archivos de las unidades administrativas competentes, entregue a través del Sistema de Acceso a la Información Mexiquense (SAIMEX), del primero de enero de dos mil diecinueve al cinco de septiembre de dos mil veintitrés, </w:t>
      </w:r>
      <w:r w:rsidR="003460BE" w:rsidRPr="003460BE">
        <w:rPr>
          <w:rFonts w:ascii="Palatino Linotype" w:hAnsi="Palatino Linotype" w:cs="Tahoma"/>
          <w:i/>
          <w:color w:val="000000"/>
        </w:rPr>
        <w:t>lo siguiente</w:t>
      </w:r>
      <w:r w:rsidR="003460BE" w:rsidRPr="003460BE">
        <w:rPr>
          <w:rFonts w:ascii="Palatino Linotype" w:hAnsi="Palatino Linotype" w:cs="Tahoma"/>
          <w:i/>
          <w:color w:val="000000"/>
          <w:lang w:val="x-none"/>
        </w:rPr>
        <w:t>:</w:t>
      </w:r>
    </w:p>
    <w:p w14:paraId="6B6C4E9C" w14:textId="77777777" w:rsidR="003460BE" w:rsidRPr="003460BE" w:rsidRDefault="003460BE" w:rsidP="003460BE">
      <w:pPr>
        <w:spacing w:after="0" w:line="276" w:lineRule="auto"/>
        <w:ind w:left="851" w:right="706"/>
        <w:jc w:val="both"/>
        <w:rPr>
          <w:rFonts w:ascii="Palatino Linotype" w:hAnsi="Palatino Linotype"/>
          <w:i/>
        </w:rPr>
      </w:pPr>
    </w:p>
    <w:p w14:paraId="3510B5C0" w14:textId="77777777" w:rsidR="003460BE" w:rsidRPr="003460BE" w:rsidRDefault="003460BE" w:rsidP="003460BE">
      <w:pPr>
        <w:numPr>
          <w:ilvl w:val="0"/>
          <w:numId w:val="5"/>
        </w:numPr>
        <w:spacing w:after="0" w:line="276" w:lineRule="auto"/>
        <w:ind w:left="851" w:right="706" w:firstLine="0"/>
        <w:contextualSpacing/>
        <w:jc w:val="both"/>
        <w:rPr>
          <w:rFonts w:ascii="Palatino Linotype" w:eastAsia="Times New Roman" w:hAnsi="Palatino Linotype" w:cs="Tahoma"/>
          <w:bCs/>
          <w:i/>
          <w:iCs/>
          <w:color w:val="000000" w:themeColor="text1"/>
          <w:szCs w:val="24"/>
          <w:lang w:val="es-ES_tradnl" w:eastAsia="es-ES"/>
        </w:rPr>
      </w:pPr>
      <w:r w:rsidRPr="003460BE">
        <w:rPr>
          <w:rFonts w:ascii="Palatino Linotype" w:eastAsia="Times New Roman" w:hAnsi="Palatino Linotype" w:cs="Tahoma"/>
          <w:bCs/>
          <w:i/>
          <w:iCs/>
          <w:color w:val="000000" w:themeColor="text1"/>
          <w:szCs w:val="24"/>
          <w:lang w:val="es-ES_tradnl" w:eastAsia="es-ES"/>
        </w:rPr>
        <w:t xml:space="preserve">En versión íntegra las bitácoras de consumo de gasolina/diésel, de todas las unidades administrativas que integraban la Administración Pública Municipal, y </w:t>
      </w:r>
    </w:p>
    <w:p w14:paraId="5D1962FC" w14:textId="77777777" w:rsidR="003460BE" w:rsidRPr="003460BE" w:rsidRDefault="003460BE" w:rsidP="003460BE">
      <w:pPr>
        <w:spacing w:after="0" w:line="276" w:lineRule="auto"/>
        <w:ind w:left="851" w:right="706"/>
        <w:contextualSpacing/>
        <w:jc w:val="both"/>
        <w:rPr>
          <w:rFonts w:ascii="Palatino Linotype" w:eastAsia="Times New Roman" w:hAnsi="Palatino Linotype" w:cs="Tahoma"/>
          <w:bCs/>
          <w:i/>
          <w:iCs/>
          <w:color w:val="000000" w:themeColor="text1"/>
          <w:szCs w:val="24"/>
          <w:lang w:val="es-ES_tradnl" w:eastAsia="es-ES"/>
        </w:rPr>
      </w:pPr>
    </w:p>
    <w:p w14:paraId="31F74E64" w14:textId="77777777" w:rsidR="003460BE" w:rsidRPr="003460BE" w:rsidRDefault="003460BE" w:rsidP="003460BE">
      <w:pPr>
        <w:numPr>
          <w:ilvl w:val="0"/>
          <w:numId w:val="5"/>
        </w:numPr>
        <w:spacing w:after="0" w:line="276" w:lineRule="auto"/>
        <w:ind w:left="851" w:right="706" w:firstLine="0"/>
        <w:contextualSpacing/>
        <w:jc w:val="both"/>
        <w:rPr>
          <w:rFonts w:ascii="Palatino Linotype" w:eastAsia="Times New Roman" w:hAnsi="Palatino Linotype" w:cs="Tahoma"/>
          <w:bCs/>
          <w:i/>
          <w:iCs/>
          <w:color w:val="000000" w:themeColor="text1"/>
          <w:szCs w:val="24"/>
          <w:lang w:val="es-ES_tradnl" w:eastAsia="es-ES"/>
        </w:rPr>
      </w:pPr>
      <w:r w:rsidRPr="003460BE">
        <w:rPr>
          <w:rFonts w:ascii="Palatino Linotype" w:eastAsia="Times New Roman" w:hAnsi="Palatino Linotype" w:cs="Tahoma"/>
          <w:bCs/>
          <w:i/>
          <w:iCs/>
          <w:color w:val="000000" w:themeColor="text1"/>
          <w:szCs w:val="24"/>
          <w:lang w:val="es-ES_tradnl" w:eastAsia="es-ES"/>
        </w:rPr>
        <w:t xml:space="preserve">En su caso, en versión pública, los gafetes de identificación de los servidores públicos responsables (titulares de las unidades administrativas), localizados en las bitácoras que den cuenta del punto 1. </w:t>
      </w:r>
    </w:p>
    <w:p w14:paraId="77871AEE" w14:textId="77777777" w:rsidR="003460BE" w:rsidRPr="003460BE" w:rsidRDefault="003460BE" w:rsidP="003460BE">
      <w:pPr>
        <w:pBdr>
          <w:top w:val="nil"/>
          <w:left w:val="nil"/>
          <w:bottom w:val="nil"/>
          <w:right w:val="nil"/>
          <w:between w:val="nil"/>
        </w:pBdr>
        <w:spacing w:after="0" w:line="276" w:lineRule="auto"/>
        <w:ind w:left="851" w:right="706"/>
        <w:jc w:val="both"/>
        <w:rPr>
          <w:rFonts w:ascii="Palatino Linotype" w:hAnsi="Palatino Linotype"/>
          <w:i/>
          <w:lang w:val="es-ES_tradnl"/>
        </w:rPr>
      </w:pPr>
    </w:p>
    <w:p w14:paraId="15211D0A" w14:textId="77777777" w:rsidR="003460BE" w:rsidRPr="003460BE" w:rsidRDefault="003460BE" w:rsidP="003460BE">
      <w:pPr>
        <w:spacing w:after="0" w:line="276" w:lineRule="auto"/>
        <w:ind w:left="851" w:right="706"/>
        <w:jc w:val="both"/>
        <w:rPr>
          <w:rFonts w:ascii="Palatino Linotype" w:hAnsi="Palatino Linotype" w:cs="Tahoma"/>
          <w:bCs/>
          <w:i/>
          <w:iCs/>
          <w:color w:val="000000"/>
          <w:lang w:eastAsia="es-ES"/>
        </w:rPr>
      </w:pPr>
      <w:r w:rsidRPr="003460BE">
        <w:rPr>
          <w:rFonts w:ascii="Palatino Linotype" w:hAnsi="Palatino Linotype" w:cs="Tahoma"/>
          <w:bCs/>
          <w:i/>
          <w:iCs/>
          <w:color w:val="000000"/>
          <w:lang w:eastAsia="es-ES"/>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3263D6C9" w14:textId="77777777" w:rsidR="003460BE" w:rsidRPr="003460BE" w:rsidRDefault="003460BE" w:rsidP="003460BE">
      <w:pPr>
        <w:pBdr>
          <w:top w:val="nil"/>
          <w:left w:val="nil"/>
          <w:bottom w:val="nil"/>
          <w:right w:val="nil"/>
          <w:between w:val="nil"/>
        </w:pBdr>
        <w:spacing w:after="0" w:line="276" w:lineRule="auto"/>
        <w:ind w:left="851" w:right="706"/>
        <w:jc w:val="both"/>
        <w:rPr>
          <w:rFonts w:ascii="Palatino Linotype" w:hAnsi="Palatino Linotype"/>
          <w:i/>
        </w:rPr>
      </w:pPr>
    </w:p>
    <w:p w14:paraId="3B33A1CE" w14:textId="77777777" w:rsidR="003460BE" w:rsidRPr="003460BE" w:rsidRDefault="003460BE" w:rsidP="003460BE">
      <w:pPr>
        <w:pBdr>
          <w:top w:val="nil"/>
          <w:left w:val="nil"/>
          <w:bottom w:val="nil"/>
          <w:right w:val="nil"/>
          <w:between w:val="nil"/>
        </w:pBdr>
        <w:spacing w:after="0" w:line="276" w:lineRule="auto"/>
        <w:ind w:left="851" w:right="706"/>
        <w:jc w:val="both"/>
        <w:rPr>
          <w:rFonts w:ascii="Palatino Linotype" w:hAnsi="Palatino Linotype"/>
          <w:i/>
          <w:lang w:val="es-ES_tradnl"/>
        </w:rPr>
      </w:pPr>
      <w:r w:rsidRPr="003460BE">
        <w:rPr>
          <w:rFonts w:ascii="Palatino Linotype" w:hAnsi="Palatino Linotype"/>
          <w:i/>
          <w:lang w:val="es-ES_tradnl"/>
        </w:rPr>
        <w:t>Para el supuesto, de que alguna de las áreas no cuente con vehículos asignados, deberá hacerlo del conocimiento del ahora Recurrente, de manera clara y precisa.</w:t>
      </w:r>
    </w:p>
    <w:p w14:paraId="46D32BEF" w14:textId="77777777" w:rsidR="003460BE" w:rsidRPr="003460BE" w:rsidRDefault="003460BE" w:rsidP="003460BE">
      <w:pPr>
        <w:pBdr>
          <w:top w:val="nil"/>
          <w:left w:val="nil"/>
          <w:bottom w:val="nil"/>
          <w:right w:val="nil"/>
          <w:between w:val="nil"/>
        </w:pBdr>
        <w:spacing w:after="0" w:line="276" w:lineRule="auto"/>
        <w:ind w:left="851" w:right="706"/>
        <w:jc w:val="both"/>
        <w:rPr>
          <w:rFonts w:ascii="Palatino Linotype" w:hAnsi="Palatino Linotype"/>
          <w:i/>
          <w:lang w:val="es-ES_tradnl"/>
        </w:rPr>
      </w:pPr>
    </w:p>
    <w:p w14:paraId="2E495055" w14:textId="77777777" w:rsidR="003460BE" w:rsidRPr="003460BE" w:rsidRDefault="003460BE" w:rsidP="003460BE">
      <w:pPr>
        <w:spacing w:after="0" w:line="276" w:lineRule="auto"/>
        <w:ind w:left="851" w:right="706"/>
        <w:contextualSpacing/>
        <w:jc w:val="both"/>
        <w:rPr>
          <w:rFonts w:ascii="Palatino Linotype" w:hAnsi="Palatino Linotype" w:cs="Tahoma"/>
          <w:i/>
        </w:rPr>
      </w:pPr>
      <w:r w:rsidRPr="003460BE">
        <w:rPr>
          <w:rFonts w:ascii="Palatino Linotype" w:hAnsi="Palatino Linotype" w:cs="Tahoma"/>
          <w:i/>
        </w:rPr>
        <w:t>Para el supuesto, que no cuente con parte de la información de la administración 2019-2021, por haber causado baja documental, deberá proporcionar el Acuerdo emitido por el Comité de Transparencia, donde confirme la inexistencia de la información, de conformidad con lo previsto en los artículos 19, párrafo tercero, 169 y 170 de la Ley de Transparencia y Acceso a la Información Pública del Estado de México y Municipios.</w:t>
      </w:r>
    </w:p>
    <w:p w14:paraId="4D9BA4EB" w14:textId="77777777" w:rsidR="00BC7006" w:rsidRDefault="009C6171" w:rsidP="003460BE">
      <w:pPr>
        <w:shd w:val="clear" w:color="auto" w:fill="FFFFFF"/>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712B59E" w14:textId="77777777" w:rsidR="00BC7006" w:rsidRDefault="009C6171">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14:paraId="53CE5DF7" w14:textId="77777777" w:rsidR="000F77D4" w:rsidRDefault="009C6171"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bookmarkStart w:id="3" w:name="_heading=h.1fob9te" w:colFirst="0" w:colLast="0"/>
      <w:bookmarkEnd w:id="3"/>
      <w:r>
        <w:rPr>
          <w:rFonts w:ascii="Palatino Linotype" w:eastAsia="Palatino Linotype" w:hAnsi="Palatino Linotype" w:cs="Palatino Linotype"/>
          <w:sz w:val="24"/>
          <w:szCs w:val="24"/>
        </w:rPr>
        <w:t xml:space="preserve">Derivado de lo anterior, </w:t>
      </w:r>
      <w:r w:rsidR="000F77D4">
        <w:rPr>
          <w:rFonts w:ascii="Palatino Linotype" w:eastAsia="Palatino Linotype" w:hAnsi="Palatino Linotype" w:cs="Palatino Linotype"/>
          <w:sz w:val="24"/>
          <w:szCs w:val="24"/>
        </w:rPr>
        <w:t>si bien coincido en que los documentos que se ordenan atenderían los puntos solicitados por la parte</w:t>
      </w:r>
      <w:r w:rsidR="000F77D4">
        <w:rPr>
          <w:rFonts w:ascii="Palatino Linotype" w:eastAsia="Palatino Linotype" w:hAnsi="Palatino Linotype" w:cs="Palatino Linotype"/>
          <w:color w:val="000000"/>
          <w:sz w:val="23"/>
          <w:szCs w:val="23"/>
        </w:rPr>
        <w:t xml:space="preserve"> </w:t>
      </w:r>
      <w:r w:rsidR="000F77D4">
        <w:rPr>
          <w:rFonts w:ascii="Palatino Linotype" w:eastAsia="Palatino Linotype" w:hAnsi="Palatino Linotype" w:cs="Palatino Linotype"/>
          <w:b/>
          <w:color w:val="000000"/>
          <w:sz w:val="23"/>
          <w:szCs w:val="23"/>
        </w:rPr>
        <w:t xml:space="preserve">Recurrente, </w:t>
      </w:r>
      <w:r w:rsidR="000F77D4">
        <w:rPr>
          <w:rFonts w:ascii="Palatino Linotype" w:eastAsia="Palatino Linotype" w:hAnsi="Palatino Linotype" w:cs="Palatino Linotype"/>
          <w:color w:val="000000"/>
        </w:rPr>
        <w:t xml:space="preserve"> </w:t>
      </w:r>
      <w:r w:rsidR="000F77D4">
        <w:rPr>
          <w:rFonts w:ascii="Palatino Linotype" w:eastAsia="Palatino Linotype" w:hAnsi="Palatino Linotype" w:cs="Palatino Linotype"/>
          <w:color w:val="000000"/>
          <w:sz w:val="23"/>
          <w:szCs w:val="23"/>
        </w:rPr>
        <w:t xml:space="preserve">también se considera que el o los documentos pueden contener datos que deben clasificarse como información reservada, concretamente respecto del </w:t>
      </w:r>
      <w:r w:rsidR="000F77D4">
        <w:rPr>
          <w:rFonts w:ascii="Palatino Linotype" w:eastAsia="Palatino Linotype" w:hAnsi="Palatino Linotype" w:cs="Palatino Linotype"/>
          <w:b/>
          <w:color w:val="000000"/>
          <w:sz w:val="23"/>
          <w:szCs w:val="23"/>
        </w:rPr>
        <w:t>número de placa de los vehículos oficiales</w:t>
      </w:r>
      <w:r w:rsidR="000F77D4">
        <w:rPr>
          <w:rFonts w:ascii="Palatino Linotype" w:eastAsia="Palatino Linotype" w:hAnsi="Palatino Linotype" w:cs="Palatino Linotype"/>
          <w:color w:val="000000"/>
          <w:sz w:val="23"/>
          <w:szCs w:val="23"/>
        </w:rPr>
        <w:t xml:space="preserve"> del Sujeto Obligado</w:t>
      </w:r>
      <w:r w:rsidR="000F77D4">
        <w:rPr>
          <w:rFonts w:ascii="Palatino Linotype" w:eastAsia="Palatino Linotype" w:hAnsi="Palatino Linotype" w:cs="Palatino Linotype"/>
          <w:sz w:val="23"/>
          <w:szCs w:val="23"/>
        </w:rPr>
        <w:t>, si se vincula con el servidor público que lo tiene bajo su resguardo y uso.</w:t>
      </w:r>
    </w:p>
    <w:p w14:paraId="2EF7B854"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7067420F" w14:textId="77777777" w:rsidR="000F77D4" w:rsidRDefault="000F77D4" w:rsidP="000F77D4">
      <w:pP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En ese sentido, se considera que toda vez, que los datos de identificación de los vehículos, concretamente respecto del número de placa </w:t>
      </w:r>
      <w:r>
        <w:rPr>
          <w:rFonts w:ascii="Palatino Linotype" w:eastAsia="Palatino Linotype" w:hAnsi="Palatino Linotype" w:cs="Palatino Linotype"/>
          <w:sz w:val="23"/>
          <w:szCs w:val="23"/>
        </w:rPr>
        <w:t>vinculado con el nombre del servidor público que lo tiene bajo su uso</w:t>
      </w:r>
      <w:r>
        <w:rPr>
          <w:rFonts w:ascii="Palatino Linotype" w:eastAsia="Palatino Linotype" w:hAnsi="Palatino Linotype" w:cs="Palatino Linotype"/>
          <w:color w:val="000000"/>
          <w:sz w:val="23"/>
          <w:szCs w:val="23"/>
        </w:rPr>
        <w:t xml:space="preserve">, se trata de información que hace plenamente identificable a un vehículo, siendo altamente posible identificar también a sus tripulantes. </w:t>
      </w:r>
    </w:p>
    <w:p w14:paraId="445E2798" w14:textId="77777777" w:rsidR="000F77D4" w:rsidRDefault="000F77D4" w:rsidP="000F77D4">
      <w:pPr>
        <w:spacing w:after="0" w:line="360" w:lineRule="auto"/>
        <w:ind w:right="139"/>
        <w:jc w:val="both"/>
        <w:rPr>
          <w:rFonts w:ascii="Times New Roman" w:eastAsia="Times New Roman" w:hAnsi="Times New Roman" w:cs="Times New Roman"/>
          <w:sz w:val="23"/>
          <w:szCs w:val="23"/>
        </w:rPr>
      </w:pPr>
    </w:p>
    <w:p w14:paraId="6B21CCA8"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Lo anterior, conforme a lo establecido en la Ley de Transparencia y Acceso a la Información Pública del Estado de México y Municipios, ya que prevé que la clasificación de la información es el proceso mediante el cual el </w:t>
      </w:r>
      <w:r>
        <w:rPr>
          <w:rFonts w:ascii="Palatino Linotype" w:eastAsia="Palatino Linotype" w:hAnsi="Palatino Linotype" w:cs="Palatino Linotype"/>
          <w:color w:val="000000"/>
          <w:sz w:val="24"/>
          <w:szCs w:val="24"/>
        </w:rPr>
        <w:t xml:space="preserve">Sujeto Obligado </w:t>
      </w:r>
      <w:r>
        <w:rPr>
          <w:rFonts w:ascii="Palatino Linotype" w:eastAsia="Palatino Linotype" w:hAnsi="Palatino Linotype" w:cs="Palatino Linotype"/>
          <w:color w:val="000000"/>
          <w:sz w:val="23"/>
          <w:szCs w:val="23"/>
        </w:rPr>
        <w:t>determina que la información en su poder, actualiza alguno de los supuestos de reserva o confidencialidad.</w:t>
      </w:r>
    </w:p>
    <w:p w14:paraId="0AB52C17"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636926ED"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54073141"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32F97EAE"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287D9A8D"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759ED5AE"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En tanto que se clasificará como información confidencial, entre otras y atendiendo al caso que nos ocupa, la información privada, datos personales concernientes a una persona física o jurídico colectiva identificada o identificable.</w:t>
      </w:r>
    </w:p>
    <w:p w14:paraId="697878D5"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4DC070B3"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De acuerdo con lo anterior y conforme a las actuaciones que integran el expediente electrónico, la información  que se ordena entregar</w:t>
      </w:r>
      <w:r w:rsidR="00A845E6">
        <w:rPr>
          <w:rFonts w:ascii="Palatino Linotype" w:eastAsia="Palatino Linotype" w:hAnsi="Palatino Linotype" w:cs="Palatino Linotype"/>
          <w:color w:val="000000"/>
          <w:sz w:val="23"/>
          <w:szCs w:val="23"/>
        </w:rPr>
        <w:t xml:space="preserve"> de manera íntegra, es decir, las bitácoras de gasolina</w:t>
      </w:r>
      <w:r>
        <w:rPr>
          <w:rFonts w:ascii="Palatino Linotype" w:eastAsia="Palatino Linotype" w:hAnsi="Palatino Linotype" w:cs="Palatino Linotype"/>
          <w:color w:val="000000"/>
          <w:sz w:val="23"/>
          <w:szCs w:val="23"/>
        </w:rPr>
        <w:t xml:space="preserve">, contiene datos de identificación de vehículos que son utilizados por servidores públicos adscritos al Sujeto Obligado para el desarrollo de sus funciones; información que a criterio de la mayoría de los integrantes del Pleno, se trata de datos que deben dejarse visibles, por lo que, ordenó la información solicitada dejando a la vista el número de placas de los vehículos oficiales, criterio que contradice el que ahora se sostiene. </w:t>
      </w:r>
    </w:p>
    <w:p w14:paraId="6AB05D63"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0AFBA16B"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Es de precisar que consideramos que el número de placas es reservado si se vincula con el nombre del servidor público que lo tie</w:t>
      </w:r>
      <w:r>
        <w:rPr>
          <w:rFonts w:ascii="Palatino Linotype" w:eastAsia="Palatino Linotype" w:hAnsi="Palatino Linotype" w:cs="Palatino Linotype"/>
          <w:sz w:val="23"/>
          <w:szCs w:val="23"/>
        </w:rPr>
        <w:t>ne bajo su uso</w:t>
      </w:r>
      <w:r>
        <w:rPr>
          <w:rFonts w:ascii="Palatino Linotype" w:eastAsia="Palatino Linotype" w:hAnsi="Palatino Linotype" w:cs="Palatino Linotype"/>
          <w:color w:val="000000"/>
          <w:sz w:val="23"/>
          <w:szCs w:val="23"/>
        </w:rPr>
        <w:t>, toda vez que los vehículos, con independencia de que sean particulares o pertenezcan al parque vehicular del Sujeto Obligado y son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14:paraId="726C4269"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3E3CAD5B"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b/>
          <w:color w:val="000000"/>
          <w:sz w:val="23"/>
          <w:szCs w:val="23"/>
          <w:u w:val="single"/>
        </w:rPr>
      </w:pPr>
      <w:r>
        <w:rPr>
          <w:rFonts w:ascii="Palatino Linotype" w:eastAsia="Palatino Linotype" w:hAnsi="Palatino Linotype" w:cs="Palatino Linotype"/>
          <w:color w:val="000000"/>
          <w:sz w:val="23"/>
          <w:szCs w:val="23"/>
        </w:rPr>
        <w:t xml:space="preserve">Por lo que, proporcionar la información de identificación de un vehículo como el número de placas </w:t>
      </w:r>
      <w:r>
        <w:rPr>
          <w:rFonts w:ascii="Palatino Linotype" w:eastAsia="Palatino Linotype" w:hAnsi="Palatino Linotype" w:cs="Palatino Linotype"/>
          <w:sz w:val="23"/>
          <w:szCs w:val="23"/>
        </w:rPr>
        <w:t>si se vincula con el nombre del servidor público que lo tiene bajo su uso</w:t>
      </w:r>
      <w:r>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b/>
          <w:color w:val="000000"/>
          <w:sz w:val="23"/>
          <w:szCs w:val="23"/>
          <w:u w:val="single"/>
        </w:rPr>
        <w:t>aun perteneciendo al servicio público, atenta contra la seguridad de los servidores púb</w:t>
      </w:r>
      <w:r w:rsidR="00A845E6">
        <w:rPr>
          <w:rFonts w:ascii="Palatino Linotype" w:eastAsia="Palatino Linotype" w:hAnsi="Palatino Linotype" w:cs="Palatino Linotype"/>
          <w:b/>
          <w:color w:val="000000"/>
          <w:sz w:val="23"/>
          <w:szCs w:val="23"/>
          <w:u w:val="single"/>
        </w:rPr>
        <w:t>licos que en ellos se trasladan</w:t>
      </w:r>
      <w:r>
        <w:rPr>
          <w:rFonts w:ascii="Palatino Linotype" w:eastAsia="Palatino Linotype" w:hAnsi="Palatino Linotype" w:cs="Palatino Linotype"/>
          <w:b/>
          <w:color w:val="000000"/>
          <w:sz w:val="23"/>
          <w:szCs w:val="23"/>
          <w:u w:val="single"/>
        </w:rPr>
        <w:t>; incluso, se pone en riesgo a su familia, al vulnerar su esfera privada.</w:t>
      </w:r>
    </w:p>
    <w:p w14:paraId="38D35599"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1E87AABF"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55AE24E5"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14CA5849"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color w:val="000000"/>
          <w:sz w:val="23"/>
          <w:szCs w:val="23"/>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Pr>
          <w:rFonts w:ascii="Palatino Linotype" w:eastAsia="Palatino Linotype" w:hAnsi="Palatino Linotype" w:cs="Palatino Linotype"/>
          <w:color w:val="000000"/>
          <w:sz w:val="23"/>
          <w:szCs w:val="23"/>
        </w:rPr>
        <w:t>la cual señala:</w:t>
      </w:r>
    </w:p>
    <w:p w14:paraId="31A99BFF"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bookmarkStart w:id="4" w:name="_heading=h.3znysh7" w:colFirst="0" w:colLast="0"/>
      <w:bookmarkEnd w:id="4"/>
    </w:p>
    <w:p w14:paraId="52D2574F" w14:textId="77777777" w:rsidR="000F77D4" w:rsidRDefault="000F77D4" w:rsidP="000F77D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color w:val="000000"/>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color w:val="000000"/>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6A6C4B16" w14:textId="77777777" w:rsidR="000F77D4" w:rsidRDefault="000F77D4" w:rsidP="000F77D4">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color w:val="000000"/>
          <w:sz w:val="23"/>
          <w:szCs w:val="23"/>
        </w:rPr>
      </w:pPr>
    </w:p>
    <w:p w14:paraId="57897F94"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Del criterio en cita, se advierte que no debe proporcionarse el número de placa de los vehículos oficiales que utilizan los servidores públicos </w:t>
      </w:r>
      <w:r>
        <w:rPr>
          <w:rFonts w:ascii="Palatino Linotype" w:eastAsia="Palatino Linotype" w:hAnsi="Palatino Linotype" w:cs="Palatino Linotype"/>
          <w:sz w:val="23"/>
          <w:szCs w:val="23"/>
        </w:rPr>
        <w:t>si se vincula con el nombre del servidor público que lo tiene bajo su uso</w:t>
      </w:r>
      <w:r>
        <w:rPr>
          <w:rFonts w:ascii="Palatino Linotype" w:eastAsia="Palatino Linotype" w:hAnsi="Palatino Linotype" w:cs="Palatino Linotype"/>
          <w:color w:val="000000"/>
          <w:sz w:val="23"/>
          <w:szCs w:val="23"/>
        </w:rPr>
        <w:t xml:space="preserve">, por hacerlos identificables y trascender a su vida privada, garantizando con ello su protección. </w:t>
      </w:r>
    </w:p>
    <w:p w14:paraId="50F042E1"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2C42A415"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Es por las razones expuestas se emite el presente Voto Particular, pues </w:t>
      </w:r>
      <w:r w:rsidR="00A845E6">
        <w:rPr>
          <w:rFonts w:ascii="Palatino Linotype" w:eastAsia="Palatino Linotype" w:hAnsi="Palatino Linotype" w:cs="Palatino Linotype"/>
          <w:sz w:val="23"/>
          <w:szCs w:val="23"/>
        </w:rPr>
        <w:t xml:space="preserve">considero </w:t>
      </w:r>
      <w:r>
        <w:rPr>
          <w:rFonts w:ascii="Palatino Linotype" w:eastAsia="Palatino Linotype" w:hAnsi="Palatino Linotype" w:cs="Palatino Linotype"/>
          <w:sz w:val="23"/>
          <w:szCs w:val="23"/>
        </w:rPr>
        <w:t xml:space="preserve">que </w:t>
      </w:r>
      <w:r w:rsidR="00A845E6">
        <w:rPr>
          <w:rFonts w:ascii="Palatino Linotype" w:eastAsia="Palatino Linotype" w:hAnsi="Palatino Linotype" w:cs="Palatino Linotype"/>
          <w:sz w:val="23"/>
          <w:szCs w:val="23"/>
        </w:rPr>
        <w:t>es</w:t>
      </w:r>
      <w:r>
        <w:rPr>
          <w:rFonts w:ascii="Palatino Linotype" w:eastAsia="Palatino Linotype" w:hAnsi="Palatino Linotype" w:cs="Palatino Linotype"/>
          <w:sz w:val="23"/>
          <w:szCs w:val="23"/>
        </w:rPr>
        <w:t xml:space="preserve"> procedente</w:t>
      </w:r>
      <w:r>
        <w:rPr>
          <w:rFonts w:ascii="Palatino Linotype" w:eastAsia="Palatino Linotype" w:hAnsi="Palatino Linotype" w:cs="Palatino Linotype"/>
          <w:color w:val="000000"/>
          <w:sz w:val="23"/>
          <w:szCs w:val="23"/>
        </w:rPr>
        <w:t xml:space="preserve"> la reserva del número de placa de los vehículos </w:t>
      </w:r>
      <w:r w:rsidR="00A845E6">
        <w:rPr>
          <w:rFonts w:ascii="Palatino Linotype" w:eastAsia="Palatino Linotype" w:hAnsi="Palatino Linotype" w:cs="Palatino Linotype"/>
          <w:sz w:val="23"/>
          <w:szCs w:val="23"/>
        </w:rPr>
        <w:t xml:space="preserve">ya que en este caso si se vincula </w:t>
      </w:r>
      <w:r>
        <w:rPr>
          <w:rFonts w:ascii="Palatino Linotype" w:eastAsia="Palatino Linotype" w:hAnsi="Palatino Linotype" w:cs="Palatino Linotype"/>
          <w:sz w:val="23"/>
          <w:szCs w:val="23"/>
        </w:rPr>
        <w:t xml:space="preserve">con el nombre del servidor público que lo tiene bajo su </w:t>
      </w:r>
      <w:r w:rsidR="00A845E6">
        <w:rPr>
          <w:rFonts w:ascii="Palatino Linotype" w:eastAsia="Palatino Linotype" w:hAnsi="Palatino Linotype" w:cs="Palatino Linotype"/>
          <w:sz w:val="23"/>
          <w:szCs w:val="23"/>
        </w:rPr>
        <w:t>resguardo</w:t>
      </w:r>
      <w:r>
        <w:rPr>
          <w:rFonts w:ascii="Palatino Linotype" w:eastAsia="Palatino Linotype" w:hAnsi="Palatino Linotype" w:cs="Palatino Linotype"/>
          <w:color w:val="000000"/>
          <w:sz w:val="23"/>
          <w:szCs w:val="23"/>
        </w:rPr>
        <w:t xml:space="preserve">, en los documentos que se determinaron ordenar al </w:t>
      </w:r>
      <w:r>
        <w:rPr>
          <w:rFonts w:ascii="Palatino Linotype" w:eastAsia="Palatino Linotype" w:hAnsi="Palatino Linotype" w:cs="Palatino Linotype"/>
          <w:b/>
          <w:color w:val="000000"/>
          <w:sz w:val="23"/>
          <w:szCs w:val="23"/>
        </w:rPr>
        <w:t>Sujeto Obligado</w:t>
      </w:r>
      <w:r>
        <w:rPr>
          <w:rFonts w:ascii="Palatino Linotype" w:eastAsia="Palatino Linotype" w:hAnsi="Palatino Linotype" w:cs="Palatino Linotype"/>
          <w:color w:val="000000"/>
          <w:sz w:val="23"/>
          <w:szCs w:val="23"/>
        </w:rPr>
        <w:t>,</w:t>
      </w:r>
      <w:r>
        <w:rPr>
          <w:rFonts w:ascii="Palatino Linotype" w:eastAsia="Palatino Linotype" w:hAnsi="Palatino Linotype" w:cs="Palatino Linotype"/>
          <w:b/>
          <w:color w:val="000000"/>
          <w:sz w:val="23"/>
          <w:szCs w:val="23"/>
        </w:rPr>
        <w:t xml:space="preserve"> </w:t>
      </w:r>
      <w:r>
        <w:rPr>
          <w:rFonts w:ascii="Palatino Linotype" w:eastAsia="Palatino Linotype" w:hAnsi="Palatino Linotype" w:cs="Palatino Linotype"/>
          <w:color w:val="000000"/>
          <w:sz w:val="23"/>
          <w:szCs w:val="23"/>
        </w:rPr>
        <w:t xml:space="preserve">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w:t>
      </w:r>
      <w:r w:rsidR="00A845E6">
        <w:rPr>
          <w:rFonts w:ascii="Palatino Linotype" w:eastAsia="Palatino Linotype" w:hAnsi="Palatino Linotype" w:cs="Palatino Linotype"/>
          <w:color w:val="000000"/>
          <w:sz w:val="23"/>
          <w:szCs w:val="23"/>
        </w:rPr>
        <w:t>lo que</w:t>
      </w:r>
      <w:r>
        <w:rPr>
          <w:rFonts w:ascii="Palatino Linotype" w:eastAsia="Palatino Linotype" w:hAnsi="Palatino Linotype" w:cs="Palatino Linotype"/>
          <w:color w:val="000000"/>
          <w:sz w:val="23"/>
          <w:szCs w:val="23"/>
        </w:rPr>
        <w:t xml:space="preserve"> resulta proporcional clasificar esta información.</w:t>
      </w:r>
    </w:p>
    <w:p w14:paraId="139D7427"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p>
    <w:p w14:paraId="1A7DAA54" w14:textId="77777777" w:rsidR="000F77D4" w:rsidRDefault="000F77D4" w:rsidP="000F77D4">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Es </w:t>
      </w:r>
      <w:r w:rsidR="00A845E6">
        <w:rPr>
          <w:rFonts w:ascii="Palatino Linotype" w:eastAsia="Palatino Linotype" w:hAnsi="Palatino Linotype" w:cs="Palatino Linotype"/>
          <w:color w:val="000000"/>
          <w:sz w:val="23"/>
          <w:szCs w:val="23"/>
        </w:rPr>
        <w:t>así que, por</w:t>
      </w:r>
      <w:r>
        <w:rPr>
          <w:rFonts w:ascii="Palatino Linotype" w:eastAsia="Palatino Linotype" w:hAnsi="Palatino Linotype" w:cs="Palatino Linotype"/>
          <w:color w:val="000000"/>
          <w:sz w:val="23"/>
          <w:szCs w:val="23"/>
        </w:rPr>
        <w:t xml:space="preserve"> todo lo </w:t>
      </w:r>
      <w:r w:rsidR="00A845E6">
        <w:rPr>
          <w:rFonts w:ascii="Palatino Linotype" w:eastAsia="Palatino Linotype" w:hAnsi="Palatino Linotype" w:cs="Palatino Linotype"/>
          <w:color w:val="000000"/>
          <w:sz w:val="23"/>
          <w:szCs w:val="23"/>
        </w:rPr>
        <w:t>vertido en líneas anteriores</w:t>
      </w:r>
      <w:r>
        <w:rPr>
          <w:rFonts w:ascii="Palatino Linotype" w:eastAsia="Palatino Linotype" w:hAnsi="Palatino Linotype" w:cs="Palatino Linotype"/>
          <w:color w:val="000000"/>
          <w:sz w:val="23"/>
          <w:szCs w:val="23"/>
        </w:rPr>
        <w:t xml:space="preserve"> la suscrita</w:t>
      </w:r>
      <w:r w:rsidR="00A845E6">
        <w:rPr>
          <w:rFonts w:ascii="Palatino Linotype" w:eastAsia="Palatino Linotype" w:hAnsi="Palatino Linotype" w:cs="Palatino Linotype"/>
          <w:color w:val="000000"/>
          <w:sz w:val="23"/>
          <w:szCs w:val="23"/>
        </w:rPr>
        <w:t xml:space="preserve"> no comparte</w:t>
      </w:r>
      <w:r>
        <w:rPr>
          <w:rFonts w:ascii="Palatino Linotype" w:eastAsia="Palatino Linotype" w:hAnsi="Palatino Linotype" w:cs="Palatino Linotype"/>
          <w:color w:val="000000"/>
          <w:sz w:val="23"/>
          <w:szCs w:val="23"/>
        </w:rPr>
        <w:t xml:space="preserve"> el tot</w:t>
      </w:r>
      <w:r w:rsidR="00A845E6">
        <w:rPr>
          <w:rFonts w:ascii="Palatino Linotype" w:eastAsia="Palatino Linotype" w:hAnsi="Palatino Linotype" w:cs="Palatino Linotype"/>
          <w:color w:val="000000"/>
          <w:sz w:val="23"/>
          <w:szCs w:val="23"/>
        </w:rPr>
        <w:t>al del estudio de la resolución</w:t>
      </w:r>
      <w:r>
        <w:rPr>
          <w:rFonts w:ascii="Palatino Linotype" w:eastAsia="Palatino Linotype" w:hAnsi="Palatino Linotype" w:cs="Palatino Linotype"/>
          <w:color w:val="000000"/>
          <w:sz w:val="23"/>
          <w:szCs w:val="23"/>
        </w:rPr>
        <w:t xml:space="preserve"> y formulan el presente voto particular.</w:t>
      </w:r>
    </w:p>
    <w:p w14:paraId="61FC07CB"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p w14:paraId="1CC3E831"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p w14:paraId="22AF536E"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p w14:paraId="3B205C35"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p w14:paraId="637E2E66"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p w14:paraId="7AC6F464" w14:textId="77777777" w:rsidR="00BC7006" w:rsidRDefault="00BC7006">
      <w:pPr>
        <w:tabs>
          <w:tab w:val="left" w:pos="4962"/>
        </w:tabs>
        <w:spacing w:before="240" w:after="240" w:line="360" w:lineRule="auto"/>
        <w:jc w:val="both"/>
        <w:rPr>
          <w:rFonts w:ascii="Palatino Linotype" w:eastAsia="Palatino Linotype" w:hAnsi="Palatino Linotype" w:cs="Palatino Linotype"/>
          <w:b/>
          <w:sz w:val="24"/>
          <w:szCs w:val="24"/>
        </w:rPr>
      </w:pPr>
    </w:p>
    <w:sectPr w:rsidR="00BC7006">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20D7" w14:textId="77777777" w:rsidR="000D5251" w:rsidRDefault="000D5251">
      <w:pPr>
        <w:spacing w:after="0" w:line="240" w:lineRule="auto"/>
      </w:pPr>
      <w:r>
        <w:separator/>
      </w:r>
    </w:p>
  </w:endnote>
  <w:endnote w:type="continuationSeparator" w:id="0">
    <w:p w14:paraId="1DEEC5F8" w14:textId="77777777" w:rsidR="000D5251" w:rsidRDefault="000D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6F9C" w14:textId="77777777" w:rsidR="000D5251" w:rsidRDefault="000D5251">
      <w:pPr>
        <w:spacing w:after="0" w:line="240" w:lineRule="auto"/>
      </w:pPr>
      <w:r>
        <w:separator/>
      </w:r>
    </w:p>
  </w:footnote>
  <w:footnote w:type="continuationSeparator" w:id="0">
    <w:p w14:paraId="3D6B64B4" w14:textId="77777777" w:rsidR="000D5251" w:rsidRDefault="000D5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6DC8" w14:textId="77777777" w:rsidR="00BC7006" w:rsidRDefault="009C61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58490F43" wp14:editId="05DB73A8">
          <wp:simplePos x="0" y="0"/>
          <wp:positionH relativeFrom="column">
            <wp:posOffset>-1171572</wp:posOffset>
          </wp:positionH>
          <wp:positionV relativeFrom="paragraph">
            <wp:posOffset>-486407</wp:posOffset>
          </wp:positionV>
          <wp:extent cx="7510628" cy="9883775"/>
          <wp:effectExtent l="0" t="0" r="0" b="0"/>
          <wp:wrapNone/>
          <wp:docPr id="2373134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1516F18" w14:textId="77777777" w:rsidR="00BC7006" w:rsidRDefault="009C61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C1FB299" w14:textId="77777777" w:rsidR="00BC7006" w:rsidRDefault="009C617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w:t>
    </w:r>
    <w:r w:rsidR="00316E2B">
      <w:rPr>
        <w:rFonts w:ascii="Palatino Linotype" w:eastAsia="Palatino Linotype" w:hAnsi="Palatino Linotype" w:cs="Palatino Linotype"/>
        <w:b/>
        <w:color w:val="000000"/>
        <w:sz w:val="20"/>
        <w:szCs w:val="20"/>
      </w:rPr>
      <w:t>7421</w:t>
    </w:r>
    <w:r>
      <w:rPr>
        <w:rFonts w:ascii="Palatino Linotype" w:eastAsia="Palatino Linotype" w:hAnsi="Palatino Linotype" w:cs="Palatino Linotype"/>
        <w:b/>
        <w:color w:val="000000"/>
        <w:sz w:val="20"/>
        <w:szCs w:val="20"/>
      </w:rPr>
      <w:t>/INFOEM/IP/RR/2023</w:t>
    </w:r>
  </w:p>
  <w:p w14:paraId="17139158" w14:textId="77777777" w:rsidR="00BC7006" w:rsidRDefault="00BC700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4BB96E3" w14:textId="77777777" w:rsidR="00BC7006" w:rsidRDefault="00BC70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8B6"/>
    <w:multiLevelType w:val="multilevel"/>
    <w:tmpl w:val="8C285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145B45"/>
    <w:multiLevelType w:val="multilevel"/>
    <w:tmpl w:val="5A82A1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8C2B34"/>
    <w:multiLevelType w:val="hybridMultilevel"/>
    <w:tmpl w:val="0DEA4656"/>
    <w:lvl w:ilvl="0" w:tplc="01F0B9EC">
      <w:start w:val="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5FE065F1"/>
    <w:multiLevelType w:val="hybridMultilevel"/>
    <w:tmpl w:val="F71EF4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E72897"/>
    <w:multiLevelType w:val="hybridMultilevel"/>
    <w:tmpl w:val="1DD49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8731167">
    <w:abstractNumId w:val="0"/>
  </w:num>
  <w:num w:numId="2" w16cid:durableId="2075739611">
    <w:abstractNumId w:val="1"/>
  </w:num>
  <w:num w:numId="3" w16cid:durableId="1772241837">
    <w:abstractNumId w:val="3"/>
  </w:num>
  <w:num w:numId="4" w16cid:durableId="1600522788">
    <w:abstractNumId w:val="2"/>
  </w:num>
  <w:num w:numId="5" w16cid:durableId="2063626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06"/>
    <w:rsid w:val="000D5251"/>
    <w:rsid w:val="000F77D4"/>
    <w:rsid w:val="002C76B6"/>
    <w:rsid w:val="00316E2B"/>
    <w:rsid w:val="003460BE"/>
    <w:rsid w:val="009C6171"/>
    <w:rsid w:val="00A845E6"/>
    <w:rsid w:val="00AA756B"/>
    <w:rsid w:val="00BC7006"/>
    <w:rsid w:val="00DB3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2472"/>
  <w15:docId w15:val="{3BD4050E-B4A7-4274-AADE-748CB9AC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icEkDj4KjIvLl1EB2rWSONNUA==">CgMxLjAyCGguZ2pkZ3hzMgloLjMwajB6bGwyCWguMmV0OTJwMDIJaC4zem55c2g3MgloLjFmb2I5dGUyDmgucW1yMWluczNlMGRoOAByITFOb01kSjZPd1NMV3ByNG1xWkQ5WU5jTU5LcWwyNVN2VA==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dcterms:created xsi:type="dcterms:W3CDTF">2024-03-05T15:51:00Z</dcterms:created>
  <dcterms:modified xsi:type="dcterms:W3CDTF">2024-03-05T15:51:00Z</dcterms:modified>
</cp:coreProperties>
</file>