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ind w:right="139"/>
        <w:jc w:val="both"/>
        <w:rPr>
          <w:rFonts w:ascii="Palatino Linotype" w:cs="Palatino Linotype" w:eastAsia="Palatino Linotype" w:hAnsi="Palatino Linotype"/>
          <w:b w:val="1"/>
          <w:sz w:val="24"/>
          <w:szCs w:val="24"/>
        </w:rPr>
      </w:pPr>
      <w:bookmarkStart w:colFirst="0" w:colLast="0" w:name="_heading=h.gjdgxs" w:id="0"/>
      <w:bookmarkEnd w:id="0"/>
      <w:r w:rsidDel="00000000" w:rsidR="00000000" w:rsidRPr="00000000">
        <w:rPr>
          <w:rFonts w:ascii="Palatino Linotype" w:cs="Palatino Linotype" w:eastAsia="Palatino Linotype" w:hAnsi="Palatino Linotype"/>
          <w:b w:val="1"/>
          <w:sz w:val="24"/>
          <w:szCs w:val="24"/>
          <w:rtl w:val="0"/>
        </w:rPr>
        <w:t xml:space="preserve">VOTO PARTICULAR CONCURRENTE QUE FORMULAN LAS COMISIONADAS GUADALUPE RAMÍREZ PEÑA Y SHARON CRISTINA MORALES MARTÍNEZ, EN RELACIÓN CON LA RESOLUCIÓN DICTADA POR EL PLENO DEL INSTITUTO DE TRANSPARENCIA, ACCESO A LA INFORMACIÓN PÚBLICA Y PROTECCIÓN DE DATOS PERSONALES DEL ESTADO DE MÉXICO Y MUNICIPIOS, EN LA CUARTA SESIÓN ORDINARIA CELEBRADA EL OCHO DE FEBRERO DE DOS MIL VEINTICUATRO, EN EL RECURSO DE REVISIÓN 04055/INFOEM/IP/RR/2023.</w:t>
      </w:r>
    </w:p>
    <w:p w:rsidR="00000000" w:rsidDel="00000000" w:rsidP="00000000" w:rsidRDefault="00000000" w:rsidRPr="00000000" w14:paraId="00000002">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Con fundamento en lo dispuesto por el artículo 14, fracciones X y XI, del Reglamento del Instituto de Transparencia, Acceso a la Información Pública y Protección de Datos Personales del Estado de México y Municipios, las que suscriben </w:t>
      </w:r>
      <w:r w:rsidDel="00000000" w:rsidR="00000000" w:rsidRPr="00000000">
        <w:rPr>
          <w:rFonts w:ascii="Palatino Linotype" w:cs="Palatino Linotype" w:eastAsia="Palatino Linotype" w:hAnsi="Palatino Linotype"/>
          <w:b w:val="1"/>
          <w:sz w:val="24"/>
          <w:szCs w:val="24"/>
          <w:rtl w:val="0"/>
        </w:rPr>
        <w:t xml:space="preserve">Guadalupe Ramírez Peña </w:t>
      </w:r>
      <w:r w:rsidDel="00000000" w:rsidR="00000000" w:rsidRPr="00000000">
        <w:rPr>
          <w:rFonts w:ascii="Palatino Linotype" w:cs="Palatino Linotype" w:eastAsia="Palatino Linotype" w:hAnsi="Palatino Linotype"/>
          <w:sz w:val="24"/>
          <w:szCs w:val="24"/>
          <w:rtl w:val="0"/>
        </w:rPr>
        <w:t xml:space="preserve">y </w:t>
      </w:r>
      <w:r w:rsidDel="00000000" w:rsidR="00000000" w:rsidRPr="00000000">
        <w:rPr>
          <w:rFonts w:ascii="Palatino Linotype" w:cs="Palatino Linotype" w:eastAsia="Palatino Linotype" w:hAnsi="Palatino Linotype"/>
          <w:b w:val="1"/>
          <w:sz w:val="24"/>
          <w:szCs w:val="24"/>
          <w:rtl w:val="0"/>
        </w:rPr>
        <w:t xml:space="preserve">Sharon Cristina Morales Martínez, </w:t>
      </w:r>
      <w:r w:rsidDel="00000000" w:rsidR="00000000" w:rsidRPr="00000000">
        <w:rPr>
          <w:rFonts w:ascii="Palatino Linotype" w:cs="Palatino Linotype" w:eastAsia="Palatino Linotype" w:hAnsi="Palatino Linotype"/>
          <w:sz w:val="24"/>
          <w:szCs w:val="24"/>
          <w:rtl w:val="0"/>
        </w:rPr>
        <w:t xml:space="preserve">emiten </w:t>
      </w:r>
      <w:r w:rsidDel="00000000" w:rsidR="00000000" w:rsidRPr="00000000">
        <w:rPr>
          <w:rFonts w:ascii="Palatino Linotype" w:cs="Palatino Linotype" w:eastAsia="Palatino Linotype" w:hAnsi="Palatino Linotype"/>
          <w:b w:val="1"/>
          <w:sz w:val="24"/>
          <w:szCs w:val="24"/>
          <w:rtl w:val="0"/>
        </w:rPr>
        <w:t xml:space="preserve">Voto Particular Concurrente</w:t>
      </w:r>
      <w:r w:rsidDel="00000000" w:rsidR="00000000" w:rsidRPr="00000000">
        <w:rPr>
          <w:rFonts w:ascii="Palatino Linotype" w:cs="Palatino Linotype" w:eastAsia="Palatino Linotype" w:hAnsi="Palatino Linotype"/>
          <w:sz w:val="24"/>
          <w:szCs w:val="24"/>
          <w:rtl w:val="0"/>
        </w:rPr>
        <w:t xml:space="preserve"> respecto a la resolución dictada en el recurso de revisión </w:t>
      </w:r>
      <w:r w:rsidDel="00000000" w:rsidR="00000000" w:rsidRPr="00000000">
        <w:rPr>
          <w:rFonts w:ascii="Palatino Linotype" w:cs="Palatino Linotype" w:eastAsia="Palatino Linotype" w:hAnsi="Palatino Linotype"/>
          <w:b w:val="1"/>
          <w:sz w:val="24"/>
          <w:szCs w:val="24"/>
          <w:rtl w:val="0"/>
        </w:rPr>
        <w:t xml:space="preserve">04055/INFOEM/IP/RR/2023, </w:t>
      </w:r>
      <w:r w:rsidDel="00000000" w:rsidR="00000000" w:rsidRPr="00000000">
        <w:rPr>
          <w:rFonts w:ascii="Palatino Linotype" w:cs="Palatino Linotype" w:eastAsia="Palatino Linotype" w:hAnsi="Palatino Linotype"/>
          <w:sz w:val="24"/>
          <w:szCs w:val="24"/>
          <w:rtl w:val="0"/>
        </w:rPr>
        <w:t xml:space="preserve">pronunciada conforme al criterio mayoritario del Pleno de este Instituto ante el proyecto presentado por el Comisionado </w:t>
      </w:r>
      <w:r w:rsidDel="00000000" w:rsidR="00000000" w:rsidRPr="00000000">
        <w:rPr>
          <w:rFonts w:ascii="Palatino Linotype" w:cs="Palatino Linotype" w:eastAsia="Palatino Linotype" w:hAnsi="Palatino Linotype"/>
          <w:b w:val="1"/>
          <w:sz w:val="24"/>
          <w:szCs w:val="24"/>
          <w:rtl w:val="0"/>
        </w:rPr>
        <w:t xml:space="preserve">José Martínez Vilchis</w:t>
      </w:r>
      <w:r w:rsidDel="00000000" w:rsidR="00000000" w:rsidRPr="00000000">
        <w:rPr>
          <w:rFonts w:ascii="Palatino Linotype" w:cs="Palatino Linotype" w:eastAsia="Palatino Linotype" w:hAnsi="Palatino Linotype"/>
          <w:sz w:val="24"/>
          <w:szCs w:val="24"/>
          <w:rtl w:val="0"/>
        </w:rPr>
        <w:t xml:space="preserve">, que es del tenor siguiente: </w:t>
      </w:r>
    </w:p>
    <w:p w:rsidR="00000000" w:rsidDel="00000000" w:rsidP="00000000" w:rsidRDefault="00000000" w:rsidRPr="00000000" w14:paraId="00000003">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4">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5">
      <w:pPr>
        <w:numPr>
          <w:ilvl w:val="0"/>
          <w:numId w:val="4"/>
        </w:numPr>
        <w:spacing w:after="0" w:line="360" w:lineRule="auto"/>
        <w:ind w:left="567" w:right="139" w:hanging="283"/>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Antecedentes.</w:t>
      </w:r>
      <w:r w:rsidDel="00000000" w:rsidR="00000000" w:rsidRPr="00000000">
        <w:rPr>
          <w:rtl w:val="0"/>
        </w:rPr>
      </w:r>
    </w:p>
    <w:p w:rsidR="00000000" w:rsidDel="00000000" w:rsidP="00000000" w:rsidRDefault="00000000" w:rsidRPr="00000000" w14:paraId="00000006">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sz w:val="24"/>
          <w:szCs w:val="24"/>
          <w:rtl w:val="0"/>
        </w:rPr>
        <w:t xml:space="preserve">A través de la solicitud de acceso a la información que nos ocupa, la persona solicitante requirió al </w:t>
      </w:r>
      <w:r w:rsidDel="00000000" w:rsidR="00000000" w:rsidRPr="00000000">
        <w:rPr>
          <w:rFonts w:ascii="Palatino Linotype" w:cs="Palatino Linotype" w:eastAsia="Palatino Linotype" w:hAnsi="Palatino Linotype"/>
          <w:b w:val="1"/>
          <w:sz w:val="24"/>
          <w:szCs w:val="24"/>
          <w:rtl w:val="0"/>
        </w:rPr>
        <w:t xml:space="preserve">Sujeto Obligado, </w:t>
      </w:r>
      <w:r w:rsidDel="00000000" w:rsidR="00000000" w:rsidRPr="00000000">
        <w:rPr>
          <w:rFonts w:ascii="Palatino Linotype" w:cs="Palatino Linotype" w:eastAsia="Palatino Linotype" w:hAnsi="Palatino Linotype"/>
          <w:sz w:val="24"/>
          <w:szCs w:val="24"/>
          <w:rtl w:val="0"/>
        </w:rPr>
        <w:t xml:space="preserve">le sea proporcionada la siguiente información:</w:t>
      </w:r>
      <w:r w:rsidDel="00000000" w:rsidR="00000000" w:rsidRPr="00000000">
        <w:rPr>
          <w:rtl w:val="0"/>
        </w:rPr>
      </w:r>
    </w:p>
    <w:p w:rsidR="00000000" w:rsidDel="00000000" w:rsidP="00000000" w:rsidRDefault="00000000" w:rsidRPr="00000000" w14:paraId="00000007">
      <w:pPr>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“credenciales oficiales de los auditores financieros del OSFEM”” (sic)</w:t>
      </w:r>
    </w:p>
    <w:p w:rsidR="00000000" w:rsidDel="00000000" w:rsidP="00000000" w:rsidRDefault="00000000" w:rsidRPr="00000000" w14:paraId="00000008">
      <w:pPr>
        <w:spacing w:after="24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 respuesta, el </w:t>
      </w:r>
      <w:r w:rsidDel="00000000" w:rsidR="00000000" w:rsidRPr="00000000">
        <w:rPr>
          <w:rFonts w:ascii="Palatino Linotype" w:cs="Palatino Linotype" w:eastAsia="Palatino Linotype" w:hAnsi="Palatino Linotype"/>
          <w:b w:val="1"/>
          <w:sz w:val="24"/>
          <w:szCs w:val="24"/>
          <w:rtl w:val="0"/>
        </w:rPr>
        <w:t xml:space="preserve">Sujeto Obligado </w:t>
      </w:r>
      <w:r w:rsidDel="00000000" w:rsidR="00000000" w:rsidRPr="00000000">
        <w:rPr>
          <w:rFonts w:ascii="Palatino Linotype" w:cs="Palatino Linotype" w:eastAsia="Palatino Linotype" w:hAnsi="Palatino Linotype"/>
          <w:sz w:val="24"/>
          <w:szCs w:val="24"/>
          <w:rtl w:val="0"/>
        </w:rPr>
        <w:t xml:space="preserve">adjuntó lo siguiente: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360" w:lineRule="auto"/>
        <w:ind w:left="72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bookmarkStart w:colFirst="0" w:colLast="0" w:name="_heading=h.tyjcwt" w:id="1"/>
      <w:bookmarkEnd w:id="1"/>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“Resp. Sol. 334-2023.pdf”: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Oficio número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OSFEM/UAJ/DJC/397/2023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signado por el servidor público habilitado adscrito a la dirección de lo jurídico consultivo, de fecha veinte de junio de dos mil veintitrés, en lo medular refiere que la información requerida contiene datos personales que hacen plenamente identificable a los servidores públicos encuadrando como información confidencial.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360" w:lineRule="auto"/>
        <w:ind w:left="72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“Respuesta 334-OSFEM.pdf”: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Oficio número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UIPL/1064/2023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signado por el titular de la unidad de transparencia y dirigido al solicitante de información, de fecha veinte de junio de dos mil veintitrés, refiere adjuntar respuesta emitida por servidor público habilitado. </w:t>
      </w:r>
      <w:r w:rsidDel="00000000" w:rsidR="00000000" w:rsidRPr="00000000">
        <w:rPr>
          <w:rtl w:val="0"/>
        </w:rPr>
      </w:r>
    </w:p>
    <w:p w:rsidR="00000000" w:rsidDel="00000000" w:rsidP="00000000" w:rsidRDefault="00000000" w:rsidRPr="00000000" w14:paraId="0000000B">
      <w:pPr>
        <w:spacing w:after="24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Una vez conocida la respuesta del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la parte </w:t>
      </w:r>
      <w:r w:rsidDel="00000000" w:rsidR="00000000" w:rsidRPr="00000000">
        <w:rPr>
          <w:rFonts w:ascii="Palatino Linotype" w:cs="Palatino Linotype" w:eastAsia="Palatino Linotype" w:hAnsi="Palatino Linotype"/>
          <w:b w:val="1"/>
          <w:sz w:val="24"/>
          <w:szCs w:val="24"/>
          <w:rtl w:val="0"/>
        </w:rPr>
        <w:t xml:space="preserve">Recurrente</w:t>
      </w:r>
      <w:r w:rsidDel="00000000" w:rsidR="00000000" w:rsidRPr="00000000">
        <w:rPr>
          <w:rFonts w:ascii="Palatino Linotype" w:cs="Palatino Linotype" w:eastAsia="Palatino Linotype" w:hAnsi="Palatino Linotype"/>
          <w:sz w:val="24"/>
          <w:szCs w:val="24"/>
          <w:rtl w:val="0"/>
        </w:rPr>
        <w:t xml:space="preserve"> interpuso el medio de impugnación citado al rubro, manifestado lo siguiente: </w:t>
      </w:r>
    </w:p>
    <w:p w:rsidR="00000000" w:rsidDel="00000000" w:rsidP="00000000" w:rsidRDefault="00000000" w:rsidRPr="00000000" w14:paraId="0000000C">
      <w:pPr>
        <w:tabs>
          <w:tab w:val="left" w:leader="none" w:pos="4667"/>
        </w:tabs>
        <w:spacing w:line="360" w:lineRule="auto"/>
        <w:ind w:right="567"/>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D">
      <w:pPr>
        <w:tabs>
          <w:tab w:val="left" w:leader="none" w:pos="4667"/>
        </w:tabs>
        <w:spacing w:line="360" w:lineRule="auto"/>
        <w:ind w:right="567"/>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Acto Impugnado:</w:t>
      </w:r>
    </w:p>
    <w:p w:rsidR="00000000" w:rsidDel="00000000" w:rsidP="00000000" w:rsidRDefault="00000000" w:rsidRPr="00000000" w14:paraId="0000000E">
      <w:pPr>
        <w:spacing w:line="360" w:lineRule="auto"/>
        <w:ind w:left="851"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“La negativa de la información” (sic)</w:t>
      </w:r>
    </w:p>
    <w:p w:rsidR="00000000" w:rsidDel="00000000" w:rsidP="00000000" w:rsidRDefault="00000000" w:rsidRPr="00000000" w14:paraId="0000000F">
      <w:pPr>
        <w:spacing w:line="360" w:lineRule="auto"/>
        <w:ind w:right="567"/>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Razones o Motivos Inconformidad:</w:t>
      </w:r>
    </w:p>
    <w:p w:rsidR="00000000" w:rsidDel="00000000" w:rsidP="00000000" w:rsidRDefault="00000000" w:rsidRPr="00000000" w14:paraId="00000010">
      <w:pPr>
        <w:tabs>
          <w:tab w:val="center" w:leader="none" w:pos="4536"/>
        </w:tabs>
        <w:spacing w:line="360" w:lineRule="auto"/>
        <w:ind w:left="851"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“La negativa de la información” (Sic).</w:t>
      </w:r>
    </w:p>
    <w:p w:rsidR="00000000" w:rsidDel="00000000" w:rsidP="00000000" w:rsidRDefault="00000000" w:rsidRPr="00000000" w14:paraId="00000011">
      <w:pPr>
        <w:spacing w:after="0" w:line="360" w:lineRule="auto"/>
        <w:jc w:val="both"/>
        <w:rPr>
          <w:rFonts w:ascii="Palatino Linotype" w:cs="Palatino Linotype" w:eastAsia="Palatino Linotype" w:hAnsi="Palatino Linotype"/>
          <w:sz w:val="24"/>
          <w:szCs w:val="24"/>
        </w:rPr>
      </w:pPr>
      <w:bookmarkStart w:colFirst="0" w:colLast="0" w:name="_heading=h.30j0zll" w:id="2"/>
      <w:bookmarkEnd w:id="2"/>
      <w:r w:rsidDel="00000000" w:rsidR="00000000" w:rsidRPr="00000000">
        <w:rPr>
          <w:rFonts w:ascii="Palatino Linotype" w:cs="Palatino Linotype" w:eastAsia="Palatino Linotype" w:hAnsi="Palatino Linotype"/>
          <w:sz w:val="24"/>
          <w:szCs w:val="24"/>
          <w:rtl w:val="0"/>
        </w:rPr>
        <w:t xml:space="preserve">Durante la etapa de manifestaciones, el </w:t>
      </w:r>
      <w:r w:rsidDel="00000000" w:rsidR="00000000" w:rsidRPr="00000000">
        <w:rPr>
          <w:rFonts w:ascii="Palatino Linotype" w:cs="Palatino Linotype" w:eastAsia="Palatino Linotype" w:hAnsi="Palatino Linotype"/>
          <w:b w:val="1"/>
          <w:sz w:val="24"/>
          <w:szCs w:val="24"/>
          <w:rtl w:val="0"/>
        </w:rPr>
        <w:t xml:space="preserve">Sujeto Obligado </w:t>
      </w:r>
      <w:r w:rsidDel="00000000" w:rsidR="00000000" w:rsidRPr="00000000">
        <w:rPr>
          <w:rFonts w:ascii="Palatino Linotype" w:cs="Palatino Linotype" w:eastAsia="Palatino Linotype" w:hAnsi="Palatino Linotype"/>
          <w:sz w:val="24"/>
          <w:szCs w:val="24"/>
          <w:rtl w:val="0"/>
        </w:rPr>
        <w:t xml:space="preserve">rindió su informe justificado en los siguientes términos: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Consideraciones OSFEM-RR-4055-Sol.334-2023.pdf”: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Informe justificado signado por el servidor público habilitado adscrito a la dirección de lo jurídico consultivo, en lo medular ratifica la respuesta primigenia.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“Informe justificado RR. 04055-2023 (sol. 0334-2023).pdf”: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Informe justificado signado por el titular de la unidad de transparencia y dirigido al comisionado ponente, de fecha ocho de agosto de dos mil veintitrés, resulta de nuestro interés el siguiente extracto:</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Palatino Linotype" w:cs="Palatino Linotype" w:eastAsia="Palatino Linotype" w:hAnsi="Palatino Linotype"/>
          <w:b w:val="1"/>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“Visto lo anterior, el servidor público habilitado del Órgano Superior de Fiscalización del Estado de México, informó que fue localizada la información solicitada, sin embargo, de una revisión efectuada a dicha información, se puede deducir que la misma corresponde a información privada susceptible de ser clasificada como confidencial, toda vez que no pueden ser revelados por este Poder Legislativo sin tener el consentimiento de los particulares, debido a que la información solicitada no pertenece al ámbito de información pública” </w:t>
      </w:r>
      <w:r w:rsidDel="00000000" w:rsidR="00000000" w:rsidRPr="00000000">
        <w:rPr>
          <w:rFonts w:ascii="Palatino Linotype" w:cs="Palatino Linotype" w:eastAsia="Palatino Linotype" w:hAnsi="Palatino Linotype"/>
          <w:b w:val="1"/>
          <w:i w:val="1"/>
          <w:smallCaps w:val="0"/>
          <w:strike w:val="0"/>
          <w:color w:val="000000"/>
          <w:sz w:val="24"/>
          <w:szCs w:val="24"/>
          <w:u w:val="none"/>
          <w:shd w:fill="auto" w:val="clear"/>
          <w:vertAlign w:val="baseline"/>
          <w:rtl w:val="0"/>
        </w:rPr>
        <w:t xml:space="preserve">(Sic)</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Así las cosas, el Instituto consideró que las razones o motivos de inconformidad hechos valer por la parte </w:t>
      </w:r>
      <w:r w:rsidDel="00000000" w:rsidR="00000000" w:rsidRPr="00000000">
        <w:rPr>
          <w:rFonts w:ascii="Palatino Linotype" w:cs="Palatino Linotype" w:eastAsia="Palatino Linotype" w:hAnsi="Palatino Linotype"/>
          <w:b w:val="1"/>
          <w:sz w:val="24"/>
          <w:szCs w:val="24"/>
          <w:rtl w:val="0"/>
        </w:rPr>
        <w:t xml:space="preserve">Recurrente </w:t>
      </w:r>
      <w:r w:rsidDel="00000000" w:rsidR="00000000" w:rsidRPr="00000000">
        <w:rPr>
          <w:rFonts w:ascii="Palatino Linotype" w:cs="Palatino Linotype" w:eastAsia="Palatino Linotype" w:hAnsi="Palatino Linotype"/>
          <w:sz w:val="24"/>
          <w:szCs w:val="24"/>
          <w:rtl w:val="0"/>
        </w:rPr>
        <w:t xml:space="preserve">resultan </w:t>
      </w:r>
      <w:r w:rsidDel="00000000" w:rsidR="00000000" w:rsidRPr="00000000">
        <w:rPr>
          <w:rFonts w:ascii="Palatino Linotype" w:cs="Palatino Linotype" w:eastAsia="Palatino Linotype" w:hAnsi="Palatino Linotype"/>
          <w:b w:val="1"/>
          <w:sz w:val="24"/>
          <w:szCs w:val="24"/>
          <w:rtl w:val="0"/>
        </w:rPr>
        <w:t xml:space="preserve">fundados</w:t>
      </w:r>
      <w:r w:rsidDel="00000000" w:rsidR="00000000" w:rsidRPr="00000000">
        <w:rPr>
          <w:rFonts w:ascii="Palatino Linotype" w:cs="Palatino Linotype" w:eastAsia="Palatino Linotype" w:hAnsi="Palatino Linotype"/>
          <w:sz w:val="24"/>
          <w:szCs w:val="24"/>
          <w:rtl w:val="0"/>
        </w:rPr>
        <w:t xml:space="preserve">, y determinó </w:t>
      </w:r>
      <w:r w:rsidDel="00000000" w:rsidR="00000000" w:rsidRPr="00000000">
        <w:rPr>
          <w:rFonts w:ascii="Palatino Linotype" w:cs="Palatino Linotype" w:eastAsia="Palatino Linotype" w:hAnsi="Palatino Linotype"/>
          <w:b w:val="1"/>
          <w:sz w:val="24"/>
          <w:szCs w:val="24"/>
          <w:rtl w:val="0"/>
        </w:rPr>
        <w:t xml:space="preserve">revocar </w:t>
      </w:r>
      <w:r w:rsidDel="00000000" w:rsidR="00000000" w:rsidRPr="00000000">
        <w:rPr>
          <w:rFonts w:ascii="Palatino Linotype" w:cs="Palatino Linotype" w:eastAsia="Palatino Linotype" w:hAnsi="Palatino Linotype"/>
          <w:sz w:val="24"/>
          <w:szCs w:val="24"/>
          <w:rtl w:val="0"/>
        </w:rPr>
        <w:t xml:space="preserve">la respuesta del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para ordenar  la entrega de lo siguiente:</w:t>
      </w:r>
    </w:p>
    <w:p w:rsidR="00000000" w:rsidDel="00000000" w:rsidP="00000000" w:rsidRDefault="00000000" w:rsidRPr="00000000" w14:paraId="00000016">
      <w:pPr>
        <w:spacing w:after="120" w:before="120" w:line="240" w:lineRule="auto"/>
        <w:ind w:left="851" w:right="902" w:firstLine="0"/>
        <w:jc w:val="both"/>
        <w:rPr>
          <w:rFonts w:ascii="Palatino Linotype" w:cs="Palatino Linotype" w:eastAsia="Palatino Linotype" w:hAnsi="Palatino Linotype"/>
          <w:i w:val="1"/>
        </w:rPr>
      </w:pPr>
      <w:bookmarkStart w:colFirst="0" w:colLast="0" w:name="_heading=h.3dy6vkm" w:id="3"/>
      <w:bookmarkEnd w:id="3"/>
      <w:r w:rsidDel="00000000" w:rsidR="00000000" w:rsidRPr="00000000">
        <w:rPr>
          <w:rFonts w:ascii="Palatino Linotype" w:cs="Palatino Linotype" w:eastAsia="Palatino Linotype" w:hAnsi="Palatino Linotype"/>
          <w:i w:val="1"/>
          <w:rtl w:val="0"/>
        </w:rPr>
        <w:t xml:space="preserve">“</w:t>
      </w:r>
      <w:r w:rsidDel="00000000" w:rsidR="00000000" w:rsidRPr="00000000">
        <w:rPr>
          <w:rFonts w:ascii="Palatino Linotype" w:cs="Palatino Linotype" w:eastAsia="Palatino Linotype" w:hAnsi="Palatino Linotype"/>
          <w:b w:val="1"/>
          <w:i w:val="1"/>
          <w:rtl w:val="0"/>
        </w:rPr>
        <w:t xml:space="preserve">SEGUNDO.</w:t>
      </w:r>
      <w:r w:rsidDel="00000000" w:rsidR="00000000" w:rsidRPr="00000000">
        <w:rPr>
          <w:rFonts w:ascii="Palatino Linotype" w:cs="Palatino Linotype" w:eastAsia="Palatino Linotype" w:hAnsi="Palatino Linotype"/>
          <w:i w:val="1"/>
          <w:rtl w:val="0"/>
        </w:rPr>
        <w:t xml:space="preserve"> Se </w:t>
      </w:r>
      <w:r w:rsidDel="00000000" w:rsidR="00000000" w:rsidRPr="00000000">
        <w:rPr>
          <w:rFonts w:ascii="Palatino Linotype" w:cs="Palatino Linotype" w:eastAsia="Palatino Linotype" w:hAnsi="Palatino Linotype"/>
          <w:b w:val="1"/>
          <w:i w:val="1"/>
          <w:rtl w:val="0"/>
        </w:rPr>
        <w:t xml:space="preserve">ORDENA</w:t>
      </w:r>
      <w:r w:rsidDel="00000000" w:rsidR="00000000" w:rsidRPr="00000000">
        <w:rPr>
          <w:rFonts w:ascii="Palatino Linotype" w:cs="Palatino Linotype" w:eastAsia="Palatino Linotype" w:hAnsi="Palatino Linotype"/>
          <w:i w:val="1"/>
          <w:rtl w:val="0"/>
        </w:rPr>
        <w:t xml:space="preserve"> al </w:t>
      </w:r>
      <w:r w:rsidDel="00000000" w:rsidR="00000000" w:rsidRPr="00000000">
        <w:rPr>
          <w:rFonts w:ascii="Palatino Linotype" w:cs="Palatino Linotype" w:eastAsia="Palatino Linotype" w:hAnsi="Palatino Linotype"/>
          <w:b w:val="1"/>
          <w:i w:val="1"/>
          <w:rtl w:val="0"/>
        </w:rPr>
        <w:t xml:space="preserve">SUJETO OBLIGADO</w:t>
      </w:r>
      <w:r w:rsidDel="00000000" w:rsidR="00000000" w:rsidRPr="00000000">
        <w:rPr>
          <w:rFonts w:ascii="Palatino Linotype" w:cs="Palatino Linotype" w:eastAsia="Palatino Linotype" w:hAnsi="Palatino Linotype"/>
          <w:i w:val="1"/>
          <w:rtl w:val="0"/>
        </w:rPr>
        <w:t xml:space="preserve"> que haga entrega al </w:t>
      </w:r>
      <w:r w:rsidDel="00000000" w:rsidR="00000000" w:rsidRPr="00000000">
        <w:rPr>
          <w:rFonts w:ascii="Palatino Linotype" w:cs="Palatino Linotype" w:eastAsia="Palatino Linotype" w:hAnsi="Palatino Linotype"/>
          <w:b w:val="1"/>
          <w:i w:val="1"/>
          <w:rtl w:val="0"/>
        </w:rPr>
        <w:t xml:space="preserve">RECURRENTE, </w:t>
      </w:r>
      <w:r w:rsidDel="00000000" w:rsidR="00000000" w:rsidRPr="00000000">
        <w:rPr>
          <w:rFonts w:ascii="Palatino Linotype" w:cs="Palatino Linotype" w:eastAsia="Palatino Linotype" w:hAnsi="Palatino Linotype"/>
          <w:i w:val="1"/>
          <w:rtl w:val="0"/>
        </w:rPr>
        <w:t xml:space="preserve">en términos del Considerando </w:t>
      </w:r>
      <w:r w:rsidDel="00000000" w:rsidR="00000000" w:rsidRPr="00000000">
        <w:rPr>
          <w:rFonts w:ascii="Palatino Linotype" w:cs="Palatino Linotype" w:eastAsia="Palatino Linotype" w:hAnsi="Palatino Linotype"/>
          <w:b w:val="1"/>
          <w:i w:val="1"/>
          <w:rtl w:val="0"/>
        </w:rPr>
        <w:t xml:space="preserve">CUARTO </w:t>
      </w:r>
      <w:r w:rsidDel="00000000" w:rsidR="00000000" w:rsidRPr="00000000">
        <w:rPr>
          <w:rFonts w:ascii="Palatino Linotype" w:cs="Palatino Linotype" w:eastAsia="Palatino Linotype" w:hAnsi="Palatino Linotype"/>
          <w:i w:val="1"/>
          <w:rtl w:val="0"/>
        </w:rPr>
        <w:t xml:space="preserve">de esta resolución</w:t>
      </w:r>
      <w:r w:rsidDel="00000000" w:rsidR="00000000" w:rsidRPr="00000000">
        <w:rPr>
          <w:rFonts w:ascii="Palatino Linotype" w:cs="Palatino Linotype" w:eastAsia="Palatino Linotype" w:hAnsi="Palatino Linotype"/>
          <w:b w:val="1"/>
          <w:i w:val="1"/>
          <w:rtl w:val="0"/>
        </w:rPr>
        <w:t xml:space="preserve">, </w:t>
      </w:r>
      <w:r w:rsidDel="00000000" w:rsidR="00000000" w:rsidRPr="00000000">
        <w:rPr>
          <w:rFonts w:ascii="Palatino Linotype" w:cs="Palatino Linotype" w:eastAsia="Palatino Linotype" w:hAnsi="Palatino Linotype"/>
          <w:i w:val="1"/>
          <w:rtl w:val="0"/>
        </w:rPr>
        <w:t xml:space="preserve">en correcta versión pública, a través del Sistema de Acceso a la Información Mexiquense </w:t>
      </w:r>
      <w:r w:rsidDel="00000000" w:rsidR="00000000" w:rsidRPr="00000000">
        <w:rPr>
          <w:rFonts w:ascii="Palatino Linotype" w:cs="Palatino Linotype" w:eastAsia="Palatino Linotype" w:hAnsi="Palatino Linotype"/>
          <w:b w:val="1"/>
          <w:i w:val="1"/>
          <w:rtl w:val="0"/>
        </w:rPr>
        <w:t xml:space="preserve">(SAIMEX), </w:t>
      </w:r>
      <w:r w:rsidDel="00000000" w:rsidR="00000000" w:rsidRPr="00000000">
        <w:rPr>
          <w:rFonts w:ascii="Palatino Linotype" w:cs="Palatino Linotype" w:eastAsia="Palatino Linotype" w:hAnsi="Palatino Linotype"/>
          <w:i w:val="1"/>
          <w:rtl w:val="0"/>
        </w:rPr>
        <w:t xml:space="preserve">de lo siguiente: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134" w:right="902" w:firstLine="0"/>
        <w:jc w:val="both"/>
        <w:rPr>
          <w:rFonts w:ascii="Palatino Linotype" w:cs="Palatino Linotype" w:eastAsia="Palatino Linotype" w:hAnsi="Palatino Linotype"/>
          <w:b w:val="0"/>
          <w:i w:val="1"/>
          <w:smallCaps w:val="0"/>
          <w:strike w:val="0"/>
          <w:color w:val="000000"/>
          <w:sz w:val="22"/>
          <w:szCs w:val="22"/>
          <w:u w:val="none"/>
          <w:shd w:fill="auto" w:val="clear"/>
          <w:vertAlign w:val="baseline"/>
        </w:rPr>
      </w:pPr>
      <w:bookmarkStart w:colFirst="0" w:colLast="0" w:name="_heading=h.1t3h5sf" w:id="4"/>
      <w:bookmarkEnd w:id="4"/>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Credenciales oficiales (anverso y reverso) de los auditores financieros y/o equivalentes adscritos al Órgano Superior de Fiscalización del Estado de México, al cinco de junio de dos mil veintitrés.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134" w:right="902" w:firstLine="0"/>
        <w:jc w:val="both"/>
        <w:rPr>
          <w:rFonts w:ascii="Palatino Linotype" w:cs="Palatino Linotype" w:eastAsia="Palatino Linotype" w:hAnsi="Palatino Linotype"/>
          <w:b w:val="0"/>
          <w:i w:val="1"/>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000000" w:rsidDel="00000000" w:rsidP="00000000" w:rsidRDefault="00000000" w:rsidRPr="00000000" w14:paraId="00000019">
      <w:pPr>
        <w:spacing w:after="240" w:before="240" w:line="240" w:lineRule="auto"/>
        <w:ind w:left="851" w:right="900"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after="240" w:before="240" w:line="360" w:lineRule="auto"/>
        <w:ind w:left="1080" w:right="139" w:hanging="72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Razones del Voto Particular Concurrente. </w:t>
      </w:r>
      <w:r w:rsidDel="00000000" w:rsidR="00000000" w:rsidRPr="00000000">
        <w:rPr>
          <w:rtl w:val="0"/>
        </w:rPr>
      </w:r>
    </w:p>
    <w:p w:rsidR="00000000" w:rsidDel="00000000" w:rsidP="00000000" w:rsidRDefault="00000000" w:rsidRPr="00000000" w14:paraId="0000001B">
      <w:pPr>
        <w:spacing w:after="240" w:before="240" w:line="360" w:lineRule="auto"/>
        <w:ind w:right="142"/>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 primer lugar,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000000" w:rsidDel="00000000" w:rsidP="00000000" w:rsidRDefault="00000000" w:rsidRPr="00000000" w14:paraId="0000001C">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Sin embargo, es preciso mencionar que, el presente voto se formula con relación a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000000" w:rsidDel="00000000" w:rsidP="00000000" w:rsidRDefault="00000000" w:rsidRPr="00000000" w14:paraId="0000001D">
      <w:pPr>
        <w:spacing w:after="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 respecto se señaló en la resolución lo siguiente:</w:t>
      </w:r>
    </w:p>
    <w:p w:rsidR="00000000" w:rsidDel="00000000" w:rsidP="00000000" w:rsidRDefault="00000000" w:rsidRPr="00000000" w14:paraId="0000001E">
      <w:pPr>
        <w:spacing w:after="120" w:before="120" w:line="240" w:lineRule="auto"/>
        <w:ind w:left="851" w:right="902"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F">
      <w:pPr>
        <w:spacing w:after="120" w:before="120" w:line="240" w:lineRule="auto"/>
        <w:ind w:left="851" w:right="902"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i w:val="1"/>
          <w:rtl w:val="0"/>
        </w:rPr>
        <w:t xml:space="preserve"> “…</w:t>
      </w:r>
      <w:r w:rsidDel="00000000" w:rsidR="00000000" w:rsidRPr="00000000">
        <w:rPr>
          <w:rFonts w:ascii="Palatino Linotype" w:cs="Palatino Linotype" w:eastAsia="Palatino Linotype" w:hAnsi="Palatino Linotype"/>
          <w:b w:val="1"/>
          <w:i w:val="1"/>
          <w:rtl w:val="0"/>
        </w:rPr>
        <w:t xml:space="preserve">Fotografía: </w:t>
      </w:r>
      <w:r w:rsidDel="00000000" w:rsidR="00000000" w:rsidRPr="00000000">
        <w:rPr>
          <w:rFonts w:ascii="Palatino Linotype" w:cs="Palatino Linotype" w:eastAsia="Palatino Linotype" w:hAnsi="Palatino Linotype"/>
          <w:i w:val="1"/>
          <w:rtl w:val="0"/>
        </w:rPr>
        <w:t xml:space="preserve">Tratándose de servidores públicos se cuenta con un espectro menor de protección a sus datos personales en comparación con cualquier otra persona física, en razón del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Conforme a lo anterior, resulta necesario señalar que el Pleno del Órgano Garante local sustentó el criterio </w:t>
      </w:r>
      <w:r w:rsidDel="00000000" w:rsidR="00000000" w:rsidRPr="00000000">
        <w:rPr>
          <w:rFonts w:ascii="Palatino Linotype" w:cs="Palatino Linotype" w:eastAsia="Palatino Linotype" w:hAnsi="Palatino Linotype"/>
          <w:b w:val="1"/>
          <w:i w:val="1"/>
          <w:smallCaps w:val="0"/>
          <w:strike w:val="0"/>
          <w:color w:val="000000"/>
          <w:sz w:val="22"/>
          <w:szCs w:val="22"/>
          <w:u w:val="none"/>
          <w:shd w:fill="auto" w:val="clear"/>
          <w:vertAlign w:val="baseline"/>
          <w:rtl w:val="0"/>
        </w:rPr>
        <w:t xml:space="preserve">03/2019 </w:t>
      </w: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cuyo rubro dispone a la literalidad lo siguiente: </w:t>
      </w:r>
      <w:r w:rsidDel="00000000" w:rsidR="00000000" w:rsidRPr="00000000">
        <w:rPr>
          <w:rFonts w:ascii="Palatino Linotype" w:cs="Palatino Linotype" w:eastAsia="Palatino Linotype" w:hAnsi="Palatino Linotype"/>
          <w:b w:val="1"/>
          <w:i w:val="1"/>
          <w:smallCaps w:val="0"/>
          <w:strike w:val="0"/>
          <w:color w:val="000000"/>
          <w:sz w:val="22"/>
          <w:szCs w:val="22"/>
          <w:u w:val="none"/>
          <w:shd w:fill="auto" w:val="clear"/>
          <w:vertAlign w:val="baseline"/>
          <w:rtl w:val="0"/>
        </w:rPr>
        <w:t xml:space="preserve">“SERVIDORES PÚBLICOS CON CATEGORÍA DE MANDO MEDIO Y SUPERIOR. LA FOTOGRAFÍA DE AQUELLOS ES DE CARÁCTER PÚBLICO.”, </w:t>
      </w: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mismo que fue interrumpido en términos del artículo 9, fracción XXVII del Reglamento Interior del Instituto de Transparencia, Acceso a la Información Pública y Protección de Datos Personales del Estado de México y Municipios.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2"/>
          <w:szCs w:val="22"/>
          <w:u w:val="none"/>
          <w:shd w:fill="auto" w:val="clear"/>
          <w:vertAlign w:val="baseline"/>
          <w:rtl w:val="0"/>
        </w:rPr>
        <w:t xml:space="preserve">Debido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w:t>
      </w: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por lo que en las versiones públicas que se ordenen, no podrá clasificarse esa información. 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r w:rsidDel="00000000" w:rsidR="00000000" w:rsidRPr="00000000">
        <w:rPr>
          <w:rFonts w:ascii="Palatino Linotype" w:cs="Palatino Linotype" w:eastAsia="Palatino Linotype" w:hAnsi="Palatino Linotype"/>
          <w:b w:val="1"/>
          <w:i w:val="1"/>
          <w:smallCaps w:val="0"/>
          <w:strike w:val="0"/>
          <w:color w:val="000000"/>
          <w:sz w:val="22"/>
          <w:szCs w:val="22"/>
          <w:u w:val="none"/>
          <w:shd w:fill="auto" w:val="clear"/>
          <w:vertAlign w:val="baseline"/>
          <w:rtl w:val="0"/>
        </w:rPr>
        <w:t xml:space="preserve">...</w:t>
      </w: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tabs>
          <w:tab w:val="left" w:leader="none" w:pos="4962"/>
        </w:tabs>
        <w:spacing w:after="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Bajo ese contexto, es importante señalar que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r w:rsidDel="00000000" w:rsidR="00000000" w:rsidRPr="00000000">
        <w:rPr>
          <w:rtl w:val="0"/>
        </w:rPr>
      </w:r>
    </w:p>
    <w:p w:rsidR="00000000" w:rsidDel="00000000" w:rsidP="00000000" w:rsidRDefault="00000000" w:rsidRPr="00000000" w14:paraId="00000023">
      <w:pPr>
        <w:spacing w:after="24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before="240" w:line="360" w:lineRule="auto"/>
        <w:ind w:right="142"/>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Por lo que, dado el interés público que revisten a las funciones de las y los servidores que dan atención al público, así como aquellos que cuenten con la calidad de mando medio y/o superior, las suscritas consideramos que se debe dejar visible su fotografía pues, hacer pública la imagen de éstos, puede contribuir a la transparencia y la rendición de cuentas, ya que permite a la ciudadanía identificar a los funcionarios que toman decisiones importantes en su nombre. </w:t>
      </w:r>
    </w:p>
    <w:p w:rsidR="00000000" w:rsidDel="00000000" w:rsidP="00000000" w:rsidRDefault="00000000" w:rsidRPr="00000000" w14:paraId="00000025">
      <w:pPr>
        <w:tabs>
          <w:tab w:val="left" w:leader="none" w:pos="4962"/>
        </w:tabs>
        <w:spacing w:after="24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Sin embargo, en el caso que nos ocupa se ordenó la entrega de información que, dada su propia y especial naturaleza, podría contener la fotografía de servidoras y servidores públicos que laboran para el</w:t>
      </w:r>
      <w:r w:rsidDel="00000000" w:rsidR="00000000" w:rsidRPr="00000000">
        <w:rPr>
          <w:rFonts w:ascii="Palatino Linotype" w:cs="Palatino Linotype" w:eastAsia="Palatino Linotype" w:hAnsi="Palatino Linotype"/>
          <w:b w:val="1"/>
          <w:sz w:val="24"/>
          <w:szCs w:val="24"/>
          <w:rtl w:val="0"/>
        </w:rPr>
        <w:t xml:space="preserve"> Sujeto Obligado </w:t>
      </w:r>
      <w:r w:rsidDel="00000000" w:rsidR="00000000" w:rsidRPr="00000000">
        <w:rPr>
          <w:rFonts w:ascii="Palatino Linotype" w:cs="Palatino Linotype" w:eastAsia="Palatino Linotype" w:hAnsi="Palatino Linotype"/>
          <w:sz w:val="24"/>
          <w:szCs w:val="24"/>
          <w:rtl w:val="0"/>
        </w:rPr>
        <w:t xml:space="preserve">que </w:t>
      </w:r>
      <w:r w:rsidDel="00000000" w:rsidR="00000000" w:rsidRPr="00000000">
        <w:rPr>
          <w:rFonts w:ascii="Palatino Linotype" w:cs="Palatino Linotype" w:eastAsia="Palatino Linotype" w:hAnsi="Palatino Linotype"/>
          <w:b w:val="1"/>
          <w:sz w:val="24"/>
          <w:szCs w:val="24"/>
          <w:u w:val="single"/>
          <w:rtl w:val="0"/>
        </w:rPr>
        <w:t xml:space="preserve">no son mandos medios ni superiores y que tampoco tienen funciones de atención al público</w:t>
      </w:r>
      <w:r w:rsidDel="00000000" w:rsidR="00000000" w:rsidRPr="00000000">
        <w:rPr>
          <w:rFonts w:ascii="Palatino Linotype" w:cs="Palatino Linotype" w:eastAsia="Palatino Linotype" w:hAnsi="Palatino Linotype"/>
          <w:sz w:val="24"/>
          <w:szCs w:val="24"/>
          <w:rtl w:val="0"/>
        </w:rPr>
        <w:t xml:space="preserve">, por lo que las que suscriben sostienen que los documentos que contengan dicho dato, deberían ser entregados en versión pública, testando la fotografía. </w:t>
      </w:r>
    </w:p>
    <w:p w:rsidR="00000000" w:rsidDel="00000000" w:rsidP="00000000" w:rsidRDefault="00000000" w:rsidRPr="00000000" w14:paraId="00000026">
      <w:pPr>
        <w:tabs>
          <w:tab w:val="left" w:leader="none" w:pos="4962"/>
        </w:tabs>
        <w:spacing w:after="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Pues consideramos importante equilibrar el interés público con el derecho a la privacidad de las y los servidores públicos y ponderar si realmente es necesario y proporcional hacer pública su imagen, pues, como ya lo hemos expresado con anterioridad, en algunos casos, el interés público de hacer pública la imagen de un servidor público puede justificar la limitación de su derecho a la privacidad, pero esto debe evaluarse cuidadosamente en cada caso y no ser la regla general.</w:t>
      </w:r>
    </w:p>
    <w:p w:rsidR="00000000" w:rsidDel="00000000" w:rsidP="00000000" w:rsidRDefault="00000000" w:rsidRPr="00000000" w14:paraId="00000027">
      <w:pPr>
        <w:tabs>
          <w:tab w:val="left" w:leader="none" w:pos="4962"/>
        </w:tabs>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8">
      <w:pPr>
        <w:tabs>
          <w:tab w:val="left" w:leader="none" w:pos="4962"/>
        </w:tabs>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Lo anterior dado que de que el acceso a documentos que contengan el dato materia de análisis, aun clasificado, daría cuenta de lo que en realidad se pretende transparentar, como lo es, por ejemplo, el cumplimiento de los requisitos establecidos en la ley, de las atribuciones que la normativa les confiere a los servidores públicos, o que acreditan a las personas como servidoras públicas, pues el hecho de clasificar la fotografía no les resta validez a los documentos para los fines señalados.</w:t>
      </w:r>
    </w:p>
    <w:p w:rsidR="00000000" w:rsidDel="00000000" w:rsidP="00000000" w:rsidRDefault="00000000" w:rsidRPr="00000000" w14:paraId="00000029">
      <w:pPr>
        <w:tabs>
          <w:tab w:val="left" w:leader="none" w:pos="4962"/>
        </w:tabs>
        <w:spacing w:after="24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000000" w:rsidDel="00000000" w:rsidP="00000000" w:rsidRDefault="00000000" w:rsidRPr="00000000" w14:paraId="0000002A">
      <w:pPr>
        <w:tabs>
          <w:tab w:val="left" w:leader="none" w:pos="4962"/>
        </w:tabs>
        <w:spacing w:after="240" w:before="240" w:line="360" w:lineRule="auto"/>
        <w:jc w:val="both"/>
        <w:rPr>
          <w:rFonts w:ascii="Palatino Linotype" w:cs="Palatino Linotype" w:eastAsia="Palatino Linotype" w:hAnsi="Palatino Linotype"/>
          <w:sz w:val="24"/>
          <w:szCs w:val="24"/>
        </w:rPr>
        <w:sectPr>
          <w:headerReference r:id="rId7" w:type="default"/>
          <w:footerReference r:id="rId8" w:type="default"/>
          <w:pgSz w:h="15840" w:w="12240" w:orient="portrait"/>
          <w:pgMar w:bottom="2778" w:top="2438" w:left="1701" w:right="1701" w:header="1134" w:footer="1134"/>
          <w:pgNumType w:start="1"/>
        </w:sectPr>
      </w:pPr>
      <w:bookmarkStart w:colFirst="0" w:colLast="0" w:name="_heading=h.3znysh7" w:id="5"/>
      <w:bookmarkEnd w:id="5"/>
      <w:r w:rsidDel="00000000" w:rsidR="00000000" w:rsidRPr="00000000">
        <w:rPr>
          <w:rFonts w:ascii="Palatino Linotype" w:cs="Palatino Linotype" w:eastAsia="Palatino Linotype" w:hAnsi="Palatino Linotype"/>
          <w:sz w:val="24"/>
          <w:szCs w:val="24"/>
          <w:rtl w:val="0"/>
        </w:rPr>
        <w:t xml:space="preserve">Es por las razones antes expuestas que no compartimos este punto del estudio de la resolución dictada, y, por ende se emite el presente </w:t>
      </w:r>
      <w:r w:rsidDel="00000000" w:rsidR="00000000" w:rsidRPr="00000000">
        <w:rPr>
          <w:rFonts w:ascii="Palatino Linotype" w:cs="Palatino Linotype" w:eastAsia="Palatino Linotype" w:hAnsi="Palatino Linotype"/>
          <w:b w:val="1"/>
          <w:sz w:val="24"/>
          <w:szCs w:val="24"/>
          <w:rtl w:val="0"/>
        </w:rPr>
        <w:t xml:space="preserve">Voto Particular Concurrente</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pues consideramos que </w:t>
      </w:r>
      <w:r w:rsidDel="00000000" w:rsidR="00000000" w:rsidRPr="00000000">
        <w:rPr>
          <w:rFonts w:ascii="Palatino Linotype" w:cs="Palatino Linotype" w:eastAsia="Palatino Linotype" w:hAnsi="Palatino Linotype"/>
          <w:b w:val="1"/>
          <w:sz w:val="24"/>
          <w:szCs w:val="24"/>
          <w:u w:val="single"/>
          <w:rtl w:val="0"/>
        </w:rPr>
        <w:t xml:space="preserve">no se debe dejar visible la fotografía de las y los servidores públicos que NO cuenten con la calidad de mando medio y/o superior,</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u w:val="single"/>
          <w:rtl w:val="0"/>
        </w:rPr>
        <w:t xml:space="preserve">o no tengan atención al público</w:t>
      </w:r>
      <w:r w:rsidDel="00000000" w:rsidR="00000000" w:rsidRPr="00000000">
        <w:rPr>
          <w:rFonts w:ascii="Palatino Linotype" w:cs="Palatino Linotype" w:eastAsia="Palatino Linotype" w:hAnsi="Palatino Linotype"/>
          <w:sz w:val="24"/>
          <w:szCs w:val="24"/>
          <w:rtl w:val="0"/>
        </w:rPr>
        <w:t xml:space="preserve">,  por tanto, se estima que se actualiza la causal de clasificación establecida en el artículo 143, fracción I, de la Ley de la Ley de Transparencia y Acceso a la Información Pública del Estado de México y Municipios.</w:t>
      </w:r>
    </w:p>
    <w:p w:rsidR="00000000" w:rsidDel="00000000" w:rsidP="00000000" w:rsidRDefault="00000000" w:rsidRPr="00000000" w14:paraId="0000002B">
      <w:pPr>
        <w:spacing w:after="240" w:before="240" w:line="360" w:lineRule="auto"/>
        <w:ind w:right="139"/>
        <w:jc w:val="both"/>
        <w:rPr>
          <w:rFonts w:ascii="Palatino Linotype" w:cs="Palatino Linotype" w:eastAsia="Palatino Linotype" w:hAnsi="Palatino Linotype"/>
          <w:sz w:val="24"/>
          <w:szCs w:val="24"/>
        </w:rPr>
      </w:pPr>
      <w:bookmarkStart w:colFirst="0" w:colLast="0" w:name="_heading=h.1fob9te" w:id="6"/>
      <w:bookmarkEnd w:id="6"/>
      <w:r w:rsidDel="00000000" w:rsidR="00000000" w:rsidRPr="00000000">
        <w:rPr>
          <w:rtl w:val="0"/>
        </w:rPr>
      </w:r>
    </w:p>
    <w:p w:rsidR="00000000" w:rsidDel="00000000" w:rsidP="00000000" w:rsidRDefault="00000000" w:rsidRPr="00000000" w14:paraId="0000002C">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D">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E">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F">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0">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1">
      <w:pPr>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tl w:val="0"/>
        </w:rPr>
      </w:r>
    </w:p>
    <w:sectPr>
      <w:headerReference r:id="rId9" w:type="default"/>
      <w:type w:val="nextPage"/>
      <w:pgSz w:h="15840" w:w="12240" w:orient="portrait"/>
      <w:pgMar w:bottom="2778" w:top="2438" w:left="1701" w:right="1701" w:header="1134" w:footer="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Página </w:t>
    </w:r>
    <w:r w:rsidDel="00000000" w:rsidR="00000000" w:rsidRPr="00000000">
      <w:rPr>
        <w:rFonts w:ascii="Times New Roman" w:cs="Times New Roman" w:eastAsia="Times New Roman" w:hAnsi="Times New Roman"/>
        <w:b w:val="1"/>
        <w:color w:val="000000"/>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20"/>
        <w:szCs w:val="20"/>
        <w:rtl w:val="0"/>
      </w:rPr>
      <w:t xml:space="preserve"> de </w:t>
    </w:r>
    <w:r w:rsidDel="00000000" w:rsidR="00000000" w:rsidRPr="00000000">
      <w:rPr>
        <w:rFonts w:ascii="Times New Roman" w:cs="Times New Roman" w:eastAsia="Times New Roman" w:hAnsi="Times New Roman"/>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VOTO PARTICULAR CONCURRENTE</w:t>
    </w:r>
    <w:r w:rsidDel="00000000" w:rsidR="00000000" w:rsidRPr="00000000">
      <w:drawing>
        <wp:anchor allowOverlap="1" behindDoc="1" distB="0" distT="0" distL="0" distR="0" hidden="0" layoutInCell="1" locked="0" relativeHeight="0" simplePos="0">
          <wp:simplePos x="0" y="0"/>
          <wp:positionH relativeFrom="column">
            <wp:posOffset>-1080132</wp:posOffset>
          </wp:positionH>
          <wp:positionV relativeFrom="paragraph">
            <wp:posOffset>-747392</wp:posOffset>
          </wp:positionV>
          <wp:extent cx="7510628" cy="988377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10628" cy="9883775"/>
                  </a:xfrm>
                  <a:prstGeom prst="rect"/>
                  <a:ln/>
                </pic:spPr>
              </pic:pic>
            </a:graphicData>
          </a:graphic>
        </wp:anchor>
      </w:drawing>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Arial" w:cs="Arial" w:eastAsia="Arial" w:hAnsi="Arial"/>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RECURSO DE REVISIÓN 04055/INFOEM/IP/RR/2023</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Palatino Linotype" w:cs="Palatino Linotype" w:eastAsia="Palatino Linotype" w:hAnsi="Palatino Linotype"/>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82" w:hanging="360"/>
      </w:pPr>
      <w:rPr/>
    </w:lvl>
    <w:lvl w:ilvl="1">
      <w:start w:val="1"/>
      <w:numFmt w:val="lowerLetter"/>
      <w:lvlText w:val="%2."/>
      <w:lvlJc w:val="left"/>
      <w:pPr>
        <w:ind w:left="1502" w:hanging="360"/>
      </w:pPr>
      <w:rPr/>
    </w:lvl>
    <w:lvl w:ilvl="2">
      <w:start w:val="1"/>
      <w:numFmt w:val="lowerRoman"/>
      <w:lvlText w:val="%3."/>
      <w:lvlJc w:val="right"/>
      <w:pPr>
        <w:ind w:left="2222" w:hanging="180"/>
      </w:pPr>
      <w:rPr/>
    </w:lvl>
    <w:lvl w:ilvl="3">
      <w:start w:val="1"/>
      <w:numFmt w:val="decimal"/>
      <w:lvlText w:val="%4."/>
      <w:lvlJc w:val="left"/>
      <w:pPr>
        <w:ind w:left="2942" w:hanging="360"/>
      </w:pPr>
      <w:rPr/>
    </w:lvl>
    <w:lvl w:ilvl="4">
      <w:start w:val="1"/>
      <w:numFmt w:val="lowerLetter"/>
      <w:lvlText w:val="%5."/>
      <w:lvlJc w:val="left"/>
      <w:pPr>
        <w:ind w:left="3662" w:hanging="360"/>
      </w:pPr>
      <w:rPr/>
    </w:lvl>
    <w:lvl w:ilvl="5">
      <w:start w:val="1"/>
      <w:numFmt w:val="lowerRoman"/>
      <w:lvlText w:val="%6."/>
      <w:lvlJc w:val="right"/>
      <w:pPr>
        <w:ind w:left="4382" w:hanging="180"/>
      </w:pPr>
      <w:rPr/>
    </w:lvl>
    <w:lvl w:ilvl="6">
      <w:start w:val="1"/>
      <w:numFmt w:val="decimal"/>
      <w:lvlText w:val="%7."/>
      <w:lvlJc w:val="left"/>
      <w:pPr>
        <w:ind w:left="5102" w:hanging="360"/>
      </w:pPr>
      <w:rPr/>
    </w:lvl>
    <w:lvl w:ilvl="7">
      <w:start w:val="1"/>
      <w:numFmt w:val="lowerLetter"/>
      <w:lvlText w:val="%8."/>
      <w:lvlJc w:val="left"/>
      <w:pPr>
        <w:ind w:left="5822" w:hanging="360"/>
      </w:pPr>
      <w:rPr/>
    </w:lvl>
    <w:lvl w:ilvl="8">
      <w:start w:val="1"/>
      <w:numFmt w:val="lowerRoman"/>
      <w:lvlText w:val="%9."/>
      <w:lvlJc w:val="right"/>
      <w:pPr>
        <w:ind w:left="6542" w:hanging="180"/>
      </w:pPr>
      <w:rPr/>
    </w:lvl>
  </w:abstractNum>
  <w:abstractNum w:abstractNumId="4">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EF2C2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F2C28"/>
  </w:style>
  <w:style w:type="paragraph" w:styleId="Piedepgina">
    <w:name w:val="footer"/>
    <w:basedOn w:val="Normal"/>
    <w:link w:val="PiedepginaCar"/>
    <w:uiPriority w:val="99"/>
    <w:unhideWhenUsed w:val="1"/>
    <w:rsid w:val="00EF2C2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C54F93"/>
    <w:pPr>
      <w:spacing w:after="0" w:line="240" w:lineRule="auto"/>
      <w:ind w:left="720"/>
      <w:contextualSpacing w:val="1"/>
    </w:pPr>
    <w:rPr>
      <w:rFonts w:ascii="Century Gothic" w:cs="Times New Roman" w:eastAsia="Times New Roman" w:hAnsi="Century Gothic"/>
      <w:szCs w:val="24"/>
      <w:lang w:eastAsia="es-ES"/>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val="1"/>
    <w:rsid w:val="00C54F93"/>
    <w:rPr>
      <w:rFonts w:ascii="Century Gothic" w:cs="Times New Roman" w:eastAsia="Times New Roman" w:hAnsi="Century Gothic"/>
      <w:szCs w:val="24"/>
      <w:lang w:eastAsia="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4jDGqcesZofpQ/UlvdhV3gf3pA==">CgMxLjAyCGguZ2pkZ3hzMghoLnR5amN3dDIJaC4zMGowemxsMgloLjNkeTZ2a20yCWguMXQzaDVzZjIJaC4zem55c2g3MgloLjFmb2I5dGU4AHIhMXRmalRZV21wM0hhT2tReXBWckIzZGl0UDhIbUtJdUJo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2024-02-09T16:11:00Z</dcterms:created>
  <dc:creator>USUARIO</dc:creator>
</cp:coreProperties>
</file>