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AC" w:rsidRDefault="002A199C">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w:t>
      </w:r>
      <w:bookmarkStart w:id="1" w:name="_GoBack"/>
      <w:bookmarkEnd w:id="1"/>
      <w:r>
        <w:rPr>
          <w:rFonts w:ascii="Palatino Linotype" w:eastAsia="Palatino Linotype" w:hAnsi="Palatino Linotype" w:cs="Palatino Linotype"/>
          <w:b/>
        </w:rPr>
        <w:t xml:space="preserve">ÉXICO Y MUNICIPIOS, EN LA DÉCIMA PRIMERA SESIÓN ORDINARIA DEL TRES DE ABRIL DE DOS MIL VEINTICUATRO, EN EL RECURSO DE REVISIÓN 02316/INFOEM/IP/RR/2023. </w:t>
      </w:r>
    </w:p>
    <w:p w:rsidR="00C244AC" w:rsidRDefault="00C244AC">
      <w:pPr>
        <w:spacing w:after="0" w:line="360" w:lineRule="auto"/>
        <w:jc w:val="both"/>
        <w:rPr>
          <w:rFonts w:ascii="Palatino Linotype" w:eastAsia="Palatino Linotype" w:hAnsi="Palatino Linotype" w:cs="Palatino Linotype"/>
          <w:b/>
        </w:rPr>
      </w:pPr>
    </w:p>
    <w:p w:rsidR="00C244AC" w:rsidRDefault="002A199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02316/INFOEM/IP/RR/2023, </w:t>
      </w:r>
      <w:r>
        <w:rPr>
          <w:rFonts w:ascii="Palatino Linotype" w:eastAsia="Palatino Linotype" w:hAnsi="Palatino Linotype" w:cs="Palatino Linotype"/>
        </w:rPr>
        <w:t>pronunciada por el Pleno de este Instituto ante el proyecto presentado por el Comisionado Luis Gustavo Parra Noriega, el cual se formuló al tenor siguiente:</w:t>
      </w:r>
    </w:p>
    <w:p w:rsidR="00C244AC" w:rsidRDefault="00C244AC">
      <w:pPr>
        <w:spacing w:after="0" w:line="360" w:lineRule="auto"/>
        <w:jc w:val="both"/>
        <w:rPr>
          <w:rFonts w:ascii="Palatino Linotype" w:eastAsia="Palatino Linotype" w:hAnsi="Palatino Linotype" w:cs="Palatino Linotype"/>
          <w:b/>
        </w:rPr>
      </w:pPr>
    </w:p>
    <w:p w:rsidR="00C244AC" w:rsidRDefault="002A199C">
      <w:pPr>
        <w:numPr>
          <w:ilvl w:val="0"/>
          <w:numId w:val="3"/>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C244AC" w:rsidRDefault="00C244AC">
      <w:pPr>
        <w:spacing w:after="0" w:line="360" w:lineRule="auto"/>
        <w:ind w:left="142"/>
        <w:jc w:val="both"/>
        <w:rPr>
          <w:rFonts w:ascii="Palatino Linotype" w:eastAsia="Palatino Linotype" w:hAnsi="Palatino Linotype" w:cs="Palatino Linotype"/>
          <w:b/>
        </w:rPr>
      </w:pPr>
    </w:p>
    <w:p w:rsidR="00C244AC" w:rsidRDefault="002A199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240" w:lineRule="auto"/>
        <w:ind w:left="284" w:right="335"/>
        <w:jc w:val="both"/>
        <w:rPr>
          <w:rFonts w:ascii="Palatino Linotype" w:eastAsia="Palatino Linotype" w:hAnsi="Palatino Linotype" w:cs="Palatino Linotype"/>
          <w:i/>
        </w:rPr>
      </w:pPr>
      <w:r>
        <w:rPr>
          <w:rFonts w:ascii="Palatino Linotype" w:eastAsia="Palatino Linotype" w:hAnsi="Palatino Linotype" w:cs="Palatino Linotype"/>
          <w:i/>
        </w:rPr>
        <w:t>“recibos de nomina de todos los servidores públicos del ayuntamiento del periodo 1 de marzo al 14 de marzo del 2023” (Sic).</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través de su Titular de la Tesorería Municipal, informó el cambio de modalidad a consulta directa toda vez que se trata de subir 17,500 fojas, lo cual sobrepasa las </w:t>
      </w:r>
      <w:r>
        <w:rPr>
          <w:rFonts w:ascii="Palatino Linotype" w:eastAsia="Palatino Linotype" w:hAnsi="Palatino Linotype" w:cs="Palatino Linotype"/>
        </w:rPr>
        <w:lastRenderedPageBreak/>
        <w:t xml:space="preserve">capacidades técnicas del sistema SAIMEX, asimismo, se adjuntó el oficio número INFOEM/DGI/344/2023, donde quedó registrada la incidencia y el Acuerdo del Comité de Transparencia donde se aprobó el cambio de modalidad de la entrega de la información. </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en lo medular por la negativa a la información solicitada.</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mediante informe justificado,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ratificó su respuesta inicial. </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en atención al requerimiento de información adicional suscrito por el Comisionado Ponente, de conformidad con los artículos 14, fracciones I, II, V y XVI, del Reglamento Interior del Instituto de Transparencia, Acceso a la Información Pública y Protección de Datos Personales del Estado de México y Municipios,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dio atención en los siguientes términos:</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p>
    <w:p w:rsidR="00C244AC" w:rsidRDefault="002A199C">
      <w:pPr>
        <w:numPr>
          <w:ilvl w:val="3"/>
          <w:numId w:val="3"/>
        </w:numPr>
        <w:pBdr>
          <w:top w:val="nil"/>
          <w:left w:val="nil"/>
          <w:bottom w:val="nil"/>
          <w:right w:val="nil"/>
          <w:between w:val="nil"/>
        </w:pBdr>
        <w:spacing w:after="0" w:line="240" w:lineRule="auto"/>
        <w:ind w:left="1276"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Número total de recibos de nómina de la primera quincena de marzo de dos mil veintitrés; </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Respuesta: En la primera quincena de marzo de dos mil veintitrés son 772 (setecientos setenta y dos) recibos de nómina.</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2.</w:t>
      </w:r>
      <w:r>
        <w:rPr>
          <w:rFonts w:ascii="Palatino Linotype" w:eastAsia="Palatino Linotype" w:hAnsi="Palatino Linotype" w:cs="Palatino Linotype"/>
          <w:i/>
        </w:rPr>
        <w:tab/>
        <w:t>Número total de servidores públicos adscritos al Ayuntamiento, durante la quincena mencionada;</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Respuesta: En la primera quincena de marzo de dos mil veintitrés son 772 (setecientos setenta y dos) servidores públicos.</w:t>
      </w:r>
    </w:p>
    <w:p w:rsidR="00C244AC" w:rsidRDefault="00C244AC">
      <w:pPr>
        <w:spacing w:after="0" w:line="240" w:lineRule="auto"/>
        <w:ind w:left="851" w:right="706"/>
        <w:jc w:val="both"/>
        <w:rPr>
          <w:rFonts w:ascii="Palatino Linotype" w:eastAsia="Palatino Linotype" w:hAnsi="Palatino Linotype" w:cs="Palatino Linotype"/>
          <w:i/>
        </w:rPr>
      </w:pP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Respecto al punto 1 y 2 es importante mencionar que en la respuesta de inicio se solicitó la acumulación de las siguientes solicitudes:</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Fue por estos motivos que en su momento se solicitó y aprobó la acumulación de las solicitudes antes descritas, ya que son solicitudes de información sobre el mismo tipo de documentos y se requería el procesamiento de estos documentos para la elaboración de la versión pública, de aproximadamente 17, 500 (diecisiete mil quinientos) recibos de nómina, por tal razón al ser aprobada la acumulación se realizó el cambio de modalidad debido al alto volumen de documentos que tenían que ser procesados para la elaboración de la versión pública, poniendo a disposición para el solicitante la información para su consulta directa. </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3.</w:t>
      </w:r>
      <w:r>
        <w:rPr>
          <w:rFonts w:ascii="Palatino Linotype" w:eastAsia="Palatino Linotype" w:hAnsi="Palatino Linotype" w:cs="Palatino Linotype"/>
          <w:i/>
        </w:rPr>
        <w:tab/>
        <w:t>Si, presentó la incidencia ante la Dirección General de Informática de este Instituto o al correo nelson.correa@infoem.org.mx;</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Por lo que respecta al punto 3, me permito informar que en atención a la solicitud de la Tesorería Municipal realizada mediante oficio TMA/STE/277/04/2023, en fecha 21 de abril del 2023, mediante oficio PM/UT/0166/2023 se presentó la incidencia ante la Dirección General de Informática del INFOEM, por lo que en fecha 21 de abril de 2023 se notificó a esta Unida de Transparencia el oficio no. INFOEM/DGI/344/2023 signado por el Director General de Informática del INFOEM, mediante el cual se informa que dicha incidencia técnica quedó registrada en la bitácora de incidencias.</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p>
    <w:p w:rsidR="00C244AC" w:rsidRDefault="002A199C">
      <w:pPr>
        <w:spacing w:after="0" w:line="24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4.</w:t>
      </w:r>
      <w:r>
        <w:rPr>
          <w:rFonts w:ascii="Palatino Linotype" w:eastAsia="Palatino Linotype" w:hAnsi="Palatino Linotype" w:cs="Palatino Linotype"/>
          <w:i/>
        </w:rPr>
        <w:tab/>
        <w:t>Si, los documentos contienen información clasificada en términos de la Ley de Transparencia y Acceso a la Información Pública del Estado de México y de Municipios; en caso, afirmativo precise de manera general los datos o información que actualizan dicho supuesto y el fundamento legal de su clasificación.</w:t>
      </w:r>
    </w:p>
    <w:p w:rsidR="00C244AC" w:rsidRDefault="002A199C">
      <w:pPr>
        <w:spacing w:after="0" w:line="240" w:lineRule="auto"/>
        <w:ind w:left="851" w:right="706"/>
        <w:jc w:val="both"/>
        <w:rPr>
          <w:rFonts w:ascii="Palatino Linotype" w:eastAsia="Palatino Linotype" w:hAnsi="Palatino Linotype" w:cs="Palatino Linotype"/>
          <w:sz w:val="24"/>
          <w:szCs w:val="24"/>
        </w:rPr>
      </w:pPr>
      <w:r>
        <w:rPr>
          <w:rFonts w:ascii="Palatino Linotype" w:eastAsia="Palatino Linotype" w:hAnsi="Palatino Linotype" w:cs="Palatino Linotype"/>
          <w:i/>
        </w:rPr>
        <w:t>Respuesta: Si, los recibos de nómina contienen datos considerados como información confidencial y reservada …” (Sic)</w:t>
      </w:r>
    </w:p>
    <w:p w:rsidR="00C244AC" w:rsidRDefault="00C244AC">
      <w:pPr>
        <w:spacing w:after="0" w:line="360" w:lineRule="auto"/>
        <w:jc w:val="both"/>
        <w:rPr>
          <w:rFonts w:ascii="Palatino Linotype" w:eastAsia="Palatino Linotype" w:hAnsi="Palatino Linotype" w:cs="Palatino Linotype"/>
        </w:rPr>
      </w:pPr>
    </w:p>
    <w:p w:rsidR="00C244AC" w:rsidRDefault="002A199C">
      <w:pPr>
        <w:spacing w:after="0" w:line="360" w:lineRule="auto"/>
        <w:ind w:right="-6"/>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Así las cosas, el Comisionado Ponente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C244AC" w:rsidRDefault="00C244AC">
      <w:pPr>
        <w:spacing w:after="0" w:line="360" w:lineRule="auto"/>
        <w:ind w:right="-6"/>
        <w:jc w:val="both"/>
        <w:rPr>
          <w:rFonts w:ascii="Palatino Linotype" w:eastAsia="Palatino Linotype" w:hAnsi="Palatino Linotype" w:cs="Palatino Linotype"/>
        </w:rPr>
      </w:pPr>
    </w:p>
    <w:p w:rsidR="00C244AC" w:rsidRDefault="002A199C">
      <w:pPr>
        <w:spacing w:after="0" w:line="240" w:lineRule="auto"/>
        <w:ind w:left="567" w:right="423"/>
        <w:jc w:val="both"/>
        <w:rPr>
          <w:rFonts w:ascii="Palatino Linotype" w:eastAsia="Palatino Linotype" w:hAnsi="Palatino Linotype" w:cs="Palatino Linotype"/>
          <w:i/>
        </w:rPr>
      </w:pPr>
      <w:r>
        <w:rPr>
          <w:rFonts w:ascii="Palatino Linotype" w:eastAsia="Palatino Linotype" w:hAnsi="Palatino Linotype" w:cs="Palatino Linotype"/>
          <w:b/>
          <w:i/>
          <w:color w:val="0D0D0D"/>
        </w:rPr>
        <w:lastRenderedPageBreak/>
        <w:t>“…</w:t>
      </w: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al Sujeto Obligado a efecto de que previa búsqueda exhaustiva y razonable, en los archivos de las unidades administrativas competentes, entregue a través del Sistema de Acceso a la Información Mexiquense (SAIMEX), en versión pública, lo siguiente:</w:t>
      </w:r>
    </w:p>
    <w:p w:rsidR="00C244AC" w:rsidRDefault="00C244AC">
      <w:pPr>
        <w:spacing w:after="0" w:line="240" w:lineRule="auto"/>
        <w:ind w:left="567" w:right="423"/>
        <w:jc w:val="both"/>
        <w:rPr>
          <w:rFonts w:ascii="Palatino Linotype" w:eastAsia="Palatino Linotype" w:hAnsi="Palatino Linotype" w:cs="Palatino Linotype"/>
          <w:i/>
        </w:rPr>
      </w:pPr>
    </w:p>
    <w:p w:rsidR="00C244AC" w:rsidRDefault="002A199C">
      <w:pPr>
        <w:numPr>
          <w:ilvl w:val="0"/>
          <w:numId w:val="1"/>
        </w:numPr>
        <w:pBdr>
          <w:top w:val="nil"/>
          <w:left w:val="nil"/>
          <w:bottom w:val="nil"/>
          <w:right w:val="nil"/>
          <w:between w:val="nil"/>
        </w:pBdr>
        <w:spacing w:after="0" w:line="240" w:lineRule="auto"/>
        <w:ind w:right="42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Los recibos de nómina de todos los servidores públicos adscritos al Ayuntamiento, de la primera quincena de marzo de dos mil veintitrés. </w:t>
      </w:r>
    </w:p>
    <w:p w:rsidR="00C244AC" w:rsidRDefault="00C244AC">
      <w:pPr>
        <w:spacing w:after="0" w:line="240" w:lineRule="auto"/>
        <w:ind w:left="567" w:right="423"/>
        <w:jc w:val="both"/>
        <w:rPr>
          <w:rFonts w:ascii="Palatino Linotype" w:eastAsia="Palatino Linotype" w:hAnsi="Palatino Linotype" w:cs="Palatino Linotype"/>
          <w:i/>
        </w:rPr>
      </w:pPr>
    </w:p>
    <w:p w:rsidR="00C244AC" w:rsidRDefault="002A199C">
      <w:pPr>
        <w:spacing w:after="0" w:line="240" w:lineRule="auto"/>
        <w:ind w:left="567" w:right="423"/>
        <w:jc w:val="both"/>
        <w:rPr>
          <w:rFonts w:ascii="Palatino Linotype" w:eastAsia="Palatino Linotype" w:hAnsi="Palatino Linotype" w:cs="Palatino Linotype"/>
          <w:i/>
        </w:rPr>
      </w:pPr>
      <w:r>
        <w:rPr>
          <w:rFonts w:ascii="Palatino Linotype" w:eastAsia="Palatino Linotype" w:hAnsi="Palatino Linotype" w:cs="Palatino Linotype"/>
          <w:i/>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rsidR="00C244AC" w:rsidRDefault="002A199C">
      <w:pPr>
        <w:spacing w:after="0" w:line="240" w:lineRule="auto"/>
        <w:ind w:left="567" w:right="423"/>
        <w:jc w:val="both"/>
        <w:rPr>
          <w:rFonts w:ascii="Palatino Linotype" w:eastAsia="Palatino Linotype" w:hAnsi="Palatino Linotype" w:cs="Palatino Linotype"/>
          <w:i/>
          <w:color w:val="000000"/>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(Sic)</w:t>
      </w:r>
    </w:p>
    <w:p w:rsidR="00C244AC" w:rsidRDefault="00C244AC">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C244AC" w:rsidRDefault="002A199C">
      <w:pPr>
        <w:numPr>
          <w:ilvl w:val="0"/>
          <w:numId w:val="3"/>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C244AC" w:rsidRDefault="00C244AC">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C244AC" w:rsidRDefault="002A199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de ideas, resulta importante señalar que coincido con los términos generales planteados en la Resolución; toda vez que por regla general, lo</w:t>
      </w:r>
      <w:r>
        <w:rPr>
          <w:rFonts w:ascii="Palatino Linotype" w:eastAsia="Palatino Linotype" w:hAnsi="Palatino Linotype" w:cs="Palatino Linotype"/>
        </w:rPr>
        <w:t xml:space="preserve">s nombres de </w:t>
      </w:r>
      <w:r>
        <w:rPr>
          <w:rFonts w:ascii="Palatino Linotype" w:eastAsia="Palatino Linotype" w:hAnsi="Palatino Linotype" w:cs="Palatino Linotype"/>
          <w:color w:val="000000"/>
        </w:rPr>
        <w:t xml:space="preserve">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las remuneraciones de personal que se encuentra adscrito a instituciones de seguridad pública con funciones operativas, en atención a los consideraciones que a continuación se exponen. </w:t>
      </w:r>
    </w:p>
    <w:p w:rsidR="00C244AC" w:rsidRDefault="00C244A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C244AC" w:rsidRDefault="002A199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w:t>
      </w:r>
      <w:r>
        <w:rPr>
          <w:rFonts w:ascii="Palatino Linotype" w:eastAsia="Palatino Linotype" w:hAnsi="Palatino Linotype" w:cs="Palatino Linotype"/>
          <w:color w:val="000000"/>
        </w:rPr>
        <w:lastRenderedPageBreak/>
        <w:t xml:space="preserve">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profesionalismo, honradez y respeto a los derechos humanos.</w:t>
      </w:r>
    </w:p>
    <w:p w:rsidR="00C244AC" w:rsidRDefault="00C244A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C244AC" w:rsidRDefault="002A199C">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C244AC" w:rsidRDefault="00C244AC">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C244AC" w:rsidRDefault="00C244A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C244AC" w:rsidRDefault="002A199C">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C244AC" w:rsidRDefault="00C244AC">
      <w:pPr>
        <w:pBdr>
          <w:top w:val="nil"/>
          <w:left w:val="nil"/>
          <w:bottom w:val="nil"/>
          <w:right w:val="nil"/>
          <w:between w:val="nil"/>
        </w:pBdr>
        <w:spacing w:after="0" w:line="360" w:lineRule="auto"/>
        <w:jc w:val="both"/>
        <w:rPr>
          <w:rFonts w:ascii="Palatino Linotype" w:eastAsia="Palatino Linotype" w:hAnsi="Palatino Linotype" w:cs="Palatino Linotype"/>
        </w:rPr>
      </w:pP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C244AC" w:rsidRDefault="002A199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C244AC" w:rsidRDefault="002A199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C244AC" w:rsidRDefault="002A199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C244AC" w:rsidRDefault="00C244AC">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b/>
          <w:i/>
          <w:u w:val="single"/>
        </w:rPr>
      </w:pP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C244AC" w:rsidRDefault="002A199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“Artículo 113. Como información reservada podrá clasificarse aquella cuya publicación: </w:t>
      </w:r>
    </w:p>
    <w:p w:rsidR="00C244AC" w:rsidRDefault="002A199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Comprometa la seguridad nacional, la seguridad pública o la defensa nacional y cuente con un propósito genuino y un efecto demostrable;</w:t>
      </w:r>
    </w:p>
    <w:p w:rsidR="00C244AC" w:rsidRDefault="002A199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rsidR="00C244AC" w:rsidRDefault="002A199C">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140. El acceso a la información pública será restringido excepcionalmente, cuando por razones de interés público, ésta sea clasificada como reservada, conforme a los criterios siguientes: </w:t>
      </w:r>
    </w:p>
    <w:p w:rsidR="00C244AC" w:rsidRDefault="002A199C">
      <w:pPr>
        <w:numPr>
          <w:ilvl w:val="0"/>
          <w:numId w:val="2"/>
        </w:numPr>
        <w:pBdr>
          <w:top w:val="nil"/>
          <w:left w:val="nil"/>
          <w:bottom w:val="nil"/>
          <w:right w:val="nil"/>
          <w:between w:val="nil"/>
        </w:pBdr>
        <w:tabs>
          <w:tab w:val="left" w:pos="284"/>
        </w:tabs>
        <w:spacing w:after="0" w:line="240" w:lineRule="auto"/>
        <w:ind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Comprometa la seguridad pública y cuente con un propósito genuino y un efecto demostrable…” (Sic)</w:t>
      </w:r>
    </w:p>
    <w:p w:rsidR="00C244AC" w:rsidRDefault="00C244AC">
      <w:pPr>
        <w:pBdr>
          <w:top w:val="nil"/>
          <w:left w:val="nil"/>
          <w:bottom w:val="nil"/>
          <w:right w:val="nil"/>
          <w:between w:val="nil"/>
        </w:pBdr>
        <w:spacing w:after="120" w:line="360" w:lineRule="auto"/>
        <w:jc w:val="both"/>
        <w:rPr>
          <w:rFonts w:ascii="Palatino Linotype" w:eastAsia="Palatino Linotype" w:hAnsi="Palatino Linotype" w:cs="Palatino Linotype"/>
        </w:rPr>
      </w:pP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los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w:t>
      </w:r>
      <w:r>
        <w:rPr>
          <w:rFonts w:ascii="Palatino Linotype" w:eastAsia="Palatino Linotype" w:hAnsi="Palatino Linotype" w:cs="Palatino Linotype"/>
        </w:rPr>
        <w:lastRenderedPageBreak/>
        <w:t>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C244AC" w:rsidRDefault="002A199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C244AC" w:rsidRDefault="002A199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C244AC" w:rsidRDefault="002A199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C244AC" w:rsidRDefault="002A199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C244AC" w:rsidRDefault="002A199C">
      <w:pPr>
        <w:spacing w:before="240" w:after="240" w:line="360" w:lineRule="auto"/>
        <w:ind w:right="-3"/>
        <w:jc w:val="both"/>
        <w:rPr>
          <w:rFonts w:ascii="Palatino Linotype" w:eastAsia="Palatino Linotype" w:hAnsi="Palatino Linotype" w:cs="Palatino Linotype"/>
          <w:highlight w:val="yellow"/>
        </w:rPr>
      </w:pPr>
      <w:r>
        <w:rPr>
          <w:rFonts w:ascii="Palatino Linotype" w:eastAsia="Palatino Linotype" w:hAnsi="Palatino Linotype" w:cs="Palatino Linotype"/>
        </w:rPr>
        <w:lastRenderedPageBreak/>
        <w:t>2. Existe una relación causal general entre la entrega de la información y la afectación a la seguridad pública, pues los grupos criminales estarían en posibilidad de obstaculizar o bloquear actividades encaminadas a preservar el orden dentro de la dinámica social.</w:t>
      </w:r>
    </w:p>
    <w:p w:rsidR="00C244AC" w:rsidRDefault="002A199C">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C244AC" w:rsidRDefault="002A199C">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 la fecha de la solicitud, aunado a que no se hace una distinción entre el número de personal operativo y administrativo. </w:t>
      </w:r>
    </w:p>
    <w:p w:rsidR="00C244AC" w:rsidRDefault="002A199C">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dicha información se revela el número de servidores públicos operativos con funciones de seguridad pública activos en el Sujeto obligado; información con la que se da a conocer el estado de fuerza y la capacidad de reacción del órgano público.</w:t>
      </w:r>
    </w:p>
    <w:p w:rsidR="00C244AC" w:rsidRDefault="002A199C">
      <w:pPr>
        <w:spacing w:before="240" w:after="240" w:line="360" w:lineRule="auto"/>
        <w:jc w:val="both"/>
        <w:rPr>
          <w:rFonts w:ascii="Palatino Linotype" w:eastAsia="Palatino Linotype" w:hAnsi="Palatino Linotype" w:cs="Palatino Linotype"/>
        </w:rPr>
      </w:pPr>
      <w:bookmarkStart w:id="5" w:name="_heading=h.jjcdfz331x30" w:colFirst="0" w:colLast="0"/>
      <w:bookmarkEnd w:id="5"/>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w:t>
      </w:r>
      <w:r>
        <w:rPr>
          <w:rFonts w:ascii="Palatino Linotype" w:eastAsia="Palatino Linotype" w:hAnsi="Palatino Linotype" w:cs="Palatino Linotype"/>
        </w:rPr>
        <w:lastRenderedPageBreak/>
        <w:t>sueldos, pues en este soporte se asientan los puestos funcionales y las re</w:t>
      </w:r>
      <w:r w:rsidRPr="00F15B54">
        <w:rPr>
          <w:rFonts w:ascii="Palatino Linotype" w:eastAsia="Palatino Linotype" w:hAnsi="Palatino Linotype" w:cs="Palatino Linotype"/>
        </w:rPr>
        <w:t>muneraciones, lo anterior encuentra sustento en el Instructivo del módulo 4 para la entrega del informe trimestral 2023, en dicho</w:t>
      </w:r>
      <w:r>
        <w:rPr>
          <w:rFonts w:ascii="Palatino Linotype" w:eastAsia="Palatino Linotype" w:hAnsi="Palatino Linotype" w:cs="Palatino Linotype"/>
        </w:rPr>
        <w:t xml:space="preserve"> documento obran los siguientes elementos: </w:t>
      </w:r>
    </w:p>
    <w:p w:rsidR="00C244AC" w:rsidRDefault="00F15B54">
      <w:pPr>
        <w:spacing w:before="240" w:after="240" w:line="360" w:lineRule="auto"/>
        <w:ind w:right="139"/>
        <w:jc w:val="both"/>
      </w:pPr>
      <w:bookmarkStart w:id="6" w:name="_heading=h.2et92p0" w:colFirst="0" w:colLast="0"/>
      <w:bookmarkEnd w:id="6"/>
      <w:r w:rsidRPr="00E45EF3">
        <w:rPr>
          <w:rFonts w:ascii="Palatino Linotype" w:eastAsia="Palatino Linotype" w:hAnsi="Palatino Linotype" w:cs="Palatino Linotype"/>
          <w:noProof/>
        </w:rPr>
        <w:drawing>
          <wp:inline distT="0" distB="0" distL="0" distR="0" wp14:anchorId="67A77297" wp14:editId="1DE400F2">
            <wp:extent cx="5527675" cy="5057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7675" cy="5057775"/>
                    </a:xfrm>
                    <a:prstGeom prst="rect">
                      <a:avLst/>
                    </a:prstGeom>
                  </pic:spPr>
                </pic:pic>
              </a:graphicData>
            </a:graphic>
          </wp:inline>
        </w:drawing>
      </w:r>
    </w:p>
    <w:p w:rsidR="00F15B54" w:rsidRDefault="00F15B54">
      <w:pPr>
        <w:spacing w:before="240" w:after="240" w:line="360" w:lineRule="auto"/>
        <w:ind w:right="139"/>
        <w:jc w:val="both"/>
      </w:pPr>
      <w:r w:rsidRPr="00E45EF3">
        <w:rPr>
          <w:rFonts w:ascii="Palatino Linotype" w:eastAsia="Palatino Linotype" w:hAnsi="Palatino Linotype" w:cs="Palatino Linotype"/>
          <w:noProof/>
        </w:rPr>
        <w:lastRenderedPageBreak/>
        <w:drawing>
          <wp:inline distT="0" distB="0" distL="0" distR="0" wp14:anchorId="2863DF85" wp14:editId="1A82CC22">
            <wp:extent cx="5442509" cy="2570683"/>
            <wp:effectExtent l="0" t="0" r="635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2963" cy="2589791"/>
                    </a:xfrm>
                    <a:prstGeom prst="rect">
                      <a:avLst/>
                    </a:prstGeom>
                  </pic:spPr>
                </pic:pic>
              </a:graphicData>
            </a:graphic>
          </wp:inline>
        </w:drawing>
      </w:r>
    </w:p>
    <w:p w:rsidR="00C244AC" w:rsidRDefault="002A199C">
      <w:pPr>
        <w:spacing w:before="240" w:after="240" w:line="360" w:lineRule="auto"/>
        <w:ind w:right="139"/>
        <w:jc w:val="both"/>
        <w:rPr>
          <w:rFonts w:ascii="Palatino Linotype" w:eastAsia="Palatino Linotype" w:hAnsi="Palatino Linotype" w:cs="Palatino Linotype"/>
        </w:rPr>
        <w:sectPr w:rsidR="00C244AC">
          <w:headerReference w:type="even" r:id="rId10"/>
          <w:headerReference w:type="default" r:id="rId11"/>
          <w:footerReference w:type="defaul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p w:rsidR="00C244AC" w:rsidRDefault="00C244AC">
      <w:pPr>
        <w:spacing w:after="0" w:line="360" w:lineRule="auto"/>
        <w:ind w:right="139"/>
        <w:jc w:val="both"/>
        <w:rPr>
          <w:rFonts w:ascii="Palatino Linotype" w:eastAsia="Palatino Linotype" w:hAnsi="Palatino Linotype" w:cs="Palatino Linotype"/>
        </w:rPr>
      </w:pPr>
    </w:p>
    <w:sectPr w:rsidR="00C244AC">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77" w:rsidRDefault="003A0177">
      <w:pPr>
        <w:spacing w:after="0" w:line="240" w:lineRule="auto"/>
      </w:pPr>
      <w:r>
        <w:separator/>
      </w:r>
    </w:p>
  </w:endnote>
  <w:endnote w:type="continuationSeparator" w:id="0">
    <w:p w:rsidR="003A0177" w:rsidRDefault="003A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AC" w:rsidRDefault="002A199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94C76">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94C76">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C244AC" w:rsidRDefault="00C244A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AC" w:rsidRDefault="002A199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94C76">
      <w:rPr>
        <w:b/>
        <w:noProof/>
        <w:color w:val="000000"/>
        <w:sz w:val="24"/>
        <w:szCs w:val="24"/>
      </w:rPr>
      <w:t>1</w:t>
    </w:r>
    <w:r>
      <w:rPr>
        <w:b/>
        <w:color w:val="000000"/>
        <w:sz w:val="24"/>
        <w:szCs w:val="24"/>
      </w:rPr>
      <w:fldChar w:fldCharType="end"/>
    </w:r>
    <w:r>
      <w:rPr>
        <w:b/>
        <w:color w:val="000000"/>
        <w:sz w:val="24"/>
        <w:szCs w:val="24"/>
      </w:rPr>
      <w:t>2</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94C76">
      <w:rPr>
        <w:b/>
        <w:noProof/>
        <w:color w:val="000000"/>
        <w:sz w:val="24"/>
        <w:szCs w:val="24"/>
      </w:rPr>
      <w:t>12</w:t>
    </w:r>
    <w:r>
      <w:rPr>
        <w:b/>
        <w:color w:val="000000"/>
        <w:sz w:val="24"/>
        <w:szCs w:val="24"/>
      </w:rPr>
      <w:fldChar w:fldCharType="end"/>
    </w:r>
  </w:p>
  <w:p w:rsidR="00C244AC" w:rsidRDefault="00C244AC">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77" w:rsidRDefault="003A0177">
      <w:pPr>
        <w:spacing w:after="0" w:line="240" w:lineRule="auto"/>
      </w:pPr>
      <w:r>
        <w:separator/>
      </w:r>
    </w:p>
  </w:footnote>
  <w:footnote w:type="continuationSeparator" w:id="0">
    <w:p w:rsidR="003A0177" w:rsidRDefault="003A0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AC" w:rsidRDefault="002A199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42643183" cy="42643183"/>
              <wp:effectExtent l="0" t="0" r="0" b="0"/>
              <wp:wrapNone/>
              <wp:docPr id="237313424" name="Rectángulo 237313424"/>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C244AC" w:rsidRDefault="002A199C">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2643183" cy="42643183"/>
              <wp:effectExtent b="0" l="0" r="0" t="0"/>
              <wp:wrapNone/>
              <wp:docPr id="23731342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2643183" cy="42643183"/>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AC" w:rsidRDefault="002A199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-1115053</wp:posOffset>
          </wp:positionH>
          <wp:positionV relativeFrom="paragraph">
            <wp:posOffset>-433695</wp:posOffset>
          </wp:positionV>
          <wp:extent cx="7510628" cy="9883775"/>
          <wp:effectExtent l="0" t="0" r="0" b="0"/>
          <wp:wrapNone/>
          <wp:docPr id="2373134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244AC" w:rsidRDefault="00C244A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244AC" w:rsidRDefault="00C244A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244AC" w:rsidRDefault="002A199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C244AC" w:rsidRDefault="002A199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highlight w:val="yellow"/>
      </w:rPr>
    </w:pPr>
    <w:r>
      <w:rPr>
        <w:rFonts w:ascii="Palatino Linotype" w:eastAsia="Palatino Linotype" w:hAnsi="Palatino Linotype" w:cs="Palatino Linotype"/>
        <w:b/>
        <w:color w:val="000000"/>
        <w:sz w:val="20"/>
        <w:szCs w:val="20"/>
      </w:rPr>
      <w:t xml:space="preserve">   RECURSOS DE REVISIÓN 02316/INFOEM/IP/RR/</w:t>
    </w:r>
    <w:r>
      <w:rPr>
        <w:rFonts w:ascii="Palatino Linotype" w:eastAsia="Palatino Linotype" w:hAnsi="Palatino Linotype" w:cs="Palatino Linotype"/>
        <w:b/>
        <w:sz w:val="20"/>
        <w:szCs w:val="20"/>
      </w:rPr>
      <w:t>2023</w:t>
    </w:r>
    <w:r>
      <w:rPr>
        <w:rFonts w:ascii="Palatino Linotype" w:eastAsia="Palatino Linotype" w:hAnsi="Palatino Linotype" w:cs="Palatino Linotype"/>
        <w:b/>
        <w:sz w:val="20"/>
        <w:szCs w:val="20"/>
        <w:highlight w:val="yellow"/>
      </w:rPr>
      <w:t xml:space="preserve"> </w:t>
    </w:r>
  </w:p>
  <w:p w:rsidR="00C244AC" w:rsidRDefault="00C244A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AC" w:rsidRDefault="00C244A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244AC" w:rsidRDefault="00C244A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244AC" w:rsidRDefault="00C244A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244AC" w:rsidRDefault="00C244A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5352"/>
    <w:multiLevelType w:val="multilevel"/>
    <w:tmpl w:val="5CB4FF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6B2889"/>
    <w:multiLevelType w:val="multilevel"/>
    <w:tmpl w:val="7958B31E"/>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 w15:restartNumberingAfterBreak="0">
    <w:nsid w:val="75AA4DEB"/>
    <w:multiLevelType w:val="multilevel"/>
    <w:tmpl w:val="DFC2AD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AC"/>
    <w:rsid w:val="002A199C"/>
    <w:rsid w:val="003A0177"/>
    <w:rsid w:val="00B94C76"/>
    <w:rsid w:val="00C244AC"/>
    <w:rsid w:val="00F15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B3E13-5ABE-4B01-8056-71439DA7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6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666"/>
  </w:style>
  <w:style w:type="paragraph" w:styleId="Encabezado">
    <w:name w:val="header"/>
    <w:basedOn w:val="Normal"/>
    <w:link w:val="EncabezadoCar"/>
    <w:uiPriority w:val="99"/>
    <w:unhideWhenUsed/>
    <w:rsid w:val="00D60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666"/>
  </w:style>
  <w:style w:type="table" w:customStyle="1" w:styleId="Tablaconcuadrcula4">
    <w:name w:val="Tabla con cuadrícula4"/>
    <w:basedOn w:val="Tablanormal"/>
    <w:next w:val="Tablaconcuadrcula"/>
    <w:uiPriority w:val="59"/>
    <w:rsid w:val="000158D4"/>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61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618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8m6PoERQry31ftQ1XvF3iT8BA==">CgMxLjAyCGguZ2pkZ3hzMgloLjMwajB6bGwyCWguM3pueXNoNzIJaC4xZm9iOXRlMg5oLmpqY2RmejMzMXgzMDIJaC4yZXQ5MnAwOAByITFadVJPR2NDamtnTXJkSjN3WTBPWU82dzQ4blJ2bXdGeg==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2563</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3</cp:revision>
  <cp:lastPrinted>2024-04-08T16:37:00Z</cp:lastPrinted>
  <dcterms:created xsi:type="dcterms:W3CDTF">2024-04-04T19:37:00Z</dcterms:created>
  <dcterms:modified xsi:type="dcterms:W3CDTF">2024-04-08T16:37:00Z</dcterms:modified>
</cp:coreProperties>
</file>