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5891A26F"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6437C8">
        <w:rPr>
          <w:rFonts w:ascii="Palatino Linotype" w:hAnsi="Palatino Linotype"/>
          <w:b/>
          <w:sz w:val="23"/>
          <w:szCs w:val="23"/>
        </w:rPr>
        <w:t xml:space="preserve">TRIGÉSIMA </w:t>
      </w:r>
      <w:r w:rsidR="009C6B96">
        <w:rPr>
          <w:rFonts w:ascii="Palatino Linotype" w:hAnsi="Palatino Linotype"/>
          <w:b/>
          <w:sz w:val="23"/>
          <w:szCs w:val="23"/>
        </w:rPr>
        <w:t>OCTAV</w:t>
      </w:r>
      <w:r w:rsidR="00A00229">
        <w:rPr>
          <w:rFonts w:ascii="Palatino Linotype" w:hAnsi="Palatino Linotype"/>
          <w:b/>
          <w:sz w:val="23"/>
          <w:szCs w:val="23"/>
        </w:rPr>
        <w:t>A</w:t>
      </w:r>
      <w:r w:rsidR="00F148AD">
        <w:rPr>
          <w:rFonts w:ascii="Palatino Linotype" w:hAnsi="Palatino Linotype"/>
          <w:b/>
          <w:sz w:val="23"/>
          <w:szCs w:val="23"/>
        </w:rPr>
        <w:t xml:space="preserve"> </w:t>
      </w:r>
      <w:r w:rsidR="0019061A" w:rsidRPr="008546EB">
        <w:rPr>
          <w:rFonts w:ascii="Palatino Linotype" w:hAnsi="Palatino Linotype"/>
          <w:b/>
          <w:sz w:val="23"/>
          <w:szCs w:val="23"/>
        </w:rPr>
        <w:t xml:space="preserve">SESIÓN ORDINARIA DEL PLENO DE FECHA </w:t>
      </w:r>
      <w:r w:rsidR="00A00229">
        <w:rPr>
          <w:rFonts w:ascii="Palatino Linotype" w:hAnsi="Palatino Linotype"/>
          <w:b/>
          <w:sz w:val="23"/>
          <w:szCs w:val="23"/>
        </w:rPr>
        <w:t xml:space="preserve">SÉIS DE </w:t>
      </w:r>
      <w:r w:rsidR="009C6B96">
        <w:rPr>
          <w:rFonts w:ascii="Palatino Linotype" w:hAnsi="Palatino Linotype"/>
          <w:b/>
          <w:sz w:val="23"/>
          <w:szCs w:val="23"/>
        </w:rPr>
        <w:t>NOVIEM</w:t>
      </w:r>
      <w:r w:rsidR="00A00229">
        <w:rPr>
          <w:rFonts w:ascii="Palatino Linotype" w:hAnsi="Palatino Linotype"/>
          <w:b/>
          <w:sz w:val="23"/>
          <w:szCs w:val="23"/>
        </w:rPr>
        <w:t>BRE</w:t>
      </w:r>
      <w:r w:rsidR="0019061A" w:rsidRPr="008546EB">
        <w:rPr>
          <w:rFonts w:ascii="Palatino Linotype" w:hAnsi="Palatino Linotype"/>
          <w:b/>
          <w:sz w:val="23"/>
          <w:szCs w:val="23"/>
        </w:rPr>
        <w:t xml:space="preserve"> DE 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9C6B96">
        <w:rPr>
          <w:rFonts w:ascii="Palatino Linotype" w:hAnsi="Palatino Linotype"/>
          <w:b/>
          <w:sz w:val="23"/>
          <w:szCs w:val="23"/>
        </w:rPr>
        <w:t>3424</w:t>
      </w:r>
      <w:r w:rsidR="00E047E0" w:rsidRPr="00E047E0">
        <w:rPr>
          <w:rFonts w:ascii="Palatino Linotype" w:hAnsi="Palatino Linotype"/>
          <w:b/>
          <w:sz w:val="23"/>
          <w:szCs w:val="23"/>
        </w:rPr>
        <w:t>/INFOEM/IP/RR/202</w:t>
      </w:r>
      <w:r w:rsidR="006437C8">
        <w:rPr>
          <w:rFonts w:ascii="Palatino Linotype" w:hAnsi="Palatino Linotype"/>
          <w:b/>
          <w:sz w:val="23"/>
          <w:szCs w:val="23"/>
        </w:rPr>
        <w:t>4</w:t>
      </w:r>
      <w:r w:rsidR="009C6B96">
        <w:rPr>
          <w:rFonts w:ascii="Palatino Linotype" w:hAnsi="Palatino Linotype"/>
          <w:b/>
          <w:sz w:val="23"/>
          <w:szCs w:val="23"/>
        </w:rPr>
        <w:t xml:space="preserve"> Y SU ACUMULADO </w:t>
      </w:r>
      <w:r w:rsidR="009C6B96" w:rsidRPr="009C6B96">
        <w:rPr>
          <w:rFonts w:ascii="Palatino Linotype" w:hAnsi="Palatino Linotype"/>
          <w:b/>
          <w:sz w:val="23"/>
          <w:szCs w:val="23"/>
        </w:rPr>
        <w:t>03425/INFOEM/IP/RR/2024</w:t>
      </w:r>
      <w:r w:rsidR="00A00229">
        <w:rPr>
          <w:rFonts w:ascii="Palatino Linotype" w:hAnsi="Palatino Linotype"/>
          <w:b/>
          <w:sz w:val="23"/>
          <w:szCs w:val="23"/>
        </w:rPr>
        <w:t>.</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1802C5A7"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B3215E">
        <w:rPr>
          <w:rFonts w:ascii="Palatino Linotype" w:hAnsi="Palatino Linotype"/>
          <w:b/>
          <w:sz w:val="23"/>
          <w:szCs w:val="23"/>
        </w:rPr>
        <w:t>3424</w:t>
      </w:r>
      <w:r w:rsidR="00E047E0" w:rsidRPr="00E047E0">
        <w:rPr>
          <w:rFonts w:ascii="Palatino Linotype" w:hAnsi="Palatino Linotype"/>
          <w:b/>
          <w:sz w:val="23"/>
          <w:szCs w:val="23"/>
        </w:rPr>
        <w:t>/INFOEM/IP/RR/202</w:t>
      </w:r>
      <w:r w:rsidR="00285A92">
        <w:rPr>
          <w:rFonts w:ascii="Palatino Linotype" w:hAnsi="Palatino Linotype"/>
          <w:b/>
          <w:sz w:val="23"/>
          <w:szCs w:val="23"/>
        </w:rPr>
        <w:t>4</w:t>
      </w:r>
      <w:r w:rsidR="00B3215E">
        <w:rPr>
          <w:rFonts w:ascii="Palatino Linotype" w:hAnsi="Palatino Linotype"/>
          <w:b/>
          <w:sz w:val="23"/>
          <w:szCs w:val="23"/>
        </w:rPr>
        <w:t xml:space="preserve"> y acumulado</w:t>
      </w:r>
      <w:r w:rsidRPr="008546EB">
        <w:rPr>
          <w:rFonts w:ascii="Palatino Linotype" w:hAnsi="Palatino Linotype"/>
          <w:sz w:val="23"/>
          <w:szCs w:val="23"/>
        </w:rPr>
        <w:t xml:space="preserve">, pronunciada por el Pleno de este Instituto ante el proyecto presentado por </w:t>
      </w:r>
      <w:r w:rsidR="0039658D">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9658D">
        <w:rPr>
          <w:rFonts w:ascii="Palatino Linotype" w:hAnsi="Palatino Linotype"/>
          <w:b/>
          <w:sz w:val="23"/>
          <w:szCs w:val="23"/>
        </w:rPr>
        <w:t>a</w:t>
      </w:r>
      <w:r w:rsidRPr="008546EB">
        <w:rPr>
          <w:rFonts w:ascii="Palatino Linotype" w:hAnsi="Palatino Linotype"/>
          <w:b/>
          <w:sz w:val="23"/>
          <w:szCs w:val="23"/>
        </w:rPr>
        <w:t xml:space="preserve"> </w:t>
      </w:r>
      <w:r w:rsidR="00B3215E">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08CCB218" w14:textId="1F2058B5" w:rsidR="00285A92" w:rsidRDefault="00846F0C" w:rsidP="00A00229">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3215E">
        <w:rPr>
          <w:rFonts w:ascii="Palatino Linotype" w:hAnsi="Palatino Linotype"/>
          <w:sz w:val="23"/>
          <w:szCs w:val="23"/>
        </w:rPr>
        <w:t xml:space="preserve">a los </w:t>
      </w:r>
      <w:r w:rsidR="00B3215E" w:rsidRPr="00B3215E">
        <w:rPr>
          <w:rFonts w:ascii="Palatino Linotype" w:hAnsi="Palatino Linotype"/>
          <w:b/>
          <w:sz w:val="23"/>
          <w:szCs w:val="23"/>
        </w:rPr>
        <w:t>Servicios Educativos Integrados al Estado de México</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A00229">
        <w:rPr>
          <w:rFonts w:ascii="Palatino Linotype" w:hAnsi="Palatino Linotype"/>
          <w:sz w:val="23"/>
          <w:szCs w:val="23"/>
        </w:rPr>
        <w:t xml:space="preserve">de </w:t>
      </w:r>
      <w:r w:rsidR="00B3215E">
        <w:rPr>
          <w:rFonts w:ascii="Palatino Linotype" w:hAnsi="Palatino Linotype"/>
          <w:sz w:val="23"/>
          <w:szCs w:val="23"/>
        </w:rPr>
        <w:t xml:space="preserve">diversos </w:t>
      </w:r>
      <w:r w:rsidR="00A00229" w:rsidRPr="00A00229">
        <w:rPr>
          <w:rFonts w:ascii="Palatino Linotype" w:hAnsi="Palatino Linotype"/>
          <w:sz w:val="23"/>
          <w:szCs w:val="23"/>
        </w:rPr>
        <w:t xml:space="preserve">servidores públicos </w:t>
      </w:r>
      <w:r w:rsidR="00B3215E">
        <w:rPr>
          <w:rFonts w:ascii="Palatino Linotype" w:hAnsi="Palatino Linotype"/>
          <w:sz w:val="23"/>
          <w:szCs w:val="23"/>
        </w:rPr>
        <w:t>la siguiente información:</w:t>
      </w:r>
    </w:p>
    <w:p w14:paraId="36F7C78F" w14:textId="77777777" w:rsidR="00B3215E" w:rsidRDefault="00B3215E" w:rsidP="00A00229">
      <w:pPr>
        <w:spacing w:after="0" w:line="360" w:lineRule="auto"/>
        <w:jc w:val="both"/>
        <w:rPr>
          <w:rFonts w:ascii="Palatino Linotype" w:hAnsi="Palatino Linotype"/>
          <w:sz w:val="23"/>
          <w:szCs w:val="23"/>
        </w:rPr>
      </w:pPr>
    </w:p>
    <w:p w14:paraId="109D7B6B" w14:textId="77777777" w:rsidR="00B3215E" w:rsidRPr="00B3215E" w:rsidRDefault="00B3215E" w:rsidP="00B3215E">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t>Expedientes laborales.</w:t>
      </w:r>
    </w:p>
    <w:p w14:paraId="04947A30" w14:textId="77777777" w:rsidR="00B3215E" w:rsidRPr="00B3215E" w:rsidRDefault="00B3215E" w:rsidP="00B3215E">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t>Formatos Únicos de Personal.</w:t>
      </w:r>
    </w:p>
    <w:p w14:paraId="4F202D66" w14:textId="77777777" w:rsidR="00B3215E" w:rsidRPr="00B3215E" w:rsidRDefault="00B3215E" w:rsidP="00B3215E">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lastRenderedPageBreak/>
        <w:t>Salario</w:t>
      </w:r>
    </w:p>
    <w:p w14:paraId="207A711B" w14:textId="77777777" w:rsidR="00B3215E" w:rsidRPr="00B3215E" w:rsidRDefault="00B3215E" w:rsidP="00B3215E">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t>Oficios de Adscripción.</w:t>
      </w:r>
    </w:p>
    <w:p w14:paraId="1451E47D" w14:textId="77777777" w:rsidR="00B3215E" w:rsidRPr="00B3215E" w:rsidRDefault="00B3215E" w:rsidP="00B3215E">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t>Horario.</w:t>
      </w:r>
    </w:p>
    <w:p w14:paraId="24B7546C" w14:textId="77777777" w:rsidR="00B3215E" w:rsidRPr="00B3215E" w:rsidRDefault="00B3215E" w:rsidP="00B3215E">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t>Registros de asistencia.</w:t>
      </w:r>
    </w:p>
    <w:p w14:paraId="282E71E0" w14:textId="77777777" w:rsidR="00B3215E" w:rsidRPr="00B3215E" w:rsidRDefault="00B3215E" w:rsidP="00B3215E">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t>Funciones.</w:t>
      </w:r>
    </w:p>
    <w:p w14:paraId="5AAF8E71" w14:textId="0EDA6C84" w:rsidR="00B3215E" w:rsidRPr="00B3215E" w:rsidRDefault="00B3215E" w:rsidP="00A00229">
      <w:pPr>
        <w:numPr>
          <w:ilvl w:val="0"/>
          <w:numId w:val="35"/>
        </w:numPr>
        <w:spacing w:after="0" w:line="360" w:lineRule="auto"/>
        <w:jc w:val="both"/>
        <w:rPr>
          <w:rFonts w:ascii="Palatino Linotype" w:hAnsi="Palatino Linotype"/>
          <w:sz w:val="23"/>
          <w:szCs w:val="23"/>
        </w:rPr>
      </w:pPr>
      <w:r w:rsidRPr="00B3215E">
        <w:rPr>
          <w:rFonts w:ascii="Palatino Linotype" w:hAnsi="Palatino Linotype"/>
          <w:sz w:val="23"/>
          <w:szCs w:val="23"/>
        </w:rPr>
        <w:t>Oficios de comisiones sindicales.</w:t>
      </w:r>
    </w:p>
    <w:p w14:paraId="28453A45" w14:textId="43A4152A" w:rsidR="00846F0C" w:rsidRPr="00B835E7" w:rsidRDefault="00846F0C" w:rsidP="00B835E7">
      <w:pPr>
        <w:spacing w:after="0" w:line="360" w:lineRule="auto"/>
        <w:jc w:val="both"/>
        <w:rPr>
          <w:rFonts w:ascii="Palatino Linotype" w:hAnsi="Palatino Linotype"/>
          <w:sz w:val="23"/>
          <w:szCs w:val="23"/>
        </w:rPr>
      </w:pPr>
    </w:p>
    <w:p w14:paraId="6E2E79D2" w14:textId="42D4C118" w:rsidR="00B3215E" w:rsidRPr="00B3215E" w:rsidRDefault="00846F0C" w:rsidP="00B3215E">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B3215E">
        <w:rPr>
          <w:rFonts w:ascii="Palatino Linotype" w:hAnsi="Palatino Linotype"/>
          <w:bCs/>
          <w:sz w:val="23"/>
          <w:szCs w:val="23"/>
          <w:lang w:val="es-ES"/>
        </w:rPr>
        <w:t xml:space="preserve">remitió diversa información tal como, la </w:t>
      </w:r>
      <w:r w:rsidR="00B3215E" w:rsidRPr="00B3215E">
        <w:rPr>
          <w:rFonts w:ascii="Palatino Linotype" w:hAnsi="Palatino Linotype"/>
          <w:bCs/>
          <w:sz w:val="23"/>
          <w:szCs w:val="23"/>
          <w:lang w:val="es-ES"/>
        </w:rPr>
        <w:t xml:space="preserve">Constancia de Situación Fiscal expedida por el Servicio de Administración Tributaria del 22 de junio de 2017, en la que se testaron datos como: QR, RFC, </w:t>
      </w:r>
      <w:proofErr w:type="spellStart"/>
      <w:r w:rsidR="00B3215E" w:rsidRPr="00B3215E">
        <w:rPr>
          <w:rFonts w:ascii="Palatino Linotype" w:hAnsi="Palatino Linotype"/>
          <w:bCs/>
          <w:sz w:val="23"/>
          <w:szCs w:val="23"/>
          <w:lang w:val="es-ES"/>
        </w:rPr>
        <w:t>idCIF</w:t>
      </w:r>
      <w:proofErr w:type="spellEnd"/>
      <w:r w:rsidR="00B3215E" w:rsidRPr="00B3215E">
        <w:rPr>
          <w:rFonts w:ascii="Palatino Linotype" w:hAnsi="Palatino Linotype"/>
          <w:bCs/>
          <w:sz w:val="23"/>
          <w:szCs w:val="23"/>
          <w:lang w:val="es-ES"/>
        </w:rPr>
        <w:t xml:space="preserve">, CURP, fecha de inicio de operaciones, estatus en el padrón, fecha de último cambio, así como datos de </w:t>
      </w:r>
      <w:r w:rsidR="00B3215E">
        <w:rPr>
          <w:rFonts w:ascii="Palatino Linotype" w:hAnsi="Palatino Linotype"/>
          <w:bCs/>
          <w:sz w:val="23"/>
          <w:szCs w:val="23"/>
          <w:lang w:val="es-ES"/>
        </w:rPr>
        <w:t xml:space="preserve">ubicación del domicilio fiscal. La </w:t>
      </w:r>
      <w:r w:rsidR="00B3215E" w:rsidRPr="00B3215E">
        <w:rPr>
          <w:rFonts w:ascii="Palatino Linotype" w:hAnsi="Palatino Linotype"/>
          <w:bCs/>
          <w:sz w:val="23"/>
          <w:szCs w:val="23"/>
          <w:lang w:val="es-ES"/>
        </w:rPr>
        <w:t xml:space="preserve">Constancia de no inhabilitación, en la que se testaron datos como: RFC, así como el resultado de la búsqueda en los registros de procedimientos administrativos y de seguimiento de sanciones, por parte de la Dirección General de Responsabilidades de la Secretaría de la Contraloría, para verificar si puede ocupar o no el empleo, cargo o comisión en el servicio público el servidor público </w:t>
      </w:r>
      <w:r w:rsidR="00B3215E">
        <w:rPr>
          <w:rFonts w:ascii="Palatino Linotype" w:hAnsi="Palatino Linotype"/>
          <w:bCs/>
          <w:sz w:val="23"/>
          <w:szCs w:val="23"/>
          <w:lang w:val="es-ES"/>
        </w:rPr>
        <w:t xml:space="preserve">del que se pide la información. </w:t>
      </w:r>
      <w:r w:rsidR="00B3215E" w:rsidRPr="00B3215E">
        <w:rPr>
          <w:rFonts w:ascii="Palatino Linotype" w:hAnsi="Palatino Linotype"/>
          <w:bCs/>
          <w:sz w:val="23"/>
          <w:szCs w:val="23"/>
          <w:lang w:val="es-ES"/>
        </w:rPr>
        <w:t>Certificado de no antecedentes penales del 27 de junio de 2017, en el que se testó la foto del servidor público, el resultado de la búsqueda en archivos y bases de datos de antecedente penal registrado, además que se ve un poco ilegible que no permite ve</w:t>
      </w:r>
      <w:r w:rsidR="00B3215E">
        <w:rPr>
          <w:rFonts w:ascii="Palatino Linotype" w:hAnsi="Palatino Linotype"/>
          <w:bCs/>
          <w:sz w:val="23"/>
          <w:szCs w:val="23"/>
          <w:lang w:val="es-ES"/>
        </w:rPr>
        <w:t xml:space="preserve">r el documento en su totalidad. </w:t>
      </w:r>
      <w:r w:rsidR="00B3215E" w:rsidRPr="00B3215E">
        <w:rPr>
          <w:rFonts w:ascii="Palatino Linotype" w:hAnsi="Palatino Linotype"/>
          <w:bCs/>
          <w:sz w:val="23"/>
          <w:szCs w:val="23"/>
          <w:lang w:val="es-ES"/>
        </w:rPr>
        <w:t>Constancia de la CURP, donde se testó la clave CURP, fecha de inscripción, folio, entidad de registro, código QR y código de barras.</w:t>
      </w:r>
    </w:p>
    <w:p w14:paraId="08046660" w14:textId="2235FB5C" w:rsidR="00B3215E" w:rsidRPr="00B3215E" w:rsidRDefault="00B3215E" w:rsidP="00B3215E">
      <w:pPr>
        <w:spacing w:after="0" w:line="360" w:lineRule="auto"/>
        <w:ind w:right="-3"/>
        <w:jc w:val="both"/>
        <w:rPr>
          <w:rFonts w:ascii="Palatino Linotype" w:hAnsi="Palatino Linotype"/>
          <w:bCs/>
          <w:sz w:val="23"/>
          <w:szCs w:val="23"/>
          <w:lang w:val="es-ES"/>
        </w:rPr>
      </w:pPr>
      <w:r w:rsidRPr="00B3215E">
        <w:rPr>
          <w:rFonts w:ascii="Palatino Linotype" w:hAnsi="Palatino Linotype"/>
          <w:bCs/>
          <w:sz w:val="23"/>
          <w:szCs w:val="23"/>
          <w:lang w:val="es-ES"/>
        </w:rPr>
        <w:lastRenderedPageBreak/>
        <w:t>Comprobante de domicilio donde se testaron: domicilio, cantidad a pagar, número de servicio, fecha límite de pago, importe de facturación, datos de consumo del servicio.</w:t>
      </w:r>
    </w:p>
    <w:p w14:paraId="6711AFA9" w14:textId="77777777" w:rsidR="00B3215E" w:rsidRDefault="00B3215E" w:rsidP="00B3215E">
      <w:pPr>
        <w:spacing w:after="0" w:line="360" w:lineRule="auto"/>
        <w:ind w:right="-3"/>
        <w:jc w:val="both"/>
        <w:rPr>
          <w:rFonts w:ascii="Palatino Linotype" w:hAnsi="Palatino Linotype"/>
          <w:bCs/>
          <w:sz w:val="23"/>
          <w:szCs w:val="23"/>
          <w:lang w:val="es-ES"/>
        </w:rPr>
      </w:pPr>
    </w:p>
    <w:p w14:paraId="2BD838BC" w14:textId="4053B9F5" w:rsidR="00B3215E" w:rsidRPr="00B3215E" w:rsidRDefault="00B3215E" w:rsidP="00B3215E">
      <w:pPr>
        <w:spacing w:after="0" w:line="360" w:lineRule="auto"/>
        <w:ind w:right="-3"/>
        <w:jc w:val="both"/>
        <w:rPr>
          <w:rFonts w:ascii="Palatino Linotype" w:hAnsi="Palatino Linotype"/>
          <w:bCs/>
          <w:sz w:val="23"/>
          <w:szCs w:val="23"/>
          <w:lang w:val="es-ES"/>
        </w:rPr>
      </w:pPr>
      <w:r w:rsidRPr="00B3215E">
        <w:rPr>
          <w:rFonts w:ascii="Palatino Linotype" w:hAnsi="Palatino Linotype"/>
          <w:bCs/>
          <w:sz w:val="23"/>
          <w:szCs w:val="23"/>
          <w:lang w:val="es-ES"/>
        </w:rPr>
        <w:t>Constancia del filiación donde se testaron datos como: filiación, CURP, fecha de nacimiento, nombre de los padres del servidor público, datos de registro del acta de nacimiento –número, año, foja y libro-, estado civil, así como domicilio, datos de familiares o personas conocidas, descripción del color de piel, cabello, frente, ojos, nariz, boca, señas visibles, así como huellas dactilares.</w:t>
      </w:r>
    </w:p>
    <w:p w14:paraId="2977B6D2" w14:textId="77777777" w:rsidR="00B3215E" w:rsidRDefault="00B3215E" w:rsidP="00B3215E">
      <w:pPr>
        <w:spacing w:after="0" w:line="360" w:lineRule="auto"/>
        <w:ind w:right="-3"/>
        <w:jc w:val="both"/>
        <w:rPr>
          <w:rFonts w:ascii="Palatino Linotype" w:hAnsi="Palatino Linotype"/>
          <w:bCs/>
          <w:sz w:val="23"/>
          <w:szCs w:val="23"/>
          <w:lang w:val="es-ES"/>
        </w:rPr>
      </w:pPr>
    </w:p>
    <w:p w14:paraId="21053F31" w14:textId="1CE21CCD" w:rsidR="00B3215E" w:rsidRPr="00B3215E" w:rsidRDefault="00B3215E" w:rsidP="00B3215E">
      <w:pPr>
        <w:spacing w:after="0" w:line="360" w:lineRule="auto"/>
        <w:ind w:right="-3"/>
        <w:jc w:val="both"/>
        <w:rPr>
          <w:rFonts w:ascii="Palatino Linotype" w:hAnsi="Palatino Linotype"/>
          <w:bCs/>
          <w:sz w:val="23"/>
          <w:szCs w:val="23"/>
          <w:lang w:val="es-ES"/>
        </w:rPr>
      </w:pPr>
      <w:r w:rsidRPr="00B3215E">
        <w:rPr>
          <w:rFonts w:ascii="Palatino Linotype" w:hAnsi="Palatino Linotype"/>
          <w:bCs/>
          <w:sz w:val="23"/>
          <w:szCs w:val="23"/>
          <w:lang w:val="es-ES"/>
        </w:rPr>
        <w:t>Acta de nacimiento, un poco ilegible, en donde sólo se logra apreciar que se testaron datos como: datos de registro, fecha y lugar de nacimiento, datos de los padres, abuelos y testigos, nacionalidad, firmas de testigos, huella dactilar, entre otros.</w:t>
      </w:r>
    </w:p>
    <w:p w14:paraId="03D79CFC" w14:textId="77777777" w:rsidR="00B3215E" w:rsidRDefault="00B3215E" w:rsidP="00B3215E">
      <w:pPr>
        <w:spacing w:after="0" w:line="360" w:lineRule="auto"/>
        <w:ind w:right="-3"/>
        <w:jc w:val="both"/>
        <w:rPr>
          <w:rFonts w:ascii="Palatino Linotype" w:hAnsi="Palatino Linotype"/>
          <w:bCs/>
          <w:sz w:val="23"/>
          <w:szCs w:val="23"/>
          <w:lang w:val="es-ES"/>
        </w:rPr>
      </w:pPr>
    </w:p>
    <w:p w14:paraId="61560BCC" w14:textId="04531EF7" w:rsidR="00B3215E" w:rsidRPr="00B3215E" w:rsidRDefault="00B3215E" w:rsidP="00B3215E">
      <w:pPr>
        <w:spacing w:after="0" w:line="360" w:lineRule="auto"/>
        <w:ind w:right="-3"/>
        <w:jc w:val="both"/>
        <w:rPr>
          <w:rFonts w:ascii="Palatino Linotype" w:hAnsi="Palatino Linotype"/>
          <w:bCs/>
          <w:sz w:val="23"/>
          <w:szCs w:val="23"/>
          <w:lang w:val="es-ES"/>
        </w:rPr>
      </w:pPr>
      <w:r w:rsidRPr="00B3215E">
        <w:rPr>
          <w:rFonts w:ascii="Palatino Linotype" w:hAnsi="Palatino Linotype"/>
          <w:bCs/>
          <w:sz w:val="23"/>
          <w:szCs w:val="23"/>
          <w:lang w:val="es-ES"/>
        </w:rPr>
        <w:t>Certificado de terminación de estudios como Profesional Técnico-Bachiller en Mecatrónica, en el Colegio Nacional de Educación Profesional Técnica, en el que se testó la foto, calificaciones, matrícula y CURP.</w:t>
      </w:r>
    </w:p>
    <w:p w14:paraId="28D98ADD" w14:textId="77777777" w:rsidR="00B3215E" w:rsidRDefault="00B3215E" w:rsidP="00B3215E">
      <w:pPr>
        <w:spacing w:after="0" w:line="360" w:lineRule="auto"/>
        <w:ind w:right="-3"/>
        <w:jc w:val="both"/>
        <w:rPr>
          <w:rFonts w:ascii="Palatino Linotype" w:hAnsi="Palatino Linotype"/>
          <w:bCs/>
          <w:sz w:val="23"/>
          <w:szCs w:val="23"/>
          <w:lang w:val="es-ES"/>
        </w:rPr>
      </w:pPr>
    </w:p>
    <w:p w14:paraId="3D0F7883" w14:textId="60FEC507" w:rsidR="00B3215E" w:rsidRPr="00B3215E" w:rsidRDefault="00B3215E" w:rsidP="00B3215E">
      <w:pPr>
        <w:spacing w:after="0" w:line="360" w:lineRule="auto"/>
        <w:ind w:right="-3"/>
        <w:jc w:val="both"/>
        <w:rPr>
          <w:rFonts w:ascii="Palatino Linotype" w:hAnsi="Palatino Linotype"/>
          <w:bCs/>
          <w:sz w:val="23"/>
          <w:szCs w:val="23"/>
          <w:lang w:val="es-ES"/>
        </w:rPr>
      </w:pPr>
      <w:r w:rsidRPr="00B3215E">
        <w:rPr>
          <w:rFonts w:ascii="Palatino Linotype" w:hAnsi="Palatino Linotype"/>
          <w:bCs/>
          <w:sz w:val="23"/>
          <w:szCs w:val="23"/>
          <w:lang w:val="es-ES"/>
        </w:rPr>
        <w:t>Once Formatos Únicos de Personal del SEIEM de fechas 23 de junio de 2017, 21 de marzo de 2019, 13, 15 y 20 de agosto de 2019, donde se testa el domicilio y otros datos que no se logran visualizar ya que el documento no es completamente legible.</w:t>
      </w:r>
    </w:p>
    <w:p w14:paraId="158F068B" w14:textId="5EF8953B" w:rsidR="00B3215E" w:rsidRPr="00B3215E" w:rsidRDefault="00B3215E" w:rsidP="00B3215E">
      <w:pPr>
        <w:spacing w:after="0" w:line="360" w:lineRule="auto"/>
        <w:ind w:right="-3"/>
        <w:jc w:val="both"/>
        <w:rPr>
          <w:rFonts w:ascii="Palatino Linotype" w:hAnsi="Palatino Linotype"/>
          <w:bCs/>
          <w:sz w:val="23"/>
          <w:szCs w:val="23"/>
          <w:lang w:val="es-ES"/>
        </w:rPr>
      </w:pPr>
      <w:r w:rsidRPr="00B3215E">
        <w:rPr>
          <w:rFonts w:ascii="Palatino Linotype" w:hAnsi="Palatino Linotype"/>
          <w:bCs/>
          <w:sz w:val="23"/>
          <w:szCs w:val="23"/>
          <w:lang w:val="es-ES"/>
        </w:rPr>
        <w:lastRenderedPageBreak/>
        <w:t>Credencial para votar ilegible, donde sólo se logra visualizar que se testaron datos como fotografía, domicilio, fecha de registro, localidad, clave de elector, municipio, firma, entre otros.</w:t>
      </w:r>
    </w:p>
    <w:p w14:paraId="6E89E210" w14:textId="77777777" w:rsidR="00B3215E" w:rsidRDefault="00B3215E" w:rsidP="00B3215E">
      <w:pPr>
        <w:spacing w:after="0" w:line="360" w:lineRule="auto"/>
        <w:ind w:right="-3"/>
        <w:jc w:val="both"/>
        <w:rPr>
          <w:rFonts w:ascii="Palatino Linotype" w:hAnsi="Palatino Linotype"/>
          <w:bCs/>
          <w:sz w:val="23"/>
          <w:szCs w:val="23"/>
          <w:lang w:val="es-ES"/>
        </w:rPr>
      </w:pPr>
    </w:p>
    <w:p w14:paraId="60071E15" w14:textId="790C78F9" w:rsidR="00285A92" w:rsidRDefault="00B3215E" w:rsidP="00B3215E">
      <w:pPr>
        <w:spacing w:after="0" w:line="360" w:lineRule="auto"/>
        <w:ind w:right="-3"/>
        <w:jc w:val="both"/>
        <w:rPr>
          <w:rFonts w:ascii="Palatino Linotype" w:hAnsi="Palatino Linotype"/>
          <w:bCs/>
          <w:sz w:val="23"/>
          <w:szCs w:val="23"/>
          <w:lang w:val="es-ES"/>
        </w:rPr>
      </w:pPr>
      <w:r w:rsidRPr="00B3215E">
        <w:rPr>
          <w:rFonts w:ascii="Palatino Linotype" w:hAnsi="Palatino Linotype"/>
          <w:bCs/>
          <w:sz w:val="23"/>
          <w:szCs w:val="23"/>
          <w:lang w:val="es-ES"/>
        </w:rPr>
        <w:t xml:space="preserve">Nombramiento de </w:t>
      </w:r>
      <w:proofErr w:type="spellStart"/>
      <w:r w:rsidRPr="00B3215E">
        <w:rPr>
          <w:rFonts w:ascii="Palatino Linotype" w:hAnsi="Palatino Linotype"/>
          <w:bCs/>
          <w:sz w:val="23"/>
          <w:szCs w:val="23"/>
          <w:lang w:val="es-ES"/>
        </w:rPr>
        <w:t>basificación</w:t>
      </w:r>
      <w:proofErr w:type="spellEnd"/>
      <w:r w:rsidRPr="00B3215E">
        <w:rPr>
          <w:rFonts w:ascii="Palatino Linotype" w:hAnsi="Palatino Linotype"/>
          <w:bCs/>
          <w:sz w:val="23"/>
          <w:szCs w:val="23"/>
          <w:lang w:val="es-ES"/>
        </w:rPr>
        <w:t xml:space="preserve"> expedida por el Director General del SEIEM, en el que se testó un dato sin advertirse a cual corresponde.</w:t>
      </w:r>
    </w:p>
    <w:p w14:paraId="3AB27886" w14:textId="77777777" w:rsidR="00B3215E" w:rsidRPr="008546EB" w:rsidRDefault="00B3215E" w:rsidP="00B3215E">
      <w:pPr>
        <w:spacing w:after="0" w:line="360" w:lineRule="auto"/>
        <w:ind w:right="-3"/>
        <w:jc w:val="both"/>
        <w:rPr>
          <w:rFonts w:ascii="Palatino Linotype" w:hAnsi="Palatino Linotype"/>
          <w:bCs/>
          <w:sz w:val="23"/>
          <w:szCs w:val="23"/>
          <w:lang w:val="es-ES"/>
        </w:rPr>
      </w:pPr>
    </w:p>
    <w:p w14:paraId="4CEA5552" w14:textId="5FBE30E8"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39658D">
        <w:rPr>
          <w:rFonts w:ascii="Palatino Linotype" w:hAnsi="Palatino Linotype"/>
          <w:sz w:val="23"/>
          <w:szCs w:val="23"/>
        </w:rPr>
        <w:t>la Comisionada</w:t>
      </w:r>
      <w:r>
        <w:rPr>
          <w:rFonts w:ascii="Palatino Linotype" w:hAnsi="Palatino Linotype"/>
          <w:sz w:val="23"/>
          <w:szCs w:val="23"/>
        </w:rPr>
        <w:t xml:space="preserve"> Ponente resolvió </w:t>
      </w:r>
      <w:r w:rsidR="00A00229">
        <w:rPr>
          <w:rFonts w:ascii="Palatino Linotype" w:hAnsi="Palatino Linotype"/>
          <w:b/>
          <w:sz w:val="23"/>
          <w:szCs w:val="23"/>
        </w:rPr>
        <w:t>Modifi</w:t>
      </w:r>
      <w:r w:rsidRPr="00846F0C">
        <w:rPr>
          <w:rFonts w:ascii="Palatino Linotype" w:hAnsi="Palatino Linotype"/>
          <w:b/>
          <w:sz w:val="23"/>
          <w:szCs w:val="23"/>
        </w:rPr>
        <w:t>car</w:t>
      </w:r>
      <w:r>
        <w:rPr>
          <w:rFonts w:ascii="Palatino Linotype" w:hAnsi="Palatino Linotype"/>
          <w:sz w:val="23"/>
          <w:szCs w:val="23"/>
        </w:rPr>
        <w:t xml:space="preserve"> 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0A5C2FAE" w14:textId="7FC18998" w:rsidR="00B3215E" w:rsidRPr="00B3215E" w:rsidRDefault="0019061A" w:rsidP="00B3215E">
      <w:pPr>
        <w:pStyle w:val="Citas"/>
        <w:spacing w:line="240" w:lineRule="auto"/>
        <w:ind w:left="567" w:right="423"/>
        <w:rPr>
          <w:bCs/>
          <w:iCs/>
          <w:color w:val="000000"/>
        </w:rPr>
      </w:pPr>
      <w:r w:rsidRPr="00591F8D">
        <w:t>“</w:t>
      </w:r>
      <w:r w:rsidR="00B3215E" w:rsidRPr="00B3215E">
        <w:rPr>
          <w:b/>
          <w:bCs/>
          <w:iCs/>
          <w:color w:val="000000"/>
        </w:rPr>
        <w:t xml:space="preserve">Segundo. </w:t>
      </w:r>
      <w:r w:rsidR="00B3215E" w:rsidRPr="00B3215E">
        <w:rPr>
          <w:bCs/>
          <w:iCs/>
          <w:color w:val="000000"/>
        </w:rPr>
        <w:t xml:space="preserve">Se </w:t>
      </w:r>
      <w:r w:rsidR="00B3215E" w:rsidRPr="00B3215E">
        <w:rPr>
          <w:b/>
          <w:bCs/>
          <w:iCs/>
          <w:color w:val="000000"/>
        </w:rPr>
        <w:t>ordena</w:t>
      </w:r>
      <w:r w:rsidR="00B3215E" w:rsidRPr="00B3215E">
        <w:rPr>
          <w:bCs/>
          <w:iCs/>
          <w:color w:val="000000"/>
        </w:rPr>
        <w:t xml:space="preserve"> al </w:t>
      </w:r>
      <w:r w:rsidR="00B3215E" w:rsidRPr="00B3215E">
        <w:rPr>
          <w:b/>
          <w:bCs/>
          <w:iCs/>
          <w:color w:val="000000"/>
        </w:rPr>
        <w:t>Sujeto Obligado</w:t>
      </w:r>
      <w:r w:rsidR="00B3215E" w:rsidRPr="00B3215E">
        <w:rPr>
          <w:bCs/>
          <w:iCs/>
          <w:color w:val="000000"/>
        </w:rPr>
        <w:t xml:space="preserve"> que, en términos de los Considerandos </w:t>
      </w:r>
      <w:r w:rsidR="00B3215E" w:rsidRPr="00B3215E">
        <w:rPr>
          <w:b/>
          <w:bCs/>
          <w:iCs/>
          <w:color w:val="000000"/>
        </w:rPr>
        <w:t xml:space="preserve">Cuarto </w:t>
      </w:r>
      <w:r w:rsidR="00B3215E" w:rsidRPr="00B3215E">
        <w:rPr>
          <w:bCs/>
          <w:iCs/>
          <w:color w:val="000000"/>
        </w:rPr>
        <w:t xml:space="preserve">y </w:t>
      </w:r>
      <w:r w:rsidR="00B3215E" w:rsidRPr="00B3215E">
        <w:rPr>
          <w:b/>
          <w:bCs/>
          <w:iCs/>
          <w:color w:val="000000"/>
        </w:rPr>
        <w:t>Quinto</w:t>
      </w:r>
      <w:r w:rsidR="00B3215E" w:rsidRPr="00B3215E">
        <w:rPr>
          <w:bCs/>
          <w:iCs/>
          <w:color w:val="000000"/>
        </w:rPr>
        <w:t>, haga entrega vía Sistema de Acceso a la Información Mexiquense, previa búsqueda exhaustiva y razonable, de ser procedente en versión pública, lo siguiente:</w:t>
      </w:r>
    </w:p>
    <w:p w14:paraId="797060BB" w14:textId="3EC87904" w:rsidR="00B3215E" w:rsidRPr="00B3215E" w:rsidRDefault="00B3215E" w:rsidP="00B3215E">
      <w:pPr>
        <w:pStyle w:val="Citas"/>
        <w:spacing w:line="240" w:lineRule="auto"/>
        <w:ind w:left="567" w:right="423"/>
        <w:rPr>
          <w:bCs/>
          <w:iCs/>
          <w:color w:val="000000"/>
        </w:rPr>
      </w:pPr>
      <w:r w:rsidRPr="00B3215E">
        <w:rPr>
          <w:bCs/>
          <w:iCs/>
          <w:color w:val="000000"/>
        </w:rPr>
        <w:t xml:space="preserve">De los servidores públicos CC. </w:t>
      </w:r>
      <w:proofErr w:type="spellStart"/>
      <w:r w:rsidRPr="00B3215E">
        <w:rPr>
          <w:bCs/>
          <w:iCs/>
          <w:color w:val="000000"/>
        </w:rPr>
        <w:t>Meztli</w:t>
      </w:r>
      <w:proofErr w:type="spellEnd"/>
      <w:r w:rsidRPr="00B3215E">
        <w:rPr>
          <w:bCs/>
          <w:iCs/>
          <w:color w:val="000000"/>
        </w:rPr>
        <w:t xml:space="preserve"> </w:t>
      </w:r>
      <w:proofErr w:type="spellStart"/>
      <w:r w:rsidRPr="00B3215E">
        <w:rPr>
          <w:bCs/>
          <w:iCs/>
          <w:color w:val="000000"/>
        </w:rPr>
        <w:t>Mahentzin</w:t>
      </w:r>
      <w:proofErr w:type="spellEnd"/>
      <w:r w:rsidRPr="00B3215E">
        <w:rPr>
          <w:bCs/>
          <w:iCs/>
          <w:color w:val="000000"/>
        </w:rPr>
        <w:t xml:space="preserve"> Pérez Moreno, Marco Aramis Pérez Moreno, Jesús Alberto Medina Pérez, en funciones al dos de mayo de dos mil veinticuatro, y María Eugenia Pérez Moreno, en funciones al veinticuatro de abril de dos mil veinticuatro</w:t>
      </w:r>
      <w:r w:rsidRPr="00B3215E">
        <w:rPr>
          <w:b/>
          <w:bCs/>
          <w:iCs/>
          <w:color w:val="000000"/>
        </w:rPr>
        <w:t>,</w:t>
      </w:r>
      <w:r w:rsidRPr="00B3215E">
        <w:rPr>
          <w:bCs/>
          <w:iCs/>
          <w:color w:val="000000"/>
        </w:rPr>
        <w:t xml:space="preserve"> los siguientes documentos:</w:t>
      </w:r>
    </w:p>
    <w:p w14:paraId="673BDA25"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Solicitud de empleo de los mencionados servidores públicos;</w:t>
      </w:r>
    </w:p>
    <w:p w14:paraId="7E2CB326"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Información curricular de los mencionados servidores públicos;</w:t>
      </w:r>
    </w:p>
    <w:p w14:paraId="13E1C6B9"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 xml:space="preserve">Certificado de no antecedentes penales del 27 de junio de 2017, de la servidora público C. </w:t>
      </w:r>
      <w:proofErr w:type="spellStart"/>
      <w:r w:rsidRPr="00B3215E">
        <w:rPr>
          <w:b/>
          <w:bCs/>
          <w:iCs/>
          <w:color w:val="000000"/>
        </w:rPr>
        <w:t>Meztli</w:t>
      </w:r>
      <w:proofErr w:type="spellEnd"/>
      <w:r w:rsidRPr="00B3215E">
        <w:rPr>
          <w:b/>
          <w:bCs/>
          <w:iCs/>
          <w:color w:val="000000"/>
        </w:rPr>
        <w:t xml:space="preserve"> </w:t>
      </w:r>
      <w:proofErr w:type="spellStart"/>
      <w:r w:rsidRPr="00B3215E">
        <w:rPr>
          <w:b/>
          <w:bCs/>
          <w:iCs/>
          <w:color w:val="000000"/>
        </w:rPr>
        <w:t>Mahentzin</w:t>
      </w:r>
      <w:proofErr w:type="spellEnd"/>
      <w:r w:rsidRPr="00B3215E">
        <w:rPr>
          <w:b/>
          <w:bCs/>
          <w:iCs/>
          <w:color w:val="000000"/>
        </w:rPr>
        <w:t xml:space="preserve"> Pérez Moreno,</w:t>
      </w:r>
      <w:r w:rsidRPr="00B3215E">
        <w:rPr>
          <w:bCs/>
          <w:iCs/>
          <w:color w:val="000000"/>
        </w:rPr>
        <w:t xml:space="preserve"> remitido en respuesta.</w:t>
      </w:r>
    </w:p>
    <w:p w14:paraId="57915BE1"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 xml:space="preserve">Certificado de no antecedentes penales de la C. </w:t>
      </w:r>
      <w:r w:rsidRPr="00B3215E">
        <w:rPr>
          <w:b/>
          <w:bCs/>
          <w:iCs/>
          <w:color w:val="000000"/>
        </w:rPr>
        <w:t>María Eugenia Pérez Moreno</w:t>
      </w:r>
      <w:r w:rsidRPr="00B3215E">
        <w:rPr>
          <w:bCs/>
          <w:iCs/>
          <w:color w:val="000000"/>
        </w:rPr>
        <w:t>.</w:t>
      </w:r>
    </w:p>
    <w:p w14:paraId="7E7EBB2C"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 xml:space="preserve">De ser procedente, en versión pública correcta, la Constancia de no inhabilitación de la servidora pública C. </w:t>
      </w:r>
      <w:proofErr w:type="spellStart"/>
      <w:r w:rsidRPr="00B3215E">
        <w:rPr>
          <w:b/>
          <w:bCs/>
          <w:iCs/>
          <w:color w:val="000000"/>
        </w:rPr>
        <w:t>Meztli</w:t>
      </w:r>
      <w:proofErr w:type="spellEnd"/>
      <w:r w:rsidRPr="00B3215E">
        <w:rPr>
          <w:b/>
          <w:bCs/>
          <w:iCs/>
          <w:color w:val="000000"/>
        </w:rPr>
        <w:t xml:space="preserve"> </w:t>
      </w:r>
      <w:proofErr w:type="spellStart"/>
      <w:r w:rsidRPr="00B3215E">
        <w:rPr>
          <w:b/>
          <w:bCs/>
          <w:iCs/>
          <w:color w:val="000000"/>
        </w:rPr>
        <w:t>Mahentzin</w:t>
      </w:r>
      <w:proofErr w:type="spellEnd"/>
      <w:r w:rsidRPr="00B3215E">
        <w:rPr>
          <w:b/>
          <w:bCs/>
          <w:iCs/>
          <w:color w:val="000000"/>
        </w:rPr>
        <w:t xml:space="preserve"> Pérez Moreno</w:t>
      </w:r>
      <w:r w:rsidRPr="00B3215E">
        <w:rPr>
          <w:bCs/>
          <w:iCs/>
          <w:color w:val="000000"/>
        </w:rPr>
        <w:t>, remitido en respuesta.</w:t>
      </w:r>
    </w:p>
    <w:p w14:paraId="5EDF9186"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lastRenderedPageBreak/>
        <w:t xml:space="preserve">La Constancia de no inhabilitación de los servidores públicos CC. </w:t>
      </w:r>
      <w:r w:rsidRPr="00B3215E">
        <w:rPr>
          <w:b/>
          <w:bCs/>
          <w:iCs/>
          <w:color w:val="000000"/>
        </w:rPr>
        <w:t>Marco Aramis Pérez Moreno, Jesús Alberto Medina Pérez y María Eugenia Pérez Moreno</w:t>
      </w:r>
      <w:r w:rsidRPr="00B3215E">
        <w:rPr>
          <w:bCs/>
          <w:iCs/>
          <w:color w:val="000000"/>
        </w:rPr>
        <w:t>.</w:t>
      </w:r>
    </w:p>
    <w:p w14:paraId="41DEBC56"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De manera legible y en versión pública correcta, los Formatos Únicos de Personal entregados en respuesta y los faltantes.</w:t>
      </w:r>
    </w:p>
    <w:p w14:paraId="18EC1659"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En versión pública correcta los documentos que acreditan el último grado de estudios remitidos en respuesta.</w:t>
      </w:r>
    </w:p>
    <w:p w14:paraId="34220569" w14:textId="77777777" w:rsidR="00B3215E" w:rsidRPr="00B3215E" w:rsidRDefault="00B3215E" w:rsidP="00B3215E">
      <w:pPr>
        <w:pStyle w:val="Citas"/>
        <w:numPr>
          <w:ilvl w:val="0"/>
          <w:numId w:val="36"/>
        </w:numPr>
        <w:spacing w:line="240" w:lineRule="auto"/>
        <w:ind w:left="993" w:right="423"/>
        <w:rPr>
          <w:b/>
          <w:bCs/>
          <w:iCs/>
          <w:color w:val="000000"/>
        </w:rPr>
      </w:pPr>
      <w:r w:rsidRPr="00B3215E">
        <w:rPr>
          <w:bCs/>
          <w:iCs/>
          <w:color w:val="000000"/>
        </w:rPr>
        <w:t>El documento que acredita el último grado de estudios de la servidora pública</w:t>
      </w:r>
      <w:r w:rsidRPr="00B3215E">
        <w:rPr>
          <w:b/>
          <w:bCs/>
          <w:iCs/>
          <w:color w:val="000000"/>
        </w:rPr>
        <w:t xml:space="preserve"> María Eugenia Pérez Moreno.</w:t>
      </w:r>
    </w:p>
    <w:p w14:paraId="18366603"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Certificado de No Deudor Alimentario de los servidores públicos indicados.</w:t>
      </w:r>
    </w:p>
    <w:p w14:paraId="79F444E6"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 xml:space="preserve">El documento donde conste la remuneración bruta y neta de la servidora pública C. </w:t>
      </w:r>
      <w:r w:rsidRPr="00B3215E">
        <w:rPr>
          <w:b/>
          <w:bCs/>
          <w:iCs/>
          <w:color w:val="000000"/>
        </w:rPr>
        <w:t>María Eugenia Pérez Moreno</w:t>
      </w:r>
      <w:r w:rsidRPr="00B3215E">
        <w:rPr>
          <w:bCs/>
          <w:iCs/>
          <w:color w:val="000000"/>
        </w:rPr>
        <w:t xml:space="preserve"> correspondiente a la segunda quincena del mes de abril de 2024.</w:t>
      </w:r>
    </w:p>
    <w:p w14:paraId="2B041428"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 xml:space="preserve">Los registros mensuales de asistencia y/o puntualidad de la servidora pública C. </w:t>
      </w:r>
      <w:r w:rsidRPr="00B3215E">
        <w:rPr>
          <w:b/>
          <w:bCs/>
          <w:iCs/>
          <w:color w:val="000000"/>
        </w:rPr>
        <w:t>María Eugenia Pérez Moreno</w:t>
      </w:r>
      <w:r w:rsidRPr="00B3215E">
        <w:rPr>
          <w:bCs/>
          <w:iCs/>
          <w:color w:val="000000"/>
        </w:rPr>
        <w:t>, generados del veinticuatro de abril de dos mil veintitrés al veinticuatro de abril de dos mil veinticuatro.</w:t>
      </w:r>
    </w:p>
    <w:p w14:paraId="56860BE3" w14:textId="77777777" w:rsidR="00B3215E" w:rsidRPr="00B3215E" w:rsidRDefault="00B3215E" w:rsidP="00B3215E">
      <w:pPr>
        <w:pStyle w:val="Citas"/>
        <w:numPr>
          <w:ilvl w:val="0"/>
          <w:numId w:val="36"/>
        </w:numPr>
        <w:spacing w:line="240" w:lineRule="auto"/>
        <w:ind w:left="993" w:right="423"/>
        <w:rPr>
          <w:bCs/>
          <w:iCs/>
          <w:color w:val="000000"/>
        </w:rPr>
      </w:pPr>
      <w:bookmarkStart w:id="0" w:name="_heading=h.3dy6vkm" w:colFirst="0" w:colLast="0"/>
      <w:bookmarkEnd w:id="0"/>
      <w:r w:rsidRPr="00B3215E">
        <w:rPr>
          <w:bCs/>
          <w:iCs/>
          <w:color w:val="000000"/>
        </w:rPr>
        <w:t xml:space="preserve">En versión pública correcta el oficio del 07 de febrero de 2024, a través del cual la Directora de Educación Superior le asigna a la C. </w:t>
      </w:r>
      <w:r w:rsidRPr="00B3215E">
        <w:rPr>
          <w:b/>
          <w:bCs/>
          <w:iCs/>
          <w:color w:val="000000"/>
        </w:rPr>
        <w:t>María Eugenia Pérez Moreno</w:t>
      </w:r>
      <w:r w:rsidRPr="00B3215E">
        <w:rPr>
          <w:bCs/>
          <w:iCs/>
          <w:color w:val="000000"/>
        </w:rPr>
        <w:t xml:space="preserve"> sus funciones como Analista Administrativo de la Oficina de Beca Comisión y Apoyo a Pago de Estudios de Posgrado.</w:t>
      </w:r>
    </w:p>
    <w:p w14:paraId="6F82D6A2" w14:textId="77777777"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 xml:space="preserve">De los CC. </w:t>
      </w:r>
      <w:proofErr w:type="spellStart"/>
      <w:r w:rsidRPr="00B3215E">
        <w:rPr>
          <w:b/>
          <w:bCs/>
          <w:iCs/>
          <w:color w:val="000000"/>
        </w:rPr>
        <w:t>Meztli</w:t>
      </w:r>
      <w:proofErr w:type="spellEnd"/>
      <w:r w:rsidRPr="00B3215E">
        <w:rPr>
          <w:b/>
          <w:bCs/>
          <w:iCs/>
          <w:color w:val="000000"/>
        </w:rPr>
        <w:t xml:space="preserve"> </w:t>
      </w:r>
      <w:proofErr w:type="spellStart"/>
      <w:r w:rsidRPr="00B3215E">
        <w:rPr>
          <w:b/>
          <w:bCs/>
          <w:iCs/>
          <w:color w:val="000000"/>
        </w:rPr>
        <w:t>Mahentzin</w:t>
      </w:r>
      <w:proofErr w:type="spellEnd"/>
      <w:r w:rsidRPr="00B3215E">
        <w:rPr>
          <w:b/>
          <w:bCs/>
          <w:iCs/>
          <w:color w:val="000000"/>
        </w:rPr>
        <w:t xml:space="preserve"> Pérez Moreno, Marco Aramis Pérez Moreno y Jesús Alberto Medina Pérez</w:t>
      </w:r>
      <w:r w:rsidRPr="00B3215E">
        <w:rPr>
          <w:bCs/>
          <w:iCs/>
          <w:color w:val="000000"/>
        </w:rPr>
        <w:t xml:space="preserve"> los documentos que den cuenta de la licencia o permiso por comisión sindical, laboral y/o por motivos personales, del periodo comprendido del dos de mayo de dos mil veintitrés al dos de mayo de dos mil veinticuatro.</w:t>
      </w:r>
    </w:p>
    <w:p w14:paraId="4DAE14EC" w14:textId="29AC7E31" w:rsidR="00B3215E" w:rsidRPr="00B3215E" w:rsidRDefault="00B3215E" w:rsidP="00B3215E">
      <w:pPr>
        <w:pStyle w:val="Citas"/>
        <w:numPr>
          <w:ilvl w:val="0"/>
          <w:numId w:val="36"/>
        </w:numPr>
        <w:spacing w:line="240" w:lineRule="auto"/>
        <w:ind w:left="993" w:right="423"/>
        <w:rPr>
          <w:bCs/>
          <w:iCs/>
          <w:color w:val="000000"/>
        </w:rPr>
      </w:pPr>
      <w:r w:rsidRPr="00B3215E">
        <w:rPr>
          <w:bCs/>
          <w:iCs/>
          <w:color w:val="000000"/>
        </w:rPr>
        <w:t xml:space="preserve">De la </w:t>
      </w:r>
      <w:r w:rsidRPr="00B3215E">
        <w:rPr>
          <w:b/>
          <w:bCs/>
          <w:iCs/>
          <w:color w:val="000000"/>
        </w:rPr>
        <w:t>C. María Eugenia Pérez Moreno</w:t>
      </w:r>
      <w:r w:rsidRPr="00B3215E">
        <w:rPr>
          <w:bCs/>
          <w:iCs/>
          <w:color w:val="000000"/>
        </w:rPr>
        <w:t xml:space="preserve"> los documentos que den cuenta de la licencia o permiso por comisión sindical, en el periodo comprendido del veinticuatro de abril de dos mil veintitrés al veinticuatro de abril de dos mil veinticuatro.</w:t>
      </w:r>
    </w:p>
    <w:p w14:paraId="1250E76E" w14:textId="2BD75E67" w:rsidR="00B3215E" w:rsidRPr="00B3215E" w:rsidRDefault="00B3215E" w:rsidP="00B3215E">
      <w:pPr>
        <w:pStyle w:val="Citas"/>
        <w:spacing w:line="240" w:lineRule="auto"/>
        <w:ind w:left="567" w:right="423"/>
        <w:rPr>
          <w:bCs/>
          <w:iCs/>
          <w:color w:val="000000"/>
        </w:rPr>
      </w:pPr>
      <w:r w:rsidRPr="00B3215E">
        <w:rPr>
          <w:bCs/>
          <w:iCs/>
          <w:color w:val="000000"/>
        </w:rPr>
        <w:lastRenderedPageBreak/>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B3215E">
        <w:rPr>
          <w:b/>
          <w:bCs/>
          <w:iCs/>
          <w:color w:val="000000"/>
        </w:rPr>
        <w:t xml:space="preserve">Recurrente; </w:t>
      </w:r>
      <w:r w:rsidRPr="00B3215E">
        <w:rPr>
          <w:b/>
          <w:bCs/>
          <w:iCs/>
          <w:color w:val="000000"/>
          <w:u w:val="single"/>
        </w:rPr>
        <w:t>así como, la clasificación en su totalidad como información confidencial de las documentales indicadas en estudio de la presente resolución que actualicen el supuesto.</w:t>
      </w:r>
    </w:p>
    <w:p w14:paraId="54DD5B3B" w14:textId="219582A4" w:rsidR="0019061A" w:rsidRPr="00B3215E" w:rsidRDefault="00B3215E" w:rsidP="00B3215E">
      <w:pPr>
        <w:pStyle w:val="Citas"/>
        <w:spacing w:line="240" w:lineRule="auto"/>
        <w:ind w:left="567" w:right="423"/>
        <w:rPr>
          <w:bCs/>
          <w:iCs/>
          <w:color w:val="000000"/>
        </w:rPr>
      </w:pPr>
      <w:r w:rsidRPr="00B3215E">
        <w:rPr>
          <w:bCs/>
          <w:iCs/>
          <w:color w:val="000000"/>
        </w:rPr>
        <w:t xml:space="preserve">De ser el caso que, la información que se ordena en los incisos </w:t>
      </w:r>
      <w:r w:rsidRPr="00B3215E">
        <w:rPr>
          <w:b/>
          <w:bCs/>
          <w:iCs/>
          <w:color w:val="000000"/>
        </w:rPr>
        <w:t>d), i), n) y o),</w:t>
      </w:r>
      <w:r w:rsidRPr="00B3215E">
        <w:rPr>
          <w:bCs/>
          <w:iCs/>
          <w:color w:val="000000"/>
        </w:rPr>
        <w:t xml:space="preserve"> no obre en los archivos del </w:t>
      </w:r>
      <w:r w:rsidRPr="00B3215E">
        <w:rPr>
          <w:b/>
          <w:bCs/>
          <w:iCs/>
          <w:color w:val="000000"/>
        </w:rPr>
        <w:t>Sujeto Obligado</w:t>
      </w:r>
      <w:r w:rsidRPr="00B3215E">
        <w:rPr>
          <w:bCs/>
          <w:iCs/>
          <w:color w:val="000000"/>
        </w:rPr>
        <w:t xml:space="preserve">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Default="00F148AD" w:rsidP="00F148AD">
      <w:pPr>
        <w:pStyle w:val="Sinespaciado"/>
      </w:pPr>
    </w:p>
    <w:p w14:paraId="4B06CD33" w14:textId="09DCD448" w:rsidR="00C75FC8"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C65E0C">
        <w:rPr>
          <w:rFonts w:ascii="Palatino Linotype" w:hAnsi="Palatino Linotype"/>
          <w:bCs/>
          <w:iCs/>
          <w:sz w:val="23"/>
          <w:szCs w:val="23"/>
        </w:rPr>
        <w:t>s</w:t>
      </w:r>
      <w:r w:rsidR="00C65E0C" w:rsidRPr="00C65E0C">
        <w:rPr>
          <w:rFonts w:ascii="Palatino Linotype" w:hAnsi="Palatino Linotype"/>
          <w:bCs/>
          <w:iCs/>
          <w:sz w:val="23"/>
          <w:szCs w:val="23"/>
        </w:rPr>
        <w:t xml:space="preserve">oporte documental </w:t>
      </w:r>
      <w:r w:rsidR="00091647">
        <w:rPr>
          <w:rFonts w:ascii="Palatino Linotype" w:hAnsi="Palatino Linotype"/>
          <w:bCs/>
          <w:iCs/>
          <w:sz w:val="23"/>
          <w:szCs w:val="23"/>
        </w:rPr>
        <w:t xml:space="preserve">que dé cuenta </w:t>
      </w:r>
      <w:r w:rsidR="00091647" w:rsidRPr="00091647">
        <w:rPr>
          <w:rFonts w:ascii="Palatino Linotype" w:hAnsi="Palatino Linotype"/>
          <w:bCs/>
          <w:iCs/>
          <w:sz w:val="23"/>
          <w:szCs w:val="23"/>
        </w:rPr>
        <w:t xml:space="preserve">del </w:t>
      </w:r>
      <w:r w:rsidR="00285A92" w:rsidRPr="00285A92">
        <w:rPr>
          <w:rFonts w:ascii="Palatino Linotype" w:hAnsi="Palatino Linotype"/>
          <w:bCs/>
          <w:iCs/>
          <w:sz w:val="23"/>
          <w:szCs w:val="23"/>
        </w:rPr>
        <w:t>último grado de estudios</w:t>
      </w:r>
      <w:r w:rsidR="00B3215E">
        <w:rPr>
          <w:rFonts w:ascii="Palatino Linotype" w:hAnsi="Palatino Linotype"/>
          <w:bCs/>
          <w:iCs/>
          <w:sz w:val="23"/>
          <w:szCs w:val="23"/>
        </w:rPr>
        <w:t xml:space="preserve"> de la</w:t>
      </w:r>
      <w:r w:rsidR="00285A92">
        <w:rPr>
          <w:rFonts w:ascii="Palatino Linotype" w:hAnsi="Palatino Linotype"/>
          <w:bCs/>
          <w:iCs/>
          <w:sz w:val="23"/>
          <w:szCs w:val="23"/>
        </w:rPr>
        <w:t xml:space="preserve"> servidor</w:t>
      </w:r>
      <w:r w:rsidR="00B3215E">
        <w:rPr>
          <w:rFonts w:ascii="Palatino Linotype" w:hAnsi="Palatino Linotype"/>
          <w:bCs/>
          <w:iCs/>
          <w:sz w:val="23"/>
          <w:szCs w:val="23"/>
        </w:rPr>
        <w:t>a pública referida</w:t>
      </w:r>
      <w:r w:rsidR="00285A92">
        <w:rPr>
          <w:rFonts w:ascii="Palatino Linotype" w:hAnsi="Palatino Linotype"/>
          <w:bCs/>
          <w:iCs/>
          <w:sz w:val="23"/>
          <w:szCs w:val="23"/>
        </w:rPr>
        <w:t xml:space="preserve"> en la solicitud de información</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68D9B6BA" w14:textId="77777777" w:rsidR="00285A92" w:rsidRPr="008546EB" w:rsidRDefault="00285A92" w:rsidP="0019061A">
      <w:pPr>
        <w:spacing w:after="0" w:line="360" w:lineRule="auto"/>
        <w:jc w:val="both"/>
        <w:rPr>
          <w:rFonts w:ascii="Palatino Linotype" w:hAnsi="Palatino Linotype"/>
          <w:sz w:val="23"/>
          <w:szCs w:val="23"/>
        </w:rPr>
      </w:pPr>
    </w:p>
    <w:p w14:paraId="5EB21D33" w14:textId="46236545" w:rsidR="00091647"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 xml:space="preserve">deben poner a disposición del público de manera permanente y por tanto deberán mantenerla actualizada, en los </w:t>
      </w:r>
      <w:r w:rsidR="00ED0FE3" w:rsidRPr="008546EB">
        <w:rPr>
          <w:rFonts w:ascii="Palatino Linotype" w:eastAsia="MS Mincho" w:hAnsi="Palatino Linotype"/>
          <w:sz w:val="23"/>
          <w:szCs w:val="23"/>
        </w:rPr>
        <w:lastRenderedPageBreak/>
        <w:t>respectivos medios electrónicos, de acuerdo con sus facultades, atribuciones, funciones u objeto social.</w:t>
      </w:r>
    </w:p>
    <w:p w14:paraId="56F0EBA5" w14:textId="77777777" w:rsidR="00D50284" w:rsidRPr="00D50284" w:rsidRDefault="00D50284" w:rsidP="0019061A">
      <w:pPr>
        <w:spacing w:after="0" w:line="360" w:lineRule="auto"/>
        <w:jc w:val="both"/>
        <w:rPr>
          <w:rFonts w:ascii="Palatino Linotype" w:eastAsia="MS Mincho" w:hAnsi="Palatino Linotype"/>
          <w:sz w:val="23"/>
          <w:szCs w:val="23"/>
        </w:rPr>
      </w:pPr>
    </w:p>
    <w:p w14:paraId="4FEDCF54" w14:textId="0343E6D9" w:rsidR="008546EB" w:rsidRDefault="00ED0FE3" w:rsidP="00285A92">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7D2168CA" w14:textId="77777777" w:rsidR="00285A92" w:rsidRPr="00285A92" w:rsidRDefault="00285A92" w:rsidP="00285A92">
      <w:pPr>
        <w:spacing w:after="0" w:line="360" w:lineRule="auto"/>
        <w:jc w:val="both"/>
        <w:rPr>
          <w:rFonts w:ascii="Palatino Linotype" w:hAnsi="Palatino Linotype"/>
          <w:sz w:val="23"/>
          <w:szCs w:val="23"/>
        </w:rPr>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w:t>
      </w:r>
      <w:r w:rsidRPr="00B17D41">
        <w:rPr>
          <w:rFonts w:ascii="Palatino Linotype" w:eastAsia="MS Mincho" w:hAnsi="Palatino Linotype"/>
        </w:rPr>
        <w:lastRenderedPageBreak/>
        <w:t xml:space="preserve">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68E230CE" w14:textId="77777777" w:rsidR="00285A92" w:rsidRDefault="00285A92"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714A4A7F"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w:t>
      </w:r>
      <w:r w:rsidR="005A0839">
        <w:rPr>
          <w:rFonts w:ascii="Palatino Linotype" w:hAnsi="Palatino Linotype"/>
          <w:sz w:val="23"/>
          <w:szCs w:val="23"/>
        </w:rPr>
        <w:t>los organismos gubernamentales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29F82C5D"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de</w:t>
      </w:r>
      <w:r w:rsidR="00285A92">
        <w:rPr>
          <w:rFonts w:ascii="Palatino Linotype" w:hAnsi="Palatino Linotype"/>
          <w:sz w:val="23"/>
          <w:szCs w:val="23"/>
        </w:rPr>
        <w:t xml:space="preserve"> </w:t>
      </w:r>
      <w:r w:rsidR="00D50284">
        <w:rPr>
          <w:rFonts w:ascii="Palatino Linotype" w:hAnsi="Palatino Linotype"/>
          <w:sz w:val="23"/>
          <w:szCs w:val="23"/>
        </w:rPr>
        <w:t xml:space="preserve">los </w:t>
      </w:r>
      <w:r w:rsidR="00285A92">
        <w:rPr>
          <w:rFonts w:ascii="Palatino Linotype" w:hAnsi="Palatino Linotype"/>
          <w:sz w:val="23"/>
          <w:szCs w:val="23"/>
        </w:rPr>
        <w:t>servidor</w:t>
      </w:r>
      <w:r w:rsidR="00D50284">
        <w:rPr>
          <w:rFonts w:ascii="Palatino Linotype" w:hAnsi="Palatino Linotype"/>
          <w:sz w:val="23"/>
          <w:szCs w:val="23"/>
        </w:rPr>
        <w:t>es</w:t>
      </w:r>
      <w:r w:rsidR="00285A92">
        <w:rPr>
          <w:rFonts w:ascii="Palatino Linotype" w:hAnsi="Palatino Linotype"/>
          <w:sz w:val="23"/>
          <w:szCs w:val="23"/>
        </w:rPr>
        <w:t xml:space="preserve"> público</w:t>
      </w:r>
      <w:r w:rsidR="00D50284">
        <w:rPr>
          <w:rFonts w:ascii="Palatino Linotype" w:hAnsi="Palatino Linotype"/>
          <w:sz w:val="23"/>
          <w:szCs w:val="23"/>
        </w:rPr>
        <w:t>s</w:t>
      </w:r>
      <w:r w:rsidR="00285A92">
        <w:rPr>
          <w:rFonts w:ascii="Palatino Linotype" w:hAnsi="Palatino Linotype"/>
          <w:sz w:val="23"/>
          <w:szCs w:val="23"/>
        </w:rPr>
        <w:t xml:space="preserve"> referido</w:t>
      </w:r>
      <w:r w:rsidR="00D50284">
        <w:rPr>
          <w:rFonts w:ascii="Palatino Linotype" w:hAnsi="Palatino Linotype"/>
          <w:sz w:val="23"/>
          <w:szCs w:val="23"/>
        </w:rPr>
        <w:t>s</w:t>
      </w:r>
      <w:r w:rsidR="00285A92">
        <w:rPr>
          <w:rFonts w:ascii="Palatino Linotype" w:hAnsi="Palatino Linotype"/>
          <w:sz w:val="23"/>
          <w:szCs w:val="23"/>
        </w:rPr>
        <w:t xml:space="preserve"> en la solicitud de información</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22980E1B" w14:textId="5BB55199" w:rsidR="00963470" w:rsidRDefault="00211741"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963470" w:rsidRPr="008546EB">
        <w:rPr>
          <w:rFonts w:ascii="Palatino Linotype" w:hAnsi="Palatino Linotype"/>
          <w:b/>
          <w:bCs/>
          <w:sz w:val="23"/>
          <w:szCs w:val="23"/>
        </w:rPr>
        <w:t xml:space="preserve">El Sujeto Obligado, </w:t>
      </w:r>
      <w:r w:rsidR="00963470" w:rsidRPr="008546EB">
        <w:rPr>
          <w:rFonts w:ascii="Palatino Linotype" w:hAnsi="Palatino Linotype"/>
          <w:sz w:val="23"/>
          <w:szCs w:val="23"/>
        </w:rPr>
        <w:t xml:space="preserve">en etapa de cumplimiento pueda manifestar únicamente que no cuenta con la información referida en </w:t>
      </w:r>
      <w:r w:rsidR="005A0839">
        <w:rPr>
          <w:rFonts w:ascii="Palatino Linotype" w:hAnsi="Palatino Linotype"/>
          <w:sz w:val="23"/>
          <w:szCs w:val="23"/>
        </w:rPr>
        <w:t>el inciso</w:t>
      </w:r>
      <w:r w:rsidR="00963470" w:rsidRPr="008546EB">
        <w:rPr>
          <w:rFonts w:ascii="Palatino Linotype" w:hAnsi="Palatino Linotype"/>
          <w:sz w:val="23"/>
          <w:szCs w:val="23"/>
        </w:rPr>
        <w:t xml:space="preserve"> </w:t>
      </w:r>
      <w:r w:rsidR="005A0839">
        <w:rPr>
          <w:rFonts w:ascii="Palatino Linotype" w:hAnsi="Palatino Linotype"/>
          <w:sz w:val="23"/>
          <w:szCs w:val="23"/>
        </w:rPr>
        <w:t>i</w:t>
      </w:r>
      <w:r w:rsidR="00D50284" w:rsidRPr="00D50284">
        <w:rPr>
          <w:rFonts w:ascii="Palatino Linotype" w:hAnsi="Palatino Linotype"/>
          <w:b/>
          <w:sz w:val="23"/>
          <w:szCs w:val="23"/>
        </w:rPr>
        <w:t>)</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5A0839">
        <w:rPr>
          <w:rFonts w:ascii="Palatino Linotype" w:hAnsi="Palatino Linotype"/>
          <w:bCs/>
          <w:i/>
          <w:sz w:val="23"/>
          <w:szCs w:val="23"/>
        </w:rPr>
        <w:t xml:space="preserve">i) </w:t>
      </w:r>
      <w:r w:rsidR="005A0839" w:rsidRPr="005A0839">
        <w:rPr>
          <w:rFonts w:ascii="Palatino Linotype" w:hAnsi="Palatino Linotype"/>
          <w:bCs/>
          <w:i/>
          <w:sz w:val="23"/>
          <w:szCs w:val="23"/>
        </w:rPr>
        <w:t xml:space="preserve">El documento que acredita el último grado de estudios de la </w:t>
      </w:r>
      <w:r w:rsidR="005A0839" w:rsidRPr="005A0839">
        <w:rPr>
          <w:rFonts w:ascii="Palatino Linotype" w:hAnsi="Palatino Linotype"/>
          <w:bCs/>
          <w:i/>
          <w:sz w:val="23"/>
          <w:szCs w:val="23"/>
        </w:rPr>
        <w:lastRenderedPageBreak/>
        <w:t>servidora pública María Eugenia Pérez Moreno.</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1EFABDD" w14:textId="77777777" w:rsidR="00D50284" w:rsidRPr="00285A92" w:rsidRDefault="00D50284" w:rsidP="0019061A">
      <w:pPr>
        <w:spacing w:after="0" w:line="360" w:lineRule="auto"/>
        <w:jc w:val="both"/>
        <w:rPr>
          <w:rFonts w:ascii="Palatino Linotype" w:hAnsi="Palatino Linotype"/>
          <w:bCs/>
          <w:i/>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EF654" w14:textId="77777777" w:rsidR="006D7CE0" w:rsidRDefault="006D7CE0" w:rsidP="004C1443">
      <w:pPr>
        <w:spacing w:after="0" w:line="240" w:lineRule="auto"/>
      </w:pPr>
      <w:r>
        <w:separator/>
      </w:r>
    </w:p>
  </w:endnote>
  <w:endnote w:type="continuationSeparator" w:id="0">
    <w:p w14:paraId="0AC7A213" w14:textId="77777777" w:rsidR="006D7CE0" w:rsidRDefault="006D7CE0"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5A0839">
              <w:rPr>
                <w:b/>
                <w:bCs/>
                <w:noProof/>
              </w:rPr>
              <w:t>11</w:t>
            </w:r>
            <w:r>
              <w:rPr>
                <w:b/>
                <w:bCs/>
              </w:rPr>
              <w:fldChar w:fldCharType="end"/>
            </w:r>
            <w:r>
              <w:t xml:space="preserve"> de </w:t>
            </w:r>
            <w:r>
              <w:rPr>
                <w:b/>
                <w:bCs/>
              </w:rPr>
              <w:fldChar w:fldCharType="begin"/>
            </w:r>
            <w:r>
              <w:rPr>
                <w:b/>
                <w:bCs/>
              </w:rPr>
              <w:instrText>NUMPAGES</w:instrText>
            </w:r>
            <w:r>
              <w:rPr>
                <w:b/>
                <w:bCs/>
              </w:rPr>
              <w:fldChar w:fldCharType="separate"/>
            </w:r>
            <w:r w:rsidR="005A0839">
              <w:rPr>
                <w:b/>
                <w:bCs/>
                <w:noProof/>
              </w:rPr>
              <w:t>11</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7EE7F" w14:textId="77777777" w:rsidR="006D7CE0" w:rsidRDefault="006D7CE0" w:rsidP="004C1443">
      <w:pPr>
        <w:spacing w:after="0" w:line="240" w:lineRule="auto"/>
      </w:pPr>
      <w:r>
        <w:separator/>
      </w:r>
    </w:p>
  </w:footnote>
  <w:footnote w:type="continuationSeparator" w:id="0">
    <w:p w14:paraId="16F18972" w14:textId="77777777" w:rsidR="006D7CE0" w:rsidRDefault="006D7CE0"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6517DCE6"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9C6B96">
      <w:rPr>
        <w:rFonts w:ascii="Palatino Linotype" w:hAnsi="Palatino Linotype" w:cs="Arial"/>
        <w:b/>
        <w:bCs/>
        <w:sz w:val="22"/>
        <w:szCs w:val="22"/>
        <w:lang w:eastAsia="es-MX"/>
      </w:rPr>
      <w:t>3424</w:t>
    </w:r>
    <w:r w:rsidR="001348A8" w:rsidRPr="001348A8">
      <w:rPr>
        <w:rFonts w:ascii="Palatino Linotype" w:hAnsi="Palatino Linotype" w:cs="Arial"/>
        <w:b/>
        <w:bCs/>
        <w:sz w:val="22"/>
        <w:szCs w:val="22"/>
        <w:lang w:eastAsia="es-MX"/>
      </w:rPr>
      <w:t>/INFOEM/IP/RR/202</w:t>
    </w:r>
    <w:r w:rsidR="006437C8">
      <w:rPr>
        <w:rFonts w:ascii="Palatino Linotype" w:hAnsi="Palatino Linotype" w:cs="Arial"/>
        <w:b/>
        <w:bCs/>
        <w:sz w:val="22"/>
        <w:szCs w:val="22"/>
        <w:lang w:eastAsia="es-MX"/>
      </w:rPr>
      <w:t>4</w:t>
    </w:r>
    <w:r w:rsidR="009C6B96">
      <w:rPr>
        <w:rFonts w:ascii="Palatino Linotype" w:hAnsi="Palatino Linotype" w:cs="Arial"/>
        <w:b/>
        <w:bCs/>
        <w:sz w:val="22"/>
        <w:szCs w:val="22"/>
        <w:lang w:eastAsia="es-MX"/>
      </w:rPr>
      <w:t xml:space="preserve"> Y ACUMULADO</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E7E6F"/>
    <w:multiLevelType w:val="multilevel"/>
    <w:tmpl w:val="641E2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173AE9"/>
    <w:multiLevelType w:val="multilevel"/>
    <w:tmpl w:val="5EECE1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3"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85220112">
    <w:abstractNumId w:val="18"/>
  </w:num>
  <w:num w:numId="2" w16cid:durableId="583419950">
    <w:abstractNumId w:val="1"/>
  </w:num>
  <w:num w:numId="3" w16cid:durableId="476337776">
    <w:abstractNumId w:val="28"/>
  </w:num>
  <w:num w:numId="4" w16cid:durableId="1207715037">
    <w:abstractNumId w:val="23"/>
  </w:num>
  <w:num w:numId="5" w16cid:durableId="1084642600">
    <w:abstractNumId w:val="26"/>
  </w:num>
  <w:num w:numId="6" w16cid:durableId="156919566">
    <w:abstractNumId w:val="30"/>
  </w:num>
  <w:num w:numId="7" w16cid:durableId="1376155442">
    <w:abstractNumId w:val="12"/>
  </w:num>
  <w:num w:numId="8" w16cid:durableId="1412848593">
    <w:abstractNumId w:val="4"/>
  </w:num>
  <w:num w:numId="9" w16cid:durableId="743794536">
    <w:abstractNumId w:val="14"/>
  </w:num>
  <w:num w:numId="10" w16cid:durableId="205799687">
    <w:abstractNumId w:val="5"/>
  </w:num>
  <w:num w:numId="11" w16cid:durableId="1044215776">
    <w:abstractNumId w:val="35"/>
  </w:num>
  <w:num w:numId="12" w16cid:durableId="1598900418">
    <w:abstractNumId w:val="16"/>
  </w:num>
  <w:num w:numId="13" w16cid:durableId="2097819638">
    <w:abstractNumId w:val="8"/>
  </w:num>
  <w:num w:numId="14" w16cid:durableId="195899027">
    <w:abstractNumId w:val="34"/>
  </w:num>
  <w:num w:numId="15" w16cid:durableId="1179277772">
    <w:abstractNumId w:val="21"/>
  </w:num>
  <w:num w:numId="16" w16cid:durableId="1127625998">
    <w:abstractNumId w:val="13"/>
  </w:num>
  <w:num w:numId="17" w16cid:durableId="1412657190">
    <w:abstractNumId w:val="17"/>
  </w:num>
  <w:num w:numId="18" w16cid:durableId="2053994521">
    <w:abstractNumId w:val="11"/>
  </w:num>
  <w:num w:numId="19" w16cid:durableId="397943596">
    <w:abstractNumId w:val="31"/>
  </w:num>
  <w:num w:numId="20" w16cid:durableId="833495447">
    <w:abstractNumId w:val="19"/>
  </w:num>
  <w:num w:numId="21" w16cid:durableId="280964695">
    <w:abstractNumId w:val="7"/>
  </w:num>
  <w:num w:numId="22" w16cid:durableId="2132624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0517189">
    <w:abstractNumId w:val="0"/>
  </w:num>
  <w:num w:numId="24" w16cid:durableId="793911277">
    <w:abstractNumId w:val="33"/>
  </w:num>
  <w:num w:numId="25" w16cid:durableId="2025746745">
    <w:abstractNumId w:val="27"/>
  </w:num>
  <w:num w:numId="26" w16cid:durableId="1064528108">
    <w:abstractNumId w:val="24"/>
  </w:num>
  <w:num w:numId="27" w16cid:durableId="26760119">
    <w:abstractNumId w:val="25"/>
  </w:num>
  <w:num w:numId="28" w16cid:durableId="862280510">
    <w:abstractNumId w:val="29"/>
  </w:num>
  <w:num w:numId="29" w16cid:durableId="1806387258">
    <w:abstractNumId w:val="20"/>
  </w:num>
  <w:num w:numId="30" w16cid:durableId="729230016">
    <w:abstractNumId w:val="3"/>
  </w:num>
  <w:num w:numId="31" w16cid:durableId="644965778">
    <w:abstractNumId w:val="10"/>
  </w:num>
  <w:num w:numId="32" w16cid:durableId="2004312465">
    <w:abstractNumId w:val="15"/>
  </w:num>
  <w:num w:numId="33" w16cid:durableId="850804746">
    <w:abstractNumId w:val="2"/>
  </w:num>
  <w:num w:numId="34" w16cid:durableId="1586256948">
    <w:abstractNumId w:val="32"/>
  </w:num>
  <w:num w:numId="35" w16cid:durableId="572005236">
    <w:abstractNumId w:val="6"/>
  </w:num>
  <w:num w:numId="36" w16cid:durableId="1159734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6E92"/>
    <w:rsid w:val="00043B20"/>
    <w:rsid w:val="0008434F"/>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1D5A48"/>
    <w:rsid w:val="001F6CFF"/>
    <w:rsid w:val="00211741"/>
    <w:rsid w:val="00225337"/>
    <w:rsid w:val="002351CE"/>
    <w:rsid w:val="002374B9"/>
    <w:rsid w:val="00240D8D"/>
    <w:rsid w:val="00252976"/>
    <w:rsid w:val="00256512"/>
    <w:rsid w:val="002609F5"/>
    <w:rsid w:val="00264201"/>
    <w:rsid w:val="002660DA"/>
    <w:rsid w:val="00285A92"/>
    <w:rsid w:val="002A39CA"/>
    <w:rsid w:val="002C14F9"/>
    <w:rsid w:val="002F4C86"/>
    <w:rsid w:val="00302C71"/>
    <w:rsid w:val="00307916"/>
    <w:rsid w:val="0031079C"/>
    <w:rsid w:val="0032394B"/>
    <w:rsid w:val="003262E7"/>
    <w:rsid w:val="0032728C"/>
    <w:rsid w:val="00330955"/>
    <w:rsid w:val="00335851"/>
    <w:rsid w:val="00336332"/>
    <w:rsid w:val="00341093"/>
    <w:rsid w:val="003847F7"/>
    <w:rsid w:val="00384C8B"/>
    <w:rsid w:val="0039658D"/>
    <w:rsid w:val="00396F4A"/>
    <w:rsid w:val="003D76A7"/>
    <w:rsid w:val="003F0A64"/>
    <w:rsid w:val="003F52D7"/>
    <w:rsid w:val="00403FFD"/>
    <w:rsid w:val="004269DC"/>
    <w:rsid w:val="004307BD"/>
    <w:rsid w:val="00437D21"/>
    <w:rsid w:val="004402F7"/>
    <w:rsid w:val="004446DD"/>
    <w:rsid w:val="00446B00"/>
    <w:rsid w:val="00456F17"/>
    <w:rsid w:val="00463A29"/>
    <w:rsid w:val="00491A04"/>
    <w:rsid w:val="00494F48"/>
    <w:rsid w:val="004B585F"/>
    <w:rsid w:val="004C1443"/>
    <w:rsid w:val="004C5122"/>
    <w:rsid w:val="004D3A6E"/>
    <w:rsid w:val="004D5C09"/>
    <w:rsid w:val="004F0706"/>
    <w:rsid w:val="004F50E3"/>
    <w:rsid w:val="004F5AE8"/>
    <w:rsid w:val="005251CB"/>
    <w:rsid w:val="00526C8E"/>
    <w:rsid w:val="00530131"/>
    <w:rsid w:val="00546280"/>
    <w:rsid w:val="005534B4"/>
    <w:rsid w:val="005733EB"/>
    <w:rsid w:val="0058084B"/>
    <w:rsid w:val="00591F8D"/>
    <w:rsid w:val="00592E63"/>
    <w:rsid w:val="005A0839"/>
    <w:rsid w:val="005D0EB7"/>
    <w:rsid w:val="005E2445"/>
    <w:rsid w:val="005E313C"/>
    <w:rsid w:val="005E760F"/>
    <w:rsid w:val="006023F6"/>
    <w:rsid w:val="006069F7"/>
    <w:rsid w:val="00613A04"/>
    <w:rsid w:val="006275C6"/>
    <w:rsid w:val="006342FD"/>
    <w:rsid w:val="006437C8"/>
    <w:rsid w:val="00667D1F"/>
    <w:rsid w:val="00684268"/>
    <w:rsid w:val="006A51FD"/>
    <w:rsid w:val="006D3740"/>
    <w:rsid w:val="006D627E"/>
    <w:rsid w:val="006D7CE0"/>
    <w:rsid w:val="006E0C0A"/>
    <w:rsid w:val="006E25F1"/>
    <w:rsid w:val="006E4C00"/>
    <w:rsid w:val="006E62A9"/>
    <w:rsid w:val="006F544E"/>
    <w:rsid w:val="006F7F79"/>
    <w:rsid w:val="00707558"/>
    <w:rsid w:val="0071133A"/>
    <w:rsid w:val="0071304D"/>
    <w:rsid w:val="007518F5"/>
    <w:rsid w:val="007552BF"/>
    <w:rsid w:val="0077712D"/>
    <w:rsid w:val="00787CFE"/>
    <w:rsid w:val="007B3F73"/>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08E5"/>
    <w:rsid w:val="0088608D"/>
    <w:rsid w:val="008D6140"/>
    <w:rsid w:val="008E47B8"/>
    <w:rsid w:val="008F6B22"/>
    <w:rsid w:val="00900682"/>
    <w:rsid w:val="00911F00"/>
    <w:rsid w:val="00915E74"/>
    <w:rsid w:val="00924459"/>
    <w:rsid w:val="00950CD7"/>
    <w:rsid w:val="00963470"/>
    <w:rsid w:val="00967270"/>
    <w:rsid w:val="0099768F"/>
    <w:rsid w:val="009A72D3"/>
    <w:rsid w:val="009B0A29"/>
    <w:rsid w:val="009B46D0"/>
    <w:rsid w:val="009C0BE4"/>
    <w:rsid w:val="009C651B"/>
    <w:rsid w:val="009C6B96"/>
    <w:rsid w:val="009E6EF2"/>
    <w:rsid w:val="00A00229"/>
    <w:rsid w:val="00A10C19"/>
    <w:rsid w:val="00A16488"/>
    <w:rsid w:val="00A41FAD"/>
    <w:rsid w:val="00A430F5"/>
    <w:rsid w:val="00A635EC"/>
    <w:rsid w:val="00A85CFE"/>
    <w:rsid w:val="00A9353F"/>
    <w:rsid w:val="00AC1F7C"/>
    <w:rsid w:val="00AF71C1"/>
    <w:rsid w:val="00B17D41"/>
    <w:rsid w:val="00B3215E"/>
    <w:rsid w:val="00B40E2E"/>
    <w:rsid w:val="00B41E23"/>
    <w:rsid w:val="00B60BB7"/>
    <w:rsid w:val="00B6198B"/>
    <w:rsid w:val="00B71EFC"/>
    <w:rsid w:val="00B77C19"/>
    <w:rsid w:val="00B835E7"/>
    <w:rsid w:val="00B91483"/>
    <w:rsid w:val="00C32F97"/>
    <w:rsid w:val="00C42420"/>
    <w:rsid w:val="00C61583"/>
    <w:rsid w:val="00C65E0C"/>
    <w:rsid w:val="00C73D52"/>
    <w:rsid w:val="00C75FC8"/>
    <w:rsid w:val="00C96E88"/>
    <w:rsid w:val="00CE6B6A"/>
    <w:rsid w:val="00CF11A8"/>
    <w:rsid w:val="00D014A2"/>
    <w:rsid w:val="00D040F5"/>
    <w:rsid w:val="00D23555"/>
    <w:rsid w:val="00D26D4E"/>
    <w:rsid w:val="00D4116A"/>
    <w:rsid w:val="00D50284"/>
    <w:rsid w:val="00D57282"/>
    <w:rsid w:val="00D675E4"/>
    <w:rsid w:val="00D67C5B"/>
    <w:rsid w:val="00D875B1"/>
    <w:rsid w:val="00D953EF"/>
    <w:rsid w:val="00DB0A5B"/>
    <w:rsid w:val="00DB6F26"/>
    <w:rsid w:val="00DC57C3"/>
    <w:rsid w:val="00DC5F78"/>
    <w:rsid w:val="00DD13E2"/>
    <w:rsid w:val="00DF0127"/>
    <w:rsid w:val="00E047E0"/>
    <w:rsid w:val="00E34CA6"/>
    <w:rsid w:val="00E52718"/>
    <w:rsid w:val="00E554DC"/>
    <w:rsid w:val="00E60AF5"/>
    <w:rsid w:val="00E6367E"/>
    <w:rsid w:val="00E915D1"/>
    <w:rsid w:val="00E92686"/>
    <w:rsid w:val="00EA61C1"/>
    <w:rsid w:val="00EC70B3"/>
    <w:rsid w:val="00ED0FE3"/>
    <w:rsid w:val="00EE051D"/>
    <w:rsid w:val="00EE08E3"/>
    <w:rsid w:val="00F07361"/>
    <w:rsid w:val="00F133A3"/>
    <w:rsid w:val="00F148AD"/>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3420-9BED-4124-9DB0-FC13745B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2186</Words>
  <Characters>12027</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2024-11-11T14:59:00Z</cp:lastPrinted>
  <dcterms:created xsi:type="dcterms:W3CDTF">2024-11-07T19:22:00Z</dcterms:created>
  <dcterms:modified xsi:type="dcterms:W3CDTF">2024-11-11T14:59:00Z</dcterms:modified>
</cp:coreProperties>
</file>