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C223" w14:textId="77777777" w:rsidR="0080459D" w:rsidRDefault="0080459D" w:rsidP="0046182D">
      <w:pPr>
        <w:pStyle w:val="Encabezado"/>
        <w:spacing w:line="360" w:lineRule="auto"/>
        <w:ind w:right="49"/>
        <w:jc w:val="both"/>
        <w:rPr>
          <w:rFonts w:ascii="Palatino Linotype" w:hAnsi="Palatino Linotype" w:cs="Tahoma"/>
          <w:b/>
        </w:rPr>
      </w:pPr>
    </w:p>
    <w:p w14:paraId="10D41A52" w14:textId="3BA8FB26" w:rsidR="00B45EC5" w:rsidRDefault="008B5910" w:rsidP="0046182D">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163D0D">
        <w:rPr>
          <w:rFonts w:ascii="Palatino Linotype" w:hAnsi="Palatino Linotype" w:cs="Arial"/>
          <w:b/>
          <w:bCs/>
          <w:lang w:val="es-MX" w:eastAsia="es-MX"/>
        </w:rPr>
        <w:t>0</w:t>
      </w:r>
      <w:r w:rsidR="00F35565">
        <w:rPr>
          <w:rFonts w:ascii="Palatino Linotype" w:hAnsi="Palatino Linotype" w:cs="Arial"/>
          <w:b/>
          <w:bCs/>
          <w:lang w:val="es-MX" w:eastAsia="es-MX"/>
        </w:rPr>
        <w:t>7516</w:t>
      </w:r>
      <w:r w:rsidR="00D31FCF">
        <w:rPr>
          <w:rFonts w:ascii="Palatino Linotype" w:hAnsi="Palatino Linotype" w:cs="Arial"/>
          <w:b/>
          <w:bCs/>
          <w:lang w:val="es-MX" w:eastAsia="es-MX"/>
        </w:rPr>
        <w:t>/INFOEM/IP/RR/202</w:t>
      </w:r>
      <w:r w:rsidR="00163D0D">
        <w:rPr>
          <w:rFonts w:ascii="Palatino Linotype" w:hAnsi="Palatino Linotype" w:cs="Arial"/>
          <w:b/>
          <w:bCs/>
          <w:lang w:val="es-MX" w:eastAsia="es-MX"/>
        </w:rPr>
        <w:t>3</w:t>
      </w:r>
      <w:r w:rsidR="00F35565">
        <w:rPr>
          <w:rFonts w:ascii="Palatino Linotype" w:hAnsi="Palatino Linotype" w:cs="Arial"/>
          <w:b/>
          <w:bCs/>
          <w:lang w:val="es-MX" w:eastAsia="es-MX"/>
        </w:rPr>
        <w:t xml:space="preserve"> Y ACUMULADO</w:t>
      </w:r>
      <w:r w:rsidR="00306972">
        <w:rPr>
          <w:rFonts w:ascii="Palatino Linotype" w:hAnsi="Palatino Linotype" w:cs="Arial"/>
          <w:b/>
          <w:bCs/>
          <w:lang w:val="es-MX" w:eastAsia="es-MX"/>
        </w:rPr>
        <w:t>,</w:t>
      </w:r>
      <w:r w:rsidRPr="006A7606">
        <w:rPr>
          <w:rFonts w:ascii="Palatino Linotype" w:hAnsi="Palatino Linotype" w:cs="Tahoma"/>
          <w:b/>
        </w:rPr>
        <w:t xml:space="preserve"> PROMOVIDO </w:t>
      </w:r>
      <w:r>
        <w:rPr>
          <w:rFonts w:ascii="Palatino Linotype" w:hAnsi="Palatino Linotype" w:cs="Tahoma"/>
          <w:b/>
        </w:rPr>
        <w:t xml:space="preserve">EN CONTRA DEL </w:t>
      </w:r>
      <w:r w:rsidR="0046182D">
        <w:rPr>
          <w:rFonts w:ascii="Palatino Linotype" w:hAnsi="Palatino Linotype" w:cs="Tahoma"/>
          <w:b/>
        </w:rPr>
        <w:t xml:space="preserve">AYUNTAMIENTO </w:t>
      </w:r>
      <w:r w:rsidR="0046182D" w:rsidRPr="0046182D">
        <w:rPr>
          <w:rFonts w:ascii="Palatino Linotype" w:hAnsi="Palatino Linotype" w:cs="Tahoma"/>
          <w:b/>
        </w:rPr>
        <w:t xml:space="preserve">DE </w:t>
      </w:r>
      <w:r w:rsidR="00163D0D">
        <w:rPr>
          <w:rFonts w:ascii="Palatino Linotype" w:hAnsi="Palatino Linotype" w:cs="Tahoma"/>
          <w:b/>
        </w:rPr>
        <w:t>T</w:t>
      </w:r>
      <w:r w:rsidR="00F35565">
        <w:rPr>
          <w:rFonts w:ascii="Palatino Linotype" w:hAnsi="Palatino Linotype" w:cs="Tahoma"/>
          <w:b/>
        </w:rPr>
        <w:t>LALMANALCO</w:t>
      </w:r>
      <w:r w:rsidR="0046182D">
        <w:rPr>
          <w:rFonts w:ascii="Palatino Linotype" w:hAnsi="Palatino Linotype" w:cs="Tahoma"/>
          <w:b/>
        </w:rPr>
        <w:t>.</w:t>
      </w:r>
    </w:p>
    <w:p w14:paraId="34026407" w14:textId="77777777" w:rsidR="00DB609F" w:rsidRPr="00905602" w:rsidRDefault="00DB609F" w:rsidP="0046182D">
      <w:pPr>
        <w:pStyle w:val="Encabezado"/>
        <w:spacing w:line="360" w:lineRule="auto"/>
        <w:ind w:right="49"/>
        <w:jc w:val="both"/>
        <w:rPr>
          <w:rFonts w:ascii="Palatino Linotype" w:hAnsi="Palatino Linotype" w:cs="Tahoma"/>
          <w:sz w:val="14"/>
        </w:rPr>
      </w:pPr>
    </w:p>
    <w:p w14:paraId="5AC428C6" w14:textId="77777777" w:rsidR="00F84B95" w:rsidRDefault="0046182D" w:rsidP="00B45EC5">
      <w:pPr>
        <w:spacing w:after="0" w:line="360" w:lineRule="auto"/>
        <w:jc w:val="both"/>
        <w:rPr>
          <w:rFonts w:ascii="Palatino Linotype" w:hAnsi="Palatino Linotype" w:cs="Tahoma"/>
          <w:b/>
        </w:rPr>
      </w:pPr>
      <w:r w:rsidRPr="0046182D">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en la resolución que </w:t>
      </w:r>
      <w:r w:rsidRPr="00B56DE2">
        <w:rPr>
          <w:rFonts w:ascii="Palatino Linotype" w:hAnsi="Palatino Linotype" w:cs="Tahoma"/>
          <w:b/>
          <w:bCs/>
        </w:rPr>
        <w:t>presenté conforme al criterio mayoritario del Pleno,</w:t>
      </w:r>
      <w:r w:rsidRPr="0046182D">
        <w:rPr>
          <w:rFonts w:ascii="Palatino Linotype" w:hAnsi="Palatino Linotype" w:cs="Tahoma"/>
        </w:rPr>
        <w:t xml:space="preserve"> en la Resolución del Recurso de Revisión </w:t>
      </w:r>
      <w:r w:rsidR="00163D0D">
        <w:rPr>
          <w:rFonts w:ascii="Palatino Linotype" w:hAnsi="Palatino Linotype" w:cs="Tahoma"/>
          <w:b/>
        </w:rPr>
        <w:t>0</w:t>
      </w:r>
      <w:r w:rsidR="00F35565">
        <w:rPr>
          <w:rFonts w:ascii="Palatino Linotype" w:hAnsi="Palatino Linotype" w:cs="Tahoma"/>
          <w:b/>
        </w:rPr>
        <w:t>7516</w:t>
      </w:r>
      <w:r w:rsidR="00D31FCF">
        <w:rPr>
          <w:rFonts w:ascii="Palatino Linotype" w:hAnsi="Palatino Linotype" w:cs="Tahoma"/>
          <w:b/>
        </w:rPr>
        <w:t>/INFOEM/IP/RR/202</w:t>
      </w:r>
      <w:r w:rsidR="00163D0D">
        <w:rPr>
          <w:rFonts w:ascii="Palatino Linotype" w:hAnsi="Palatino Linotype" w:cs="Tahoma"/>
          <w:b/>
        </w:rPr>
        <w:t>3</w:t>
      </w:r>
      <w:r w:rsidR="00F35565">
        <w:rPr>
          <w:rFonts w:ascii="Palatino Linotype" w:hAnsi="Palatino Linotype" w:cs="Tahoma"/>
          <w:b/>
        </w:rPr>
        <w:t xml:space="preserve"> y acumulado</w:t>
      </w:r>
      <w:r w:rsidR="00DB609F">
        <w:rPr>
          <w:rFonts w:ascii="Palatino Linotype" w:hAnsi="Palatino Linotype" w:cs="Tahoma"/>
          <w:b/>
        </w:rPr>
        <w:t>.</w:t>
      </w:r>
    </w:p>
    <w:p w14:paraId="325D11AB" w14:textId="77777777" w:rsidR="00F84B95" w:rsidRPr="00905602" w:rsidRDefault="00F84B95" w:rsidP="00F84B95">
      <w:pPr>
        <w:spacing w:after="0" w:line="360" w:lineRule="auto"/>
        <w:jc w:val="both"/>
        <w:rPr>
          <w:rFonts w:ascii="Palatino Linotype" w:hAnsi="Palatino Linotype" w:cs="Tahoma"/>
          <w:sz w:val="18"/>
        </w:rPr>
      </w:pPr>
    </w:p>
    <w:p w14:paraId="377B8984" w14:textId="77777777" w:rsidR="00F35565" w:rsidRDefault="00F35565" w:rsidP="00F35565">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w:t>
      </w:r>
      <w:r>
        <w:rPr>
          <w:rFonts w:ascii="Palatino Linotype" w:hAnsi="Palatino Linotype" w:cs="Tahoma"/>
          <w:b/>
          <w:bCs/>
        </w:rPr>
        <w:t xml:space="preserve"> </w:t>
      </w:r>
      <w:r w:rsidRPr="005A5AC9">
        <w:rPr>
          <w:rFonts w:ascii="Palatino Linotype" w:hAnsi="Palatino Linotype" w:cs="Tahoma"/>
          <w:b/>
          <w:bCs/>
        </w:rPr>
        <w:t>de los elementos operativos del área de seguridad pública del Sujeto Obligado</w:t>
      </w:r>
      <w:r>
        <w:rPr>
          <w:rFonts w:ascii="Palatino Linotype" w:hAnsi="Palatino Linotype" w:cs="Tahoma"/>
        </w:rPr>
        <w:t>, por ello, se determinó que estos deben ser clasificados como reservados y, se ordenó la entrega de la información en versión pública, así como el acuerdo de clasificación emitido por el Comité de Transparencia.</w:t>
      </w:r>
    </w:p>
    <w:p w14:paraId="19574FDE" w14:textId="77777777" w:rsidR="00F35565" w:rsidRDefault="00F35565" w:rsidP="00F35565">
      <w:pPr>
        <w:spacing w:after="0" w:line="360" w:lineRule="auto"/>
        <w:jc w:val="both"/>
        <w:rPr>
          <w:rFonts w:ascii="Palatino Linotype" w:hAnsi="Palatino Linotype" w:cs="Tahoma"/>
        </w:rPr>
      </w:pPr>
    </w:p>
    <w:p w14:paraId="1AA28EB8" w14:textId="1F5F1A26" w:rsidR="00F35565" w:rsidRPr="006C68E0" w:rsidRDefault="00F35565" w:rsidP="00F35565">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w:t>
      </w:r>
      <w:r w:rsidRPr="00D76A6E">
        <w:rPr>
          <w:rFonts w:ascii="Palatino Linotype" w:hAnsi="Palatino Linotype" w:cs="Tahoma"/>
          <w:u w:val="single"/>
        </w:rPr>
        <w:t xml:space="preserve">la reserva del nombre de aquellos servidores públicos que realizan funciones de </w:t>
      </w:r>
      <w:r w:rsidRPr="00D76A6E">
        <w:rPr>
          <w:rFonts w:ascii="Palatino Linotype" w:hAnsi="Palatino Linotype" w:cs="Tahoma"/>
          <w:u w:val="single"/>
        </w:rPr>
        <w:lastRenderedPageBreak/>
        <w:t>seguridad pública</w:t>
      </w:r>
      <w:r>
        <w:rPr>
          <w:rFonts w:ascii="Palatino Linotype" w:hAnsi="Palatino Linotype" w:cs="Tahoma"/>
        </w:rPr>
        <w:t>, considero que para acreditar dicha circunstancia el Organismo Garante debe de desarrollar y estudiar la prueba de daño específica</w:t>
      </w:r>
    </w:p>
    <w:p w14:paraId="55A97884" w14:textId="77777777" w:rsidR="00F35565" w:rsidRDefault="00F35565" w:rsidP="00F35565">
      <w:pPr>
        <w:spacing w:after="0" w:line="360" w:lineRule="auto"/>
        <w:jc w:val="both"/>
        <w:rPr>
          <w:rFonts w:ascii="Palatino Linotype" w:hAnsi="Palatino Linotype" w:cs="Tahoma"/>
        </w:rPr>
      </w:pPr>
    </w:p>
    <w:p w14:paraId="61813991" w14:textId="77777777" w:rsidR="00F35565" w:rsidRDefault="00F35565" w:rsidP="00F35565">
      <w:pPr>
        <w:spacing w:after="0" w:line="360" w:lineRule="auto"/>
        <w:jc w:val="both"/>
        <w:rPr>
          <w:rFonts w:ascii="Palatino Linotype" w:hAnsi="Palatino Linotype" w:cs="Tahoma"/>
        </w:rPr>
      </w:pPr>
      <w:r>
        <w:rPr>
          <w:rFonts w:ascii="Palatino Linotype" w:hAnsi="Palatino Linotype" w:cs="Tahoma"/>
        </w:rPr>
        <w:t xml:space="preserve">Por lo que hace a la clasificación del nombre de elementos operativos, considero especialmente que el tema de la reserva debe analizarse de forma tal que se plantee en el estudio la prueba de daño que permita a este Organismo Garante confirmar que la entrega de la información causa un daño al interés público y que en ese caso particular, supera el derecho de acceso a la información de un particular; lo anterior, en virtud de que, para que proceda o no la reserva, no basta con que se actualice el dispositivo normativo previsto en el artículo 140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sino que además es menester acreditar la prueba de daño, de conformidad con lo establecido en los artículos 128, 129 y 130 de la </w:t>
      </w:r>
      <w:r w:rsidRPr="00885189">
        <w:rPr>
          <w:rFonts w:ascii="Palatino Linotype" w:hAnsi="Palatino Linotype" w:cs="Tahoma"/>
        </w:rPr>
        <w:t xml:space="preserve">Ley </w:t>
      </w:r>
      <w:r>
        <w:rPr>
          <w:rFonts w:ascii="Palatino Linotype" w:hAnsi="Palatino Linotype" w:cs="Tahoma"/>
        </w:rPr>
        <w:t xml:space="preserve">antes citada, en relación con el Trigésimo de los </w:t>
      </w:r>
      <w:r w:rsidRPr="001A758C">
        <w:rPr>
          <w:rFonts w:ascii="Palatino Linotype" w:hAnsi="Palatino Linotype" w:cs="Tahoma"/>
        </w:rPr>
        <w:t>Lineamientos Generales en Materia de Clasificación y</w:t>
      </w:r>
      <w:r>
        <w:rPr>
          <w:rFonts w:ascii="Palatino Linotype" w:hAnsi="Palatino Linotype" w:cs="Tahoma"/>
        </w:rPr>
        <w:t xml:space="preserve"> </w:t>
      </w:r>
      <w:r w:rsidRPr="001A758C">
        <w:rPr>
          <w:rFonts w:ascii="Palatino Linotype" w:hAnsi="Palatino Linotype" w:cs="Tahoma"/>
        </w:rPr>
        <w:t>Desclasificación de la Información, así como para la</w:t>
      </w:r>
      <w:r>
        <w:rPr>
          <w:rFonts w:ascii="Palatino Linotype" w:hAnsi="Palatino Linotype" w:cs="Tahoma"/>
        </w:rPr>
        <w:t xml:space="preserve"> </w:t>
      </w:r>
      <w:r w:rsidRPr="001A758C">
        <w:rPr>
          <w:rFonts w:ascii="Palatino Linotype" w:hAnsi="Palatino Linotype" w:cs="Tahoma"/>
        </w:rPr>
        <w:t>Elaboración de Versiones Públicas</w:t>
      </w:r>
      <w:r>
        <w:rPr>
          <w:rFonts w:ascii="Palatino Linotype" w:hAnsi="Palatino Linotype" w:cs="Tahoma"/>
        </w:rPr>
        <w:t>.</w:t>
      </w:r>
    </w:p>
    <w:p w14:paraId="358A52CF" w14:textId="77777777" w:rsidR="00F35565" w:rsidRDefault="00F35565" w:rsidP="00F35565">
      <w:pPr>
        <w:spacing w:after="0" w:line="360" w:lineRule="auto"/>
        <w:jc w:val="both"/>
        <w:rPr>
          <w:rFonts w:ascii="Palatino Linotype" w:hAnsi="Palatino Linotype" w:cs="Tahoma"/>
        </w:rPr>
      </w:pPr>
    </w:p>
    <w:p w14:paraId="16978E97" w14:textId="77777777" w:rsidR="00F35565" w:rsidRDefault="00F35565" w:rsidP="00F35565">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ordenamientos citados, es necesario confirmar que la entrega del nombre de los elementos operativos de seguridad pública,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4F4603F5" w14:textId="77777777" w:rsidR="00F35565" w:rsidRDefault="00F35565" w:rsidP="00F35565">
      <w:pPr>
        <w:spacing w:after="0" w:line="360" w:lineRule="auto"/>
        <w:jc w:val="both"/>
        <w:rPr>
          <w:rFonts w:ascii="Palatino Linotype" w:hAnsi="Palatino Linotype" w:cs="Tahoma"/>
        </w:rPr>
      </w:pPr>
    </w:p>
    <w:p w14:paraId="4C12A452" w14:textId="77777777" w:rsidR="00F35565" w:rsidRPr="00FB0274" w:rsidRDefault="00F35565" w:rsidP="00F35565">
      <w:pPr>
        <w:spacing w:after="0" w:line="360" w:lineRule="auto"/>
        <w:jc w:val="both"/>
        <w:rPr>
          <w:rFonts w:ascii="Palatino Linotype" w:hAnsi="Palatino Linotype"/>
        </w:rPr>
      </w:pPr>
      <w:r>
        <w:rPr>
          <w:rFonts w:ascii="Palatino Linotype" w:hAnsi="Palatino Linotype"/>
        </w:rPr>
        <w:t>Lo anterior, resulta importante</w:t>
      </w:r>
      <w:r w:rsidRPr="00FB0274">
        <w:rPr>
          <w:rFonts w:ascii="Palatino Linotype" w:hAnsi="Palatino Linotype"/>
        </w:rPr>
        <w:t>,</w:t>
      </w:r>
      <w:r>
        <w:rPr>
          <w:rFonts w:ascii="Palatino Linotype" w:hAnsi="Palatino Linotype"/>
        </w:rPr>
        <w:t xml:space="preserve"> toda vez que</w:t>
      </w:r>
      <w:r w:rsidRPr="00FB0274">
        <w:rPr>
          <w:rFonts w:ascii="Palatino Linotype" w:hAnsi="Palatino Linotype"/>
        </w:rPr>
        <w:t xml:space="preserve">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w:t>
      </w:r>
      <w:r w:rsidRPr="00FB0274">
        <w:rPr>
          <w:rFonts w:ascii="Palatino Linotype" w:hAnsi="Palatino Linotype"/>
        </w:rPr>
        <w:lastRenderedPageBreak/>
        <w:t>pública, se encuentran en un régimen de excepción a diferencia de los servidores públicos con funciones administrativas</w:t>
      </w:r>
      <w:r>
        <w:rPr>
          <w:rFonts w:ascii="Palatino Linotype" w:hAnsi="Palatino Linotype"/>
        </w:rPr>
        <w:t xml:space="preserve"> incluso de las mismas áreas de seguridad pública</w:t>
      </w:r>
      <w:r w:rsidRPr="00FB0274">
        <w:rPr>
          <w:rFonts w:ascii="Palatino Linotype" w:hAnsi="Palatino Linotype"/>
        </w:rPr>
        <w:t>,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0236C139" w14:textId="77777777" w:rsidR="00F35565" w:rsidRPr="00FB0274" w:rsidRDefault="00F35565" w:rsidP="00F35565">
      <w:pPr>
        <w:spacing w:after="0" w:line="360" w:lineRule="auto"/>
        <w:jc w:val="both"/>
        <w:rPr>
          <w:rFonts w:ascii="Palatino Linotype" w:hAnsi="Palatino Linotype"/>
        </w:rPr>
      </w:pPr>
    </w:p>
    <w:p w14:paraId="099F5C9C" w14:textId="77777777" w:rsidR="00F35565" w:rsidRPr="00FB0274" w:rsidRDefault="00F35565" w:rsidP="00F35565">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w:t>
      </w:r>
      <w:r>
        <w:rPr>
          <w:rFonts w:ascii="Palatino Linotype" w:hAnsi="Palatino Linotype"/>
        </w:rPr>
        <w:t xml:space="preserve"> salud,</w:t>
      </w:r>
      <w:r w:rsidRPr="00FB0274">
        <w:rPr>
          <w:rFonts w:ascii="Palatino Linotype" w:hAnsi="Palatino Linotype"/>
        </w:rPr>
        <w:t xml:space="preserve"> integridad o seguridad.</w:t>
      </w:r>
    </w:p>
    <w:p w14:paraId="41B0894B" w14:textId="77777777" w:rsidR="00F35565" w:rsidRPr="00FB0274" w:rsidRDefault="00F35565" w:rsidP="00F35565">
      <w:pPr>
        <w:spacing w:after="0" w:line="360" w:lineRule="auto"/>
        <w:jc w:val="both"/>
        <w:rPr>
          <w:rFonts w:ascii="Palatino Linotype" w:hAnsi="Palatino Linotype"/>
        </w:rPr>
      </w:pPr>
    </w:p>
    <w:p w14:paraId="2C8FCAB2" w14:textId="77777777" w:rsidR="00F35565" w:rsidRPr="00FB0274" w:rsidRDefault="00F35565" w:rsidP="00F35565">
      <w:pPr>
        <w:spacing w:after="0" w:line="360" w:lineRule="auto"/>
        <w:jc w:val="both"/>
        <w:rPr>
          <w:rFonts w:ascii="Palatino Linotype" w:hAnsi="Palatino Linotype"/>
        </w:rPr>
      </w:pPr>
      <w:r w:rsidRPr="00FB0274">
        <w:rPr>
          <w:rFonts w:ascii="Palatino Linotype" w:hAnsi="Palatino Linotype"/>
        </w:rPr>
        <w:t xml:space="preserve">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w:t>
      </w:r>
      <w:r>
        <w:rPr>
          <w:rFonts w:ascii="Palatino Linotype" w:hAnsi="Palatino Linotype"/>
        </w:rPr>
        <w:t>Local</w:t>
      </w:r>
      <w:r w:rsidRPr="00FB0274">
        <w:rPr>
          <w:rFonts w:ascii="Palatino Linotype" w:hAnsi="Palatino Linotype"/>
        </w:rPr>
        <w:t xml:space="preserve">, antes </w:t>
      </w:r>
      <w:proofErr w:type="gramStart"/>
      <w:r w:rsidRPr="00FB0274">
        <w:rPr>
          <w:rFonts w:ascii="Palatino Linotype" w:hAnsi="Palatino Linotype"/>
        </w:rPr>
        <w:t>referido</w:t>
      </w:r>
      <w:proofErr w:type="gramEnd"/>
      <w:r w:rsidRPr="00FB0274">
        <w:rPr>
          <w:rFonts w:ascii="Palatino Linotype" w:hAnsi="Palatino Linotype"/>
        </w:rPr>
        <w:t>, el cual dispone lo siguiente:</w:t>
      </w:r>
    </w:p>
    <w:p w14:paraId="235FCBA8" w14:textId="77777777" w:rsidR="00F35565" w:rsidRPr="006A7606" w:rsidRDefault="00F35565" w:rsidP="00F35565">
      <w:pPr>
        <w:spacing w:after="0" w:line="360" w:lineRule="auto"/>
        <w:jc w:val="both"/>
        <w:rPr>
          <w:rFonts w:ascii="Palatino Linotype" w:eastAsia="MS Mincho" w:hAnsi="Palatino Linotype" w:cs="Arial"/>
        </w:rPr>
      </w:pPr>
    </w:p>
    <w:p w14:paraId="2D14C054"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1A758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10231742"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lastRenderedPageBreak/>
        <w:t>…</w:t>
      </w:r>
    </w:p>
    <w:p w14:paraId="2D3FF00E"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E921F4"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72C85173" w14:textId="77777777" w:rsidR="00F35565" w:rsidRDefault="00F35565" w:rsidP="00F35565">
      <w:pPr>
        <w:spacing w:after="0" w:line="360" w:lineRule="auto"/>
        <w:jc w:val="both"/>
        <w:rPr>
          <w:rFonts w:ascii="Palatino Linotype" w:eastAsia="MS Mincho" w:hAnsi="Palatino Linotype" w:cs="Arial"/>
        </w:rPr>
      </w:pPr>
    </w:p>
    <w:p w14:paraId="09E99162" w14:textId="77777777" w:rsidR="00F35565" w:rsidRPr="001A758C" w:rsidRDefault="00F35565" w:rsidP="00F35565">
      <w:pPr>
        <w:spacing w:after="0" w:line="360" w:lineRule="auto"/>
        <w:jc w:val="both"/>
        <w:rPr>
          <w:rFonts w:ascii="Palatino Linotype" w:eastAsia="MS Mincho" w:hAnsi="Palatino Linotype" w:cs="Arial"/>
          <w:b/>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C75CD8">
        <w:rPr>
          <w:rFonts w:ascii="Palatino Linotype" w:eastAsia="Calibri" w:hAnsi="Palatino Linotype" w:cs="Tahoma"/>
          <w:b/>
          <w:bCs/>
          <w:u w:val="single"/>
        </w:rPr>
        <w:t>acreditar el vínculo</w:t>
      </w:r>
      <w:r w:rsidRPr="000F496B">
        <w:rPr>
          <w:rFonts w:ascii="Palatino Linotype" w:eastAsia="Calibri" w:hAnsi="Palatino Linotype" w:cs="Tahoma"/>
          <w:b/>
          <w:bCs/>
        </w:rPr>
        <w:t>, entre la persona física y la información que pueda poner en riesgo su vida, seguridad o salud</w:t>
      </w:r>
      <w:r>
        <w:rPr>
          <w:rFonts w:ascii="Palatino Linotype" w:eastAsia="Calibri" w:hAnsi="Palatino Linotype" w:cs="Tahoma"/>
          <w:bCs/>
        </w:rPr>
        <w:t xml:space="preserve">, </w:t>
      </w:r>
      <w:r>
        <w:rPr>
          <w:rFonts w:ascii="Palatino Linotype" w:eastAsia="Calibri" w:hAnsi="Palatino Linotype" w:cs="Tahoma"/>
          <w:b/>
        </w:rPr>
        <w:t>por medio de la especificación del bien jurídico que será afectado, así como, el potencial del daño o riesgo que causaría.</w:t>
      </w:r>
    </w:p>
    <w:p w14:paraId="607AFF97" w14:textId="77777777" w:rsidR="00F35565" w:rsidRDefault="00F35565" w:rsidP="00F35565">
      <w:pPr>
        <w:spacing w:after="0" w:line="360" w:lineRule="auto"/>
        <w:jc w:val="both"/>
        <w:rPr>
          <w:rFonts w:ascii="Palatino Linotype" w:eastAsia="MS Mincho" w:hAnsi="Palatino Linotype" w:cs="Arial"/>
        </w:rPr>
      </w:pPr>
    </w:p>
    <w:p w14:paraId="69AC3D63" w14:textId="77777777" w:rsidR="00F35565" w:rsidRPr="006A7606" w:rsidRDefault="00F35565" w:rsidP="00F35565">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w:t>
      </w:r>
      <w:r>
        <w:rPr>
          <w:rFonts w:ascii="Palatino Linotype" w:eastAsia="MS Mincho" w:hAnsi="Palatino Linotype" w:cs="Arial"/>
        </w:rPr>
        <w:t>,</w:t>
      </w:r>
      <w:r w:rsidRPr="006A7606">
        <w:rPr>
          <w:rFonts w:ascii="Palatino Linotype" w:eastAsia="MS Mincho" w:hAnsi="Palatino Linotype" w:cs="Arial"/>
        </w:rPr>
        <w:t xml:space="preserv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0FBBF0A2" w14:textId="77777777" w:rsidR="00F35565" w:rsidRPr="006A7606" w:rsidRDefault="00F35565" w:rsidP="00F35565">
      <w:pPr>
        <w:spacing w:after="0" w:line="360" w:lineRule="auto"/>
        <w:jc w:val="both"/>
        <w:rPr>
          <w:rFonts w:ascii="Palatino Linotype" w:eastAsia="MS Mincho" w:hAnsi="Palatino Linotype" w:cs="Arial"/>
          <w:lang w:val="es-ES_tradnl"/>
        </w:rPr>
      </w:pPr>
    </w:p>
    <w:p w14:paraId="380B3F62" w14:textId="77777777" w:rsidR="00F35565" w:rsidRPr="006A7606" w:rsidRDefault="00F35565" w:rsidP="00F35565">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28B65D9" w14:textId="77777777" w:rsidR="00F35565" w:rsidRPr="006A7606" w:rsidRDefault="00F35565" w:rsidP="00F35565">
      <w:pPr>
        <w:spacing w:after="0" w:line="360" w:lineRule="auto"/>
        <w:ind w:left="851" w:right="851"/>
        <w:jc w:val="both"/>
        <w:rPr>
          <w:rFonts w:ascii="Palatino Linotype" w:eastAsia="MS Mincho" w:hAnsi="Palatino Linotype" w:cs="Arial"/>
          <w:i/>
          <w:lang w:val="es-ES_tradnl"/>
        </w:rPr>
      </w:pPr>
    </w:p>
    <w:p w14:paraId="58CF081A"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lastRenderedPageBreak/>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w:t>
      </w:r>
      <w:r w:rsidRPr="001A758C">
        <w:rPr>
          <w:rFonts w:ascii="Palatino Linotype" w:eastAsia="MS Mincho" w:hAnsi="Palatino Linotype" w:cs="Arial"/>
          <w:bCs/>
          <w:i/>
          <w:sz w:val="20"/>
          <w:szCs w:val="20"/>
          <w:lang w:val="es-ES_tradnl"/>
        </w:rPr>
        <w:t>información para la seguridad pública generada o en poder de Instituciones de Seguridad Pública o de cualquier instancia del Sistema Estatal debe registrarse, clasificarse y tratarse de conformidad con las disposiciones aplicables.</w:t>
      </w:r>
      <w:r w:rsidRPr="006E2C84">
        <w:rPr>
          <w:rFonts w:ascii="Palatino Linotype" w:eastAsia="MS Mincho" w:hAnsi="Palatino Linotype" w:cs="Arial"/>
          <w:b/>
          <w:i/>
          <w:sz w:val="20"/>
          <w:szCs w:val="20"/>
          <w:lang w:val="es-ES_tradnl"/>
        </w:rPr>
        <w:t xml:space="preserve">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1976B839"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7A860FF6" w14:textId="77777777" w:rsidR="00F35565" w:rsidRPr="006E2C84" w:rsidRDefault="00F35565" w:rsidP="00F35565">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041F457C" w14:textId="77777777" w:rsidR="00F35565" w:rsidRDefault="00F35565" w:rsidP="00F35565">
      <w:pPr>
        <w:spacing w:after="0" w:line="360" w:lineRule="auto"/>
        <w:jc w:val="both"/>
        <w:rPr>
          <w:rFonts w:ascii="Palatino Linotype" w:hAnsi="Palatino Linotype" w:cs="Arial"/>
        </w:rPr>
      </w:pPr>
    </w:p>
    <w:p w14:paraId="3EB955ED" w14:textId="77777777" w:rsidR="00F35565" w:rsidRPr="006A7606" w:rsidRDefault="00F35565" w:rsidP="00F35565">
      <w:pPr>
        <w:spacing w:after="0" w:line="360" w:lineRule="auto"/>
        <w:jc w:val="both"/>
        <w:rPr>
          <w:rFonts w:ascii="Palatino Linotype" w:hAnsi="Palatino Linotype" w:cs="Arial"/>
        </w:rPr>
      </w:pPr>
      <w:r w:rsidRPr="006A7606">
        <w:rPr>
          <w:rFonts w:ascii="Palatino Linotype" w:hAnsi="Palatino Linotype" w:cs="Arial"/>
        </w:rPr>
        <w:t xml:space="preserve">Argumento que se fortalece con lo estipulado en el </w:t>
      </w:r>
      <w:r w:rsidRPr="001A758C">
        <w:rPr>
          <w:rFonts w:ascii="Palatino Linotype" w:hAnsi="Palatino Linotype" w:cs="Arial"/>
        </w:rPr>
        <w:t>Criterio de interpretación,</w:t>
      </w:r>
      <w:r>
        <w:rPr>
          <w:rFonts w:ascii="Palatino Linotype" w:hAnsi="Palatino Linotype" w:cs="Arial"/>
        </w:rPr>
        <w:t xml:space="preserve"> </w:t>
      </w:r>
      <w:r w:rsidRPr="001A758C">
        <w:rPr>
          <w:rFonts w:ascii="Palatino Linotype" w:hAnsi="Palatino Linotype" w:cs="Arial"/>
        </w:rPr>
        <w:t>con número de registro SO/006/2009, de la Segunda Época, emitido por el entonces</w:t>
      </w:r>
      <w:r>
        <w:rPr>
          <w:rFonts w:ascii="Palatino Linotype" w:hAnsi="Palatino Linotype" w:cs="Arial"/>
        </w:rPr>
        <w:t xml:space="preserve"> </w:t>
      </w:r>
      <w:r w:rsidRPr="001A758C">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722418F" w14:textId="77777777" w:rsidR="00F35565" w:rsidRPr="006A7606" w:rsidRDefault="00F35565" w:rsidP="00F35565">
      <w:pPr>
        <w:spacing w:after="0" w:line="360" w:lineRule="auto"/>
        <w:jc w:val="both"/>
        <w:rPr>
          <w:rFonts w:ascii="Palatino Linotype" w:hAnsi="Palatino Linotype" w:cs="Arial"/>
        </w:rPr>
      </w:pPr>
    </w:p>
    <w:p w14:paraId="2839EA56" w14:textId="77777777" w:rsidR="00F35565" w:rsidRPr="006E2C84" w:rsidRDefault="00F35565" w:rsidP="00F35565">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w:t>
      </w:r>
      <w:r w:rsidRPr="006E2C84">
        <w:rPr>
          <w:rFonts w:ascii="Palatino Linotype" w:hAnsi="Palatino Linotype" w:cs="Arial"/>
          <w:bCs/>
          <w:i/>
          <w:sz w:val="20"/>
          <w:szCs w:val="20"/>
          <w:lang w:eastAsia="es-MX"/>
        </w:rPr>
        <w:lastRenderedPageBreak/>
        <w:t xml:space="preserve">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50DFA17C" w14:textId="77777777" w:rsidR="00F35565" w:rsidRDefault="00F35565" w:rsidP="00F35565">
      <w:pPr>
        <w:spacing w:after="0" w:line="360" w:lineRule="auto"/>
        <w:jc w:val="both"/>
        <w:rPr>
          <w:rFonts w:ascii="Palatino Linotype" w:hAnsi="Palatino Linotype"/>
        </w:rPr>
      </w:pPr>
    </w:p>
    <w:p w14:paraId="2E42ED63" w14:textId="77777777" w:rsidR="00F35565" w:rsidRPr="006A7606" w:rsidRDefault="00F35565" w:rsidP="00F35565">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w:t>
      </w:r>
      <w:r>
        <w:rPr>
          <w:rFonts w:ascii="Palatino Linotype" w:hAnsi="Palatino Linotype" w:cs="Arial"/>
        </w:rPr>
        <w:t>,</w:t>
      </w:r>
      <w:r w:rsidRPr="006A7606">
        <w:rPr>
          <w:rFonts w:ascii="Palatino Linotype" w:hAnsi="Palatino Linotype" w:cs="Arial"/>
        </w:rPr>
        <w:t xml:space="preserve"> </w:t>
      </w:r>
      <w:r>
        <w:rPr>
          <w:rFonts w:ascii="Palatino Linotype" w:hAnsi="Palatino Linotype" w:cs="Arial"/>
        </w:rPr>
        <w:t>s</w:t>
      </w:r>
      <w:r w:rsidRPr="006A7606">
        <w:rPr>
          <w:rFonts w:ascii="Palatino Linotype" w:hAnsi="Palatino Linotype" w:cs="Arial"/>
        </w:rPr>
        <w:t>ituación que se replica en el escenario local.</w:t>
      </w:r>
    </w:p>
    <w:p w14:paraId="5899B28D" w14:textId="77777777" w:rsidR="00F35565" w:rsidRPr="006A7606" w:rsidRDefault="00F35565" w:rsidP="00F35565">
      <w:pPr>
        <w:spacing w:after="0" w:line="360" w:lineRule="auto"/>
        <w:jc w:val="both"/>
        <w:rPr>
          <w:rFonts w:ascii="Palatino Linotype" w:hAnsi="Palatino Linotype"/>
        </w:rPr>
      </w:pPr>
    </w:p>
    <w:p w14:paraId="1B639EEC" w14:textId="77777777" w:rsidR="00F35565" w:rsidRPr="006A7606" w:rsidRDefault="00F35565" w:rsidP="00F35565">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57D47317" w14:textId="77777777" w:rsidR="00F35565" w:rsidRPr="006A7606" w:rsidRDefault="00F35565" w:rsidP="00F35565">
      <w:pPr>
        <w:spacing w:after="0" w:line="360" w:lineRule="auto"/>
        <w:jc w:val="both"/>
        <w:rPr>
          <w:rFonts w:ascii="Palatino Linotype" w:hAnsi="Palatino Linotype" w:cs="Segoe UI"/>
        </w:rPr>
      </w:pPr>
    </w:p>
    <w:p w14:paraId="0C500B68" w14:textId="77777777" w:rsidR="00F35565" w:rsidRPr="006E2C84" w:rsidRDefault="00F35565" w:rsidP="00F35565">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w:t>
      </w:r>
      <w:r w:rsidRPr="006E2C84">
        <w:rPr>
          <w:rFonts w:ascii="Palatino Linotype" w:eastAsia="Calibri" w:hAnsi="Palatino Linotype" w:cs="Arial"/>
          <w:i/>
          <w:sz w:val="20"/>
          <w:szCs w:val="20"/>
        </w:rPr>
        <w:lastRenderedPageBreak/>
        <w:t>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5D24448" w14:textId="77777777" w:rsidR="00F35565" w:rsidRDefault="00F35565" w:rsidP="00F35565">
      <w:pPr>
        <w:autoSpaceDE w:val="0"/>
        <w:autoSpaceDN w:val="0"/>
        <w:adjustRightInd w:val="0"/>
        <w:spacing w:after="0" w:line="360" w:lineRule="auto"/>
        <w:ind w:left="567" w:right="567"/>
        <w:jc w:val="both"/>
        <w:rPr>
          <w:rFonts w:ascii="Palatino Linotype" w:eastAsia="Calibri" w:hAnsi="Palatino Linotype" w:cs="Arial"/>
          <w:b/>
          <w:bCs/>
          <w:i/>
          <w:sz w:val="20"/>
          <w:szCs w:val="20"/>
        </w:rPr>
      </w:pPr>
    </w:p>
    <w:p w14:paraId="1E928481" w14:textId="77777777" w:rsidR="00F35565" w:rsidRPr="001A758C" w:rsidRDefault="00F35565" w:rsidP="00F35565">
      <w:pPr>
        <w:autoSpaceDE w:val="0"/>
        <w:autoSpaceDN w:val="0"/>
        <w:adjustRightInd w:val="0"/>
        <w:spacing w:after="0" w:line="360" w:lineRule="auto"/>
        <w:ind w:left="567" w:right="567"/>
        <w:jc w:val="both"/>
        <w:rPr>
          <w:rFonts w:ascii="Palatino Linotype" w:eastAsia="Calibri" w:hAnsi="Palatino Linotype" w:cs="Arial"/>
          <w:b/>
          <w:bCs/>
          <w:i/>
          <w:sz w:val="20"/>
          <w:szCs w:val="20"/>
        </w:rPr>
      </w:pPr>
      <w:r w:rsidRPr="001A758C">
        <w:rPr>
          <w:rFonts w:ascii="Palatino Linotype" w:eastAsia="Calibri" w:hAnsi="Palatino Linotype" w:cs="Arial"/>
          <w:b/>
          <w:bCs/>
          <w:i/>
          <w:sz w:val="20"/>
          <w:szCs w:val="20"/>
        </w:rPr>
        <w:t>“TRANSPARENCIA Y ACCESO A LA INFORMACIÓN PÚBLICA GUBERNAMENTAL. EL ARTÍCULO 14, FRACCIÓN I, DE LA LEY FEDERAL RELATIVA, NO VIOLA LA GARANTÍA DE ACCESO A LA INFORMACIÓN. </w:t>
      </w:r>
      <w:r w:rsidRPr="001A758C">
        <w:rPr>
          <w:rFonts w:ascii="Palatino Linotype" w:eastAsia="Calibri" w:hAnsi="Palatino Linotype" w:cs="Arial"/>
          <w:i/>
          <w:sz w:val="20"/>
          <w:szCs w:val="20"/>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w:t>
      </w:r>
      <w:r w:rsidRPr="001A758C">
        <w:rPr>
          <w:rFonts w:ascii="Palatino Linotype" w:eastAsia="Calibri" w:hAnsi="Palatino Linotype" w:cs="Arial"/>
          <w:i/>
          <w:sz w:val="20"/>
          <w:szCs w:val="20"/>
        </w:rPr>
        <w:lastRenderedPageBreak/>
        <w:t>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p>
    <w:p w14:paraId="75F21690" w14:textId="77777777" w:rsidR="00F35565" w:rsidRDefault="00F35565" w:rsidP="00F35565">
      <w:pPr>
        <w:spacing w:after="0" w:line="360" w:lineRule="auto"/>
        <w:jc w:val="both"/>
        <w:rPr>
          <w:rFonts w:ascii="Palatino Linotype" w:hAnsi="Palatino Linotype" w:cs="Arial"/>
        </w:rPr>
      </w:pPr>
    </w:p>
    <w:p w14:paraId="63587A03" w14:textId="77777777" w:rsidR="00F35565" w:rsidRDefault="00F35565" w:rsidP="00F35565">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w:t>
      </w:r>
      <w:r>
        <w:rPr>
          <w:rFonts w:ascii="Palatino Linotype" w:hAnsi="Palatino Linotype" w:cs="Arial"/>
        </w:rPr>
        <w:t xml:space="preserve"> y</w:t>
      </w:r>
      <w:r w:rsidRPr="006A7606">
        <w:rPr>
          <w:rFonts w:ascii="Palatino Linotype" w:hAnsi="Palatino Linotype" w:cs="Arial"/>
        </w:rPr>
        <w:t xml:space="preserve">,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44DADEA" w14:textId="77777777" w:rsidR="00F35565" w:rsidRDefault="00F35565" w:rsidP="00F35565">
      <w:pPr>
        <w:spacing w:after="0" w:line="360" w:lineRule="auto"/>
        <w:jc w:val="both"/>
        <w:rPr>
          <w:rFonts w:ascii="Palatino Linotype" w:hAnsi="Palatino Linotype" w:cs="Arial"/>
        </w:rPr>
      </w:pPr>
    </w:p>
    <w:p w14:paraId="4315C845" w14:textId="77777777" w:rsidR="00F35565" w:rsidRPr="00885189" w:rsidRDefault="00F35565" w:rsidP="00F35565">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5B0C5E0" w14:textId="77777777" w:rsidR="00F35565" w:rsidRDefault="00F35565" w:rsidP="00F35565">
      <w:pPr>
        <w:spacing w:after="0" w:line="360" w:lineRule="auto"/>
        <w:jc w:val="both"/>
        <w:rPr>
          <w:rFonts w:ascii="Palatino Linotype" w:hAnsi="Palatino Linotype" w:cs="Tahoma"/>
        </w:rPr>
      </w:pPr>
    </w:p>
    <w:p w14:paraId="59A3EECD" w14:textId="77777777" w:rsidR="00F35565" w:rsidRPr="00D07D91" w:rsidRDefault="00F35565" w:rsidP="00F35565">
      <w:pPr>
        <w:spacing w:after="0" w:line="360" w:lineRule="auto"/>
        <w:jc w:val="both"/>
        <w:rPr>
          <w:rFonts w:ascii="Palatino Linotype" w:eastAsia="Calibri" w:hAnsi="Palatino Linotype" w:cs="Tahoma"/>
        </w:rPr>
      </w:pPr>
      <w:r w:rsidRPr="00D07D91">
        <w:rPr>
          <w:rFonts w:ascii="Palatino Linotype" w:eastAsia="Calibri" w:hAnsi="Palatino Linotype" w:cs="Tahoma"/>
        </w:rPr>
        <w:lastRenderedPageBreak/>
        <w:t>También, el Juicio de Amparo Indirecto 1232/2017 resuelto por el Juzgado Cuarto de Distrito en Materia Administrativa en la Ciudad de México, cuya síntesis se expone en el libro</w:t>
      </w:r>
      <w:r>
        <w:rPr>
          <w:rFonts w:ascii="Palatino Linotype" w:eastAsia="Calibri" w:hAnsi="Palatino Linotype" w:cs="Tahoma"/>
        </w:rPr>
        <w:t xml:space="preserve"> </w:t>
      </w:r>
      <w:r w:rsidRPr="00D07D91">
        <w:rPr>
          <w:rFonts w:ascii="Palatino Linotype" w:eastAsia="Calibri" w:hAnsi="Palatino Linotype" w:cs="Tahoma"/>
        </w:rPr>
        <w:t>Casos Paradigmáticos del Poder Judicial de la Federación en materia de acceso a la información y protección de datos personal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010D12CE" w14:textId="77777777" w:rsidR="00F35565" w:rsidRPr="00D07D91" w:rsidRDefault="00F35565" w:rsidP="00F35565">
      <w:pPr>
        <w:spacing w:after="0" w:line="360" w:lineRule="auto"/>
        <w:jc w:val="both"/>
        <w:rPr>
          <w:rFonts w:ascii="Palatino Linotype" w:eastAsia="Calibri" w:hAnsi="Palatino Linotype" w:cs="Tahoma"/>
        </w:rPr>
      </w:pPr>
    </w:p>
    <w:p w14:paraId="6D9724A0" w14:textId="77777777" w:rsidR="00F35565" w:rsidRPr="00D07D91" w:rsidRDefault="00F35565" w:rsidP="00F35565">
      <w:pPr>
        <w:numPr>
          <w:ilvl w:val="0"/>
          <w:numId w:val="3"/>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A650C61" w14:textId="77777777" w:rsidR="00F35565" w:rsidRPr="00D07D91" w:rsidRDefault="00F35565" w:rsidP="00F35565">
      <w:pPr>
        <w:spacing w:after="0" w:line="360" w:lineRule="auto"/>
        <w:jc w:val="both"/>
        <w:rPr>
          <w:rFonts w:ascii="Palatino Linotype" w:eastAsia="Calibri" w:hAnsi="Palatino Linotype" w:cs="Tahoma"/>
        </w:rPr>
      </w:pPr>
    </w:p>
    <w:p w14:paraId="7198CD29" w14:textId="77777777" w:rsidR="00F35565" w:rsidRPr="00D07D91" w:rsidRDefault="00F35565" w:rsidP="00F35565">
      <w:pPr>
        <w:numPr>
          <w:ilvl w:val="0"/>
          <w:numId w:val="3"/>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0E039BA1" w14:textId="77777777" w:rsidR="00F35565" w:rsidRPr="00D07D91" w:rsidRDefault="00F35565" w:rsidP="00F35565">
      <w:pPr>
        <w:spacing w:after="0" w:line="360" w:lineRule="auto"/>
        <w:jc w:val="both"/>
        <w:rPr>
          <w:rFonts w:ascii="Palatino Linotype" w:eastAsia="Calibri" w:hAnsi="Palatino Linotype" w:cs="Tahoma"/>
        </w:rPr>
      </w:pPr>
    </w:p>
    <w:p w14:paraId="3B761B2C" w14:textId="77777777" w:rsidR="00F35565" w:rsidRPr="00D07D91" w:rsidRDefault="00F35565" w:rsidP="00F35565">
      <w:pPr>
        <w:numPr>
          <w:ilvl w:val="0"/>
          <w:numId w:val="3"/>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w:t>
      </w:r>
      <w:r w:rsidRPr="00D07D91">
        <w:rPr>
          <w:rFonts w:ascii="Palatino Linotype" w:eastAsia="Calibri" w:hAnsi="Palatino Linotype" w:cs="Tahoma"/>
        </w:rPr>
        <w:lastRenderedPageBreak/>
        <w:t>de clasificación y desclasificación de la información, así como para la elaboración de versiones públicas.</w:t>
      </w:r>
    </w:p>
    <w:p w14:paraId="3CFD3CDA" w14:textId="77777777" w:rsidR="00F35565" w:rsidRPr="00D07D91" w:rsidRDefault="00F35565" w:rsidP="00F35565">
      <w:pPr>
        <w:spacing w:after="0" w:line="360" w:lineRule="auto"/>
        <w:jc w:val="both"/>
        <w:rPr>
          <w:rFonts w:ascii="Palatino Linotype" w:eastAsia="Calibri" w:hAnsi="Palatino Linotype" w:cs="Tahoma"/>
        </w:rPr>
      </w:pPr>
    </w:p>
    <w:p w14:paraId="5A14572D" w14:textId="77777777" w:rsidR="00F35565" w:rsidRPr="00D07D91" w:rsidRDefault="00F35565" w:rsidP="00F35565">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w:t>
      </w:r>
      <w:r>
        <w:rPr>
          <w:rFonts w:ascii="Palatino Linotype" w:eastAsia="Calibri" w:hAnsi="Palatino Linotype" w:cs="Tahoma"/>
        </w:rPr>
        <w:t xml:space="preserve"> Instituto Nacional de Transparencia, Acceso a la Información y Protección de Datos Personales, </w:t>
      </w:r>
      <w:r w:rsidRPr="00D07D91">
        <w:rPr>
          <w:rFonts w:ascii="Palatino Linotype" w:eastAsia="Calibri" w:hAnsi="Palatino Linotype" w:cs="Tahoma"/>
        </w:rPr>
        <w:t xml:space="preserve">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59614D56" w14:textId="77777777" w:rsidR="00F35565" w:rsidRPr="00D07D91" w:rsidRDefault="00F35565" w:rsidP="00F35565">
      <w:pPr>
        <w:spacing w:after="0" w:line="360" w:lineRule="auto"/>
        <w:jc w:val="both"/>
        <w:rPr>
          <w:rFonts w:ascii="Palatino Linotype" w:eastAsia="Calibri" w:hAnsi="Palatino Linotype" w:cs="Tahoma"/>
        </w:rPr>
      </w:pPr>
    </w:p>
    <w:p w14:paraId="04E0BCFB" w14:textId="77777777" w:rsidR="00F35565" w:rsidRPr="00D07D91" w:rsidRDefault="00F35565" w:rsidP="00F35565">
      <w:pPr>
        <w:numPr>
          <w:ilvl w:val="0"/>
          <w:numId w:val="4"/>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CBE8967" w14:textId="77777777" w:rsidR="00F35565" w:rsidRPr="00D07D91" w:rsidRDefault="00F35565" w:rsidP="00F35565">
      <w:pPr>
        <w:spacing w:after="0" w:line="360" w:lineRule="auto"/>
        <w:jc w:val="both"/>
        <w:rPr>
          <w:rFonts w:ascii="Palatino Linotype" w:eastAsia="Calibri" w:hAnsi="Palatino Linotype" w:cs="Tahoma"/>
        </w:rPr>
      </w:pPr>
    </w:p>
    <w:p w14:paraId="74AA124D" w14:textId="77777777" w:rsidR="00F35565" w:rsidRPr="00D07D91" w:rsidRDefault="00F35565" w:rsidP="00F35565">
      <w:pPr>
        <w:numPr>
          <w:ilvl w:val="0"/>
          <w:numId w:val="4"/>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w:t>
      </w:r>
      <w:r>
        <w:rPr>
          <w:rFonts w:ascii="Palatino Linotype" w:eastAsia="Calibri" w:hAnsi="Palatino Linotype" w:cs="Tahoma"/>
          <w:b/>
          <w:bCs/>
          <w:u w:val="single"/>
        </w:rPr>
        <w:t>a</w:t>
      </w:r>
      <w:r w:rsidRPr="00D07D91">
        <w:rPr>
          <w:rFonts w:ascii="Palatino Linotype" w:eastAsia="Calibri" w:hAnsi="Palatino Linotype" w:cs="Tahoma"/>
          <w:b/>
          <w:bCs/>
          <w:u w:val="single"/>
        </w:rPr>
        <w:t xml:space="preserve"> satisfecha en sede administrativa, sin verse en la necesidad de acudir a otras instancias, de tal suerte que se dilate el tiempo en el que verá satisfecho el ejercicio de su derecho.</w:t>
      </w:r>
    </w:p>
    <w:p w14:paraId="3B8D04AA" w14:textId="77777777" w:rsidR="00F35565" w:rsidRPr="00D07D91" w:rsidRDefault="00F35565" w:rsidP="00F35565">
      <w:pPr>
        <w:spacing w:after="0" w:line="360" w:lineRule="auto"/>
        <w:jc w:val="both"/>
        <w:rPr>
          <w:rFonts w:ascii="Palatino Linotype" w:eastAsia="Calibri" w:hAnsi="Palatino Linotype" w:cs="Tahoma"/>
        </w:rPr>
      </w:pPr>
    </w:p>
    <w:p w14:paraId="2BF8CECB" w14:textId="77777777" w:rsidR="00F35565" w:rsidRDefault="00F35565" w:rsidP="00F35565">
      <w:pPr>
        <w:spacing w:after="0" w:line="360" w:lineRule="auto"/>
        <w:jc w:val="both"/>
        <w:rPr>
          <w:rFonts w:ascii="Palatino Linotype" w:eastAsia="Calibri" w:hAnsi="Palatino Linotype" w:cs="Tahoma"/>
        </w:rPr>
      </w:pPr>
      <w:r w:rsidRPr="00D07D91">
        <w:rPr>
          <w:rFonts w:ascii="Palatino Linotype" w:eastAsia="Calibri" w:hAnsi="Palatino Linotype" w:cs="Tahoma"/>
        </w:rPr>
        <w:lastRenderedPageBreak/>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0321FDD8" w14:textId="77777777" w:rsidR="00F35565" w:rsidRPr="00885189" w:rsidRDefault="00F35565" w:rsidP="00F35565">
      <w:pPr>
        <w:spacing w:after="0" w:line="360" w:lineRule="auto"/>
        <w:jc w:val="both"/>
        <w:rPr>
          <w:rFonts w:ascii="Palatino Linotype" w:hAnsi="Palatino Linotype" w:cs="Tahoma"/>
        </w:rPr>
      </w:pPr>
    </w:p>
    <w:p w14:paraId="4A13EE82" w14:textId="77777777" w:rsidR="00F35565" w:rsidRDefault="00F35565" w:rsidP="00F35565">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w:t>
      </w:r>
      <w:r>
        <w:rPr>
          <w:rFonts w:ascii="Palatino Linotype" w:hAnsi="Palatino Linotype" w:cs="Tahoma"/>
        </w:rPr>
        <w:t>resolución</w:t>
      </w:r>
      <w:r w:rsidRPr="00885189">
        <w:rPr>
          <w:rFonts w:ascii="Palatino Linotype" w:hAnsi="Palatino Linotype" w:cs="Tahoma"/>
        </w:rPr>
        <w:t xml:space="preserve">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w:t>
      </w:r>
      <w:r w:rsidRPr="00F16598">
        <w:rPr>
          <w:rFonts w:ascii="Palatino Linotype" w:hAnsi="Palatino Linotype" w:cs="Tahoma"/>
        </w:rPr>
        <w:t>Lineamientos Generales en Materia de Clasificación y</w:t>
      </w:r>
      <w:r>
        <w:rPr>
          <w:rFonts w:ascii="Palatino Linotype" w:hAnsi="Palatino Linotype" w:cs="Tahoma"/>
        </w:rPr>
        <w:t xml:space="preserve"> </w:t>
      </w:r>
      <w:r w:rsidRPr="00F16598">
        <w:rPr>
          <w:rFonts w:ascii="Palatino Linotype" w:hAnsi="Palatino Linotype" w:cs="Tahoma"/>
        </w:rPr>
        <w:t>Desclasificación de la Información, así como para la</w:t>
      </w:r>
      <w:r>
        <w:rPr>
          <w:rFonts w:ascii="Palatino Linotype" w:hAnsi="Palatino Linotype" w:cs="Tahoma"/>
        </w:rPr>
        <w:t xml:space="preserve"> </w:t>
      </w:r>
      <w:r w:rsidRPr="00F16598">
        <w:rPr>
          <w:rFonts w:ascii="Palatino Linotype" w:hAnsi="Palatino Linotype" w:cs="Tahoma"/>
        </w:rPr>
        <w:t>Elaboración de Versiones Públicas</w:t>
      </w:r>
      <w:r>
        <w:rPr>
          <w:rFonts w:ascii="Palatino Linotype" w:hAnsi="Palatino Linotype" w:cs="Tahoma"/>
        </w:rPr>
        <w:t>.</w:t>
      </w:r>
    </w:p>
    <w:p w14:paraId="79B1BD0E" w14:textId="77777777" w:rsidR="00F35565" w:rsidRPr="00885189" w:rsidRDefault="00F35565" w:rsidP="00F35565">
      <w:pPr>
        <w:spacing w:after="0" w:line="360" w:lineRule="auto"/>
        <w:jc w:val="both"/>
        <w:rPr>
          <w:rFonts w:ascii="Palatino Linotype" w:hAnsi="Palatino Linotype" w:cs="Tahoma"/>
        </w:rPr>
      </w:pPr>
    </w:p>
    <w:p w14:paraId="32AEAC09" w14:textId="77777777" w:rsidR="00F35565" w:rsidRDefault="00F35565" w:rsidP="00F35565">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20AA91D" w14:textId="77777777" w:rsidR="00F35565" w:rsidRDefault="00F35565" w:rsidP="00F35565">
      <w:pPr>
        <w:spacing w:after="0" w:line="360" w:lineRule="auto"/>
        <w:jc w:val="both"/>
        <w:rPr>
          <w:rFonts w:ascii="Palatino Linotype" w:hAnsi="Palatino Linotype" w:cs="Tahoma"/>
        </w:rPr>
      </w:pPr>
    </w:p>
    <w:p w14:paraId="1E06A131" w14:textId="77777777" w:rsidR="00F35565" w:rsidRPr="00885189" w:rsidRDefault="00F35565" w:rsidP="00F35565">
      <w:pPr>
        <w:spacing w:after="0" w:line="360" w:lineRule="auto"/>
        <w:jc w:val="both"/>
        <w:rPr>
          <w:rFonts w:ascii="Palatino Linotype" w:hAnsi="Palatino Linotype" w:cs="Tahoma"/>
        </w:rPr>
      </w:pPr>
      <w:r w:rsidRPr="00EB7785">
        <w:rPr>
          <w:rFonts w:ascii="Palatino Linotype" w:hAnsi="Palatino Linotype" w:cs="Tahoma"/>
        </w:rPr>
        <w:lastRenderedPageBreak/>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7F629EC0" w14:textId="77777777" w:rsidR="00F35565" w:rsidRDefault="00F35565" w:rsidP="00F35565">
      <w:pPr>
        <w:spacing w:after="0" w:line="360" w:lineRule="auto"/>
        <w:jc w:val="both"/>
        <w:rPr>
          <w:rFonts w:ascii="Palatino Linotype" w:hAnsi="Palatino Linotype" w:cs="Tahoma"/>
        </w:rPr>
      </w:pPr>
    </w:p>
    <w:p w14:paraId="057136AC" w14:textId="77777777" w:rsidR="00F35565" w:rsidRPr="00DF675F" w:rsidRDefault="00F35565" w:rsidP="00F35565">
      <w:pPr>
        <w:spacing w:after="0" w:line="360" w:lineRule="auto"/>
        <w:jc w:val="both"/>
        <w:rPr>
          <w:rFonts w:ascii="Palatino Linotype" w:hAnsi="Palatino Linotype" w:cs="Tahoma"/>
        </w:rPr>
      </w:pPr>
      <w:r>
        <w:rPr>
          <w:rFonts w:ascii="Palatino Linotype" w:hAnsi="Palatino Linotype" w:cs="Tahoma"/>
        </w:rPr>
        <w:t>Con base en lo detallado</w:t>
      </w:r>
      <w:r w:rsidRPr="00EB7785">
        <w:rPr>
          <w:rFonts w:ascii="Palatino Linotype" w:hAnsi="Palatino Linotype" w:cs="Tahoma"/>
        </w:rPr>
        <w:t>,</w:t>
      </w:r>
      <w:r>
        <w:rPr>
          <w:rFonts w:ascii="Palatino Linotype" w:hAnsi="Palatino Linotype" w:cs="Tahoma"/>
        </w:rPr>
        <w:t xml:space="preserve"> considero que</w:t>
      </w:r>
      <w:r w:rsidRPr="00EB7785">
        <w:rPr>
          <w:rFonts w:ascii="Palatino Linotype" w:hAnsi="Palatino Linotype" w:cs="Tahoma"/>
        </w:rPr>
        <w:t xml:space="preserve"> el Instituto como máxima autoridad en materia de derecho de acceso a la información y protección de datos personales, </w:t>
      </w:r>
      <w:r>
        <w:rPr>
          <w:rFonts w:ascii="Palatino Linotype" w:hAnsi="Palatino Linotype" w:cs="Tahoma"/>
        </w:rPr>
        <w:t xml:space="preserve">debe </w:t>
      </w:r>
      <w:r w:rsidRPr="00EB7785">
        <w:rPr>
          <w:rFonts w:ascii="Palatino Linotype" w:hAnsi="Palatino Linotype" w:cs="Tahoma"/>
        </w:rPr>
        <w:t>garantiza</w:t>
      </w:r>
      <w:r>
        <w:rPr>
          <w:rFonts w:ascii="Palatino Linotype" w:hAnsi="Palatino Linotype" w:cs="Tahoma"/>
        </w:rPr>
        <w:t>r</w:t>
      </w:r>
      <w:r w:rsidRPr="00EB7785">
        <w:rPr>
          <w:rFonts w:ascii="Palatino Linotype" w:hAnsi="Palatino Linotype" w:cs="Tahoma"/>
        </w:rPr>
        <w:t xml:space="preserve"> que los particulares puedan ejercer sus derechos y ser partícipes de la vida democrática de nuestro Estado y nuestro país, de lo contrario se corre el riesgo de que el Sujeto Obligado realice una clasificación incorrecta de la información</w:t>
      </w:r>
      <w:r>
        <w:rPr>
          <w:rFonts w:ascii="Palatino Linotype" w:hAnsi="Palatino Linotype" w:cs="Tahoma"/>
        </w:rPr>
        <w:t xml:space="preserve">; por lo que, </w:t>
      </w:r>
      <w:r w:rsidRPr="00DF675F">
        <w:rPr>
          <w:rFonts w:ascii="Palatino Linotype" w:hAnsi="Palatino Linotype" w:cs="Tahoma"/>
        </w:rPr>
        <w:t xml:space="preserve">con base en los razonamientos expuestos, se emite el Presente </w:t>
      </w:r>
      <w:r w:rsidRPr="006C68E0">
        <w:rPr>
          <w:rFonts w:ascii="Palatino Linotype" w:hAnsi="Palatino Linotype" w:cs="Tahoma"/>
          <w:b/>
        </w:rPr>
        <w:t>Voto Particular</w:t>
      </w:r>
      <w:r w:rsidRPr="00DF675F">
        <w:rPr>
          <w:rFonts w:ascii="Palatino Linotype" w:hAnsi="Palatino Linotype" w:cs="Tahoma"/>
        </w:rPr>
        <w:t>.</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bookmarkStart w:id="0" w:name="_GoBack"/>
      <w:bookmarkEnd w:id="0"/>
      <w:r>
        <w:rPr>
          <w:rFonts w:ascii="Palatino Linotype" w:hAnsi="Palatino Linotype" w:cs="Tahoma"/>
          <w:lang w:val="es-MX"/>
        </w:rPr>
        <w:t>-----------------------------</w:t>
      </w:r>
      <w:r w:rsidRPr="001514DB">
        <w:rPr>
          <w:rFonts w:ascii="Palatino Linotype" w:hAnsi="Palatino Linotype" w:cs="Tahoma"/>
          <w:lang w:val="es-MX"/>
        </w:rPr>
        <w:t>--------</w:t>
      </w:r>
    </w:p>
    <w:p w14:paraId="634B0EF8" w14:textId="77777777" w:rsidR="00DB609F" w:rsidRDefault="00DB609F" w:rsidP="00DB609F">
      <w:pPr>
        <w:spacing w:after="0" w:line="360" w:lineRule="auto"/>
        <w:jc w:val="both"/>
        <w:rPr>
          <w:rFonts w:ascii="Palatino Linotype" w:hAnsi="Palatino Linotype" w:cs="Tahoma"/>
        </w:rPr>
      </w:pPr>
    </w:p>
    <w:p w14:paraId="518A198F" w14:textId="77777777" w:rsidR="00DB609F" w:rsidRDefault="00DB609F" w:rsidP="00DB609F">
      <w:pPr>
        <w:spacing w:after="0" w:line="360" w:lineRule="auto"/>
        <w:jc w:val="both"/>
      </w:pPr>
    </w:p>
    <w:p w14:paraId="3A035825" w14:textId="77777777" w:rsidR="00F84B95" w:rsidRDefault="00F84B95" w:rsidP="00924615">
      <w:pPr>
        <w:spacing w:after="0" w:line="360" w:lineRule="auto"/>
        <w:jc w:val="both"/>
        <w:rPr>
          <w:rFonts w:ascii="Palatino Linotype" w:hAnsi="Palatino Linotype" w:cs="Tahoma"/>
        </w:rPr>
      </w:pPr>
    </w:p>
    <w:p w14:paraId="2D594B13" w14:textId="77777777" w:rsidR="00F84B95" w:rsidRDefault="00F84B95" w:rsidP="00F84B95">
      <w:pPr>
        <w:rPr>
          <w:rFonts w:ascii="Palatino Linotype" w:hAnsi="Palatino Linotype" w:cs="Tahoma"/>
        </w:rPr>
      </w:pPr>
    </w:p>
    <w:p w14:paraId="55A1E441" w14:textId="77777777" w:rsidR="00F84B95" w:rsidRDefault="00F84B95" w:rsidP="00F84B95">
      <w:pPr>
        <w:rPr>
          <w:rFonts w:ascii="Palatino Linotype" w:hAnsi="Palatino Linotype" w:cs="Tahoma"/>
        </w:rPr>
      </w:pPr>
    </w:p>
    <w:p w14:paraId="3EBE6EF9" w14:textId="77777777" w:rsidR="00924615" w:rsidRDefault="00924615" w:rsidP="00F84B95">
      <w:pPr>
        <w:rPr>
          <w:rFonts w:ascii="Palatino Linotype" w:hAnsi="Palatino Linotype" w:cs="Tahoma"/>
        </w:rPr>
      </w:pPr>
    </w:p>
    <w:p w14:paraId="2AB42CBC" w14:textId="77777777" w:rsidR="00924615" w:rsidRDefault="00924615" w:rsidP="00F84B95">
      <w:pPr>
        <w:rPr>
          <w:rFonts w:ascii="Palatino Linotype" w:hAnsi="Palatino Linotype" w:cs="Tahoma"/>
        </w:rPr>
      </w:pPr>
    </w:p>
    <w:p w14:paraId="5D24FFD0" w14:textId="77777777" w:rsidR="00F84B95" w:rsidRDefault="00F84B95" w:rsidP="00F84B95">
      <w:pPr>
        <w:rPr>
          <w:rFonts w:ascii="Palatino Linotype" w:hAnsi="Palatino Linotype" w:cs="Tahoma"/>
        </w:rPr>
      </w:pPr>
    </w:p>
    <w:p w14:paraId="6F76AE65" w14:textId="77777777" w:rsidR="00F84B95" w:rsidRDefault="00F84B95" w:rsidP="00F84B95">
      <w:pPr>
        <w:rPr>
          <w:rFonts w:ascii="Palatino Linotype" w:hAnsi="Palatino Linotype" w:cs="Tahoma"/>
        </w:rPr>
      </w:pPr>
    </w:p>
    <w:p w14:paraId="370D3EBF" w14:textId="77777777" w:rsidR="00F84B95" w:rsidRDefault="00F84B95" w:rsidP="00F84B95">
      <w:pPr>
        <w:rPr>
          <w:rFonts w:ascii="Palatino Linotype" w:hAnsi="Palatino Linotype" w:cs="Tahoma"/>
        </w:rPr>
      </w:pPr>
    </w:p>
    <w:p w14:paraId="122CE827" w14:textId="77777777" w:rsidR="00F84B95" w:rsidRDefault="00F84B95" w:rsidP="00F84B95"/>
    <w:p w14:paraId="5FD2CD93" w14:textId="77777777" w:rsidR="002D499A" w:rsidRDefault="002D499A" w:rsidP="00F84B95"/>
    <w:p w14:paraId="2122CB2B" w14:textId="77777777" w:rsidR="0038777F" w:rsidRDefault="0038777F" w:rsidP="00F84B95"/>
    <w:sectPr w:rsidR="0038777F" w:rsidSect="00950355">
      <w:headerReference w:type="even" r:id="rId7"/>
      <w:headerReference w:type="default" r:id="rId8"/>
      <w:footerReference w:type="default" r:id="rId9"/>
      <w:headerReference w:type="firs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E16C2" w14:textId="77777777" w:rsidR="007A2A99" w:rsidRDefault="007A2A99" w:rsidP="00A80C30">
      <w:pPr>
        <w:spacing w:after="0" w:line="240" w:lineRule="auto"/>
      </w:pPr>
      <w:r>
        <w:separator/>
      </w:r>
    </w:p>
  </w:endnote>
  <w:endnote w:type="continuationSeparator" w:id="0">
    <w:p w14:paraId="598ECD8B" w14:textId="77777777" w:rsidR="007A2A99" w:rsidRDefault="007A2A99"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30C7FE58" w14:textId="77777777" w:rsidR="00DC5E28"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C68E0">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C68E0">
              <w:rPr>
                <w:b/>
                <w:bCs/>
                <w:noProof/>
              </w:rPr>
              <w:t>12</w:t>
            </w:r>
            <w:r>
              <w:rPr>
                <w:b/>
                <w:bCs/>
                <w:sz w:val="24"/>
                <w:szCs w:val="24"/>
              </w:rPr>
              <w:fldChar w:fldCharType="end"/>
            </w:r>
          </w:p>
        </w:sdtContent>
      </w:sdt>
    </w:sdtContent>
  </w:sdt>
  <w:p w14:paraId="03754493" w14:textId="77777777" w:rsidR="00DC5E28" w:rsidRDefault="00DC5E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8272" w14:textId="77777777" w:rsidR="007A2A99" w:rsidRDefault="007A2A99" w:rsidP="00A80C30">
      <w:pPr>
        <w:spacing w:after="0" w:line="240" w:lineRule="auto"/>
      </w:pPr>
      <w:r>
        <w:separator/>
      </w:r>
    </w:p>
  </w:footnote>
  <w:footnote w:type="continuationSeparator" w:id="0">
    <w:p w14:paraId="667186F6" w14:textId="77777777" w:rsidR="007A2A99" w:rsidRDefault="007A2A99"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920D2" w14:textId="77777777" w:rsidR="00A80C30" w:rsidRDefault="007A2A99">
    <w:pPr>
      <w:pStyle w:val="Encabezado"/>
    </w:pPr>
    <w:r>
      <w:rPr>
        <w:noProof/>
      </w:rPr>
      <w:pict w14:anchorId="1959A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528"/>
    </w:tblGrid>
    <w:tr w:rsidR="0077694E" w:rsidRPr="001106EA" w14:paraId="769E4BC0" w14:textId="77777777" w:rsidTr="00D60170">
      <w:trPr>
        <w:trHeight w:val="1843"/>
      </w:trPr>
      <w:tc>
        <w:tcPr>
          <w:tcW w:w="3686" w:type="dxa"/>
          <w:vAlign w:val="bottom"/>
        </w:tcPr>
        <w:p w14:paraId="2480AA80" w14:textId="77777777" w:rsidR="00DC5E28" w:rsidRDefault="001F75E5" w:rsidP="00285C7B">
          <w:pPr>
            <w:pStyle w:val="Encabezado"/>
            <w:tabs>
              <w:tab w:val="clear" w:pos="4252"/>
              <w:tab w:val="center" w:pos="2614"/>
            </w:tabs>
            <w:ind w:left="-255"/>
          </w:pPr>
          <w:r>
            <w:rPr>
              <w:noProof/>
              <w:sz w:val="10"/>
              <w:szCs w:val="10"/>
              <w:lang w:val="es-MX" w:eastAsia="es-MX"/>
            </w:rPr>
            <w:drawing>
              <wp:inline distT="0" distB="0" distL="0" distR="0" wp14:anchorId="1F826C4B" wp14:editId="698147EB">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7719C82A" w14:textId="77777777" w:rsidR="00285C7B" w:rsidRDefault="00285C7B" w:rsidP="00285C7B">
          <w:pPr>
            <w:pStyle w:val="Encabezado"/>
            <w:tabs>
              <w:tab w:val="clear" w:pos="4252"/>
              <w:tab w:val="center" w:pos="2614"/>
            </w:tabs>
            <w:ind w:left="-255"/>
          </w:pPr>
        </w:p>
      </w:tc>
      <w:tc>
        <w:tcPr>
          <w:tcW w:w="5528" w:type="dxa"/>
          <w:vAlign w:val="center"/>
        </w:tcPr>
        <w:p w14:paraId="3320E107" w14:textId="77777777" w:rsidR="00DC5E28" w:rsidRPr="00B9745A" w:rsidRDefault="00DC5E28" w:rsidP="00285C7B">
          <w:pPr>
            <w:pStyle w:val="Encabezado"/>
            <w:ind w:right="-250"/>
            <w:jc w:val="both"/>
            <w:rPr>
              <w:rFonts w:ascii="Palatino Linotype" w:hAnsi="Palatino Linotype" w:cs="Tahoma"/>
            </w:rPr>
          </w:pPr>
        </w:p>
        <w:p w14:paraId="0F65A76E" w14:textId="77777777" w:rsidR="00DC5E28"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49D4F14A" w14:textId="77777777" w:rsidR="00B45EC5" w:rsidRDefault="00DB3F93" w:rsidP="00D31FCF">
          <w:pPr>
            <w:pStyle w:val="Encabezado"/>
            <w:ind w:left="-108" w:right="175"/>
            <w:jc w:val="both"/>
            <w:rPr>
              <w:rFonts w:ascii="Palatino Linotype" w:hAnsi="Palatino Linotype"/>
              <w:lang w:val="es-MX"/>
            </w:rPr>
          </w:pPr>
          <w:r>
            <w:rPr>
              <w:rFonts w:ascii="Palatino Linotype" w:hAnsi="Palatino Linotype" w:cs="Tahoma"/>
              <w:b/>
            </w:rPr>
            <w:t xml:space="preserve">Recurso de Revisión: </w:t>
          </w:r>
          <w:r w:rsidR="00163D0D">
            <w:rPr>
              <w:rFonts w:ascii="Palatino Linotype" w:hAnsi="Palatino Linotype"/>
              <w:lang w:val="es-MX"/>
            </w:rPr>
            <w:t>0</w:t>
          </w:r>
          <w:r w:rsidR="00F35565">
            <w:rPr>
              <w:rFonts w:ascii="Palatino Linotype" w:hAnsi="Palatino Linotype"/>
              <w:lang w:val="es-MX"/>
            </w:rPr>
            <w:t>7516</w:t>
          </w:r>
          <w:r w:rsidR="00924615">
            <w:rPr>
              <w:rFonts w:ascii="Palatino Linotype" w:hAnsi="Palatino Linotype"/>
              <w:lang w:val="es-MX"/>
            </w:rPr>
            <w:t>/INFOEM/IP/RR/202</w:t>
          </w:r>
          <w:r w:rsidR="00163D0D">
            <w:rPr>
              <w:rFonts w:ascii="Palatino Linotype" w:hAnsi="Palatino Linotype"/>
              <w:lang w:val="es-MX"/>
            </w:rPr>
            <w:t>3</w:t>
          </w:r>
          <w:r w:rsidR="00F35565">
            <w:rPr>
              <w:rFonts w:ascii="Palatino Linotype" w:hAnsi="Palatino Linotype"/>
              <w:lang w:val="es-MX"/>
            </w:rPr>
            <w:t xml:space="preserve"> y acumulado</w:t>
          </w:r>
        </w:p>
        <w:p w14:paraId="093984EB" w14:textId="77777777" w:rsidR="00100065" w:rsidRDefault="001F75E5" w:rsidP="0030697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46182D" w:rsidRPr="0046182D">
            <w:rPr>
              <w:rFonts w:ascii="Palatino Linotype" w:hAnsi="Palatino Linotype"/>
              <w:bCs/>
              <w:lang w:val="es-MX"/>
            </w:rPr>
            <w:t xml:space="preserve">Ayuntamiento de </w:t>
          </w:r>
          <w:r w:rsidR="00163D0D">
            <w:rPr>
              <w:rFonts w:ascii="Palatino Linotype" w:hAnsi="Palatino Linotype"/>
              <w:bCs/>
              <w:lang w:val="es-MX"/>
            </w:rPr>
            <w:t>T</w:t>
          </w:r>
          <w:r w:rsidR="00F35565">
            <w:rPr>
              <w:rFonts w:ascii="Palatino Linotype" w:hAnsi="Palatino Linotype"/>
              <w:bCs/>
              <w:lang w:val="es-MX"/>
            </w:rPr>
            <w:t>lalmanalco</w:t>
          </w:r>
        </w:p>
        <w:p w14:paraId="7EACE776" w14:textId="77777777" w:rsidR="00285C7B" w:rsidRDefault="001F75E5" w:rsidP="00285C7B">
          <w:pPr>
            <w:pStyle w:val="Encabezado"/>
            <w:ind w:left="-108" w:right="-250"/>
            <w:jc w:val="both"/>
            <w:rPr>
              <w:rFonts w:ascii="Palatino Linotype" w:hAnsi="Palatino Linotype"/>
              <w:bCs/>
              <w:lang w:val="es-ES_tradnl"/>
            </w:rPr>
          </w:pPr>
          <w:r w:rsidRPr="00B9745A">
            <w:rPr>
              <w:rFonts w:ascii="Palatino Linotype" w:hAnsi="Palatino Linotype" w:cs="Tahoma"/>
              <w:b/>
            </w:rPr>
            <w:t xml:space="preserve">Comisionado Ponente: </w:t>
          </w:r>
          <w:r w:rsidR="00CC24D8">
            <w:rPr>
              <w:rFonts w:ascii="Palatino Linotype" w:hAnsi="Palatino Linotype" w:cs="Tahoma"/>
            </w:rPr>
            <w:t>Luis Gustavo Parra Noriega</w:t>
          </w:r>
        </w:p>
        <w:p w14:paraId="4A388DA2" w14:textId="77777777" w:rsidR="00285C7B" w:rsidRPr="00285C7B" w:rsidRDefault="00285C7B" w:rsidP="00285C7B">
          <w:pPr>
            <w:pStyle w:val="Encabezado"/>
            <w:ind w:left="-108" w:right="-250"/>
            <w:jc w:val="both"/>
            <w:rPr>
              <w:rFonts w:ascii="Palatino Linotype" w:hAnsi="Palatino Linotype"/>
              <w:bCs/>
              <w:lang w:val="es-ES_tradnl"/>
            </w:rPr>
          </w:pPr>
        </w:p>
      </w:tc>
    </w:tr>
  </w:tbl>
  <w:p w14:paraId="31CD0507" w14:textId="77777777" w:rsidR="00DC5E28" w:rsidRPr="001106EA" w:rsidRDefault="00DC5E28">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AFDCE" w14:textId="77777777" w:rsidR="00A80C30" w:rsidRDefault="007A2A99">
    <w:pPr>
      <w:pStyle w:val="Encabezado"/>
    </w:pPr>
    <w:r>
      <w:rPr>
        <w:noProof/>
      </w:rPr>
      <w:pict w14:anchorId="1FB0F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8F74690"/>
    <w:multiLevelType w:val="hybridMultilevel"/>
    <w:tmpl w:val="83D2900A"/>
    <w:lvl w:ilvl="0" w:tplc="DBB656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432E0"/>
    <w:rsid w:val="000501A4"/>
    <w:rsid w:val="0005576B"/>
    <w:rsid w:val="00061988"/>
    <w:rsid w:val="00082310"/>
    <w:rsid w:val="000A6AC0"/>
    <w:rsid w:val="00100065"/>
    <w:rsid w:val="00146293"/>
    <w:rsid w:val="0015666C"/>
    <w:rsid w:val="00163D0D"/>
    <w:rsid w:val="00166081"/>
    <w:rsid w:val="0017358C"/>
    <w:rsid w:val="001971A0"/>
    <w:rsid w:val="001A4A70"/>
    <w:rsid w:val="001B31F4"/>
    <w:rsid w:val="001D3CC9"/>
    <w:rsid w:val="001F75E5"/>
    <w:rsid w:val="00270543"/>
    <w:rsid w:val="00276117"/>
    <w:rsid w:val="00285C7B"/>
    <w:rsid w:val="002A3487"/>
    <w:rsid w:val="002D499A"/>
    <w:rsid w:val="002D6AB3"/>
    <w:rsid w:val="002E6AA8"/>
    <w:rsid w:val="00304A0F"/>
    <w:rsid w:val="00306972"/>
    <w:rsid w:val="00314859"/>
    <w:rsid w:val="00341B05"/>
    <w:rsid w:val="00343DF9"/>
    <w:rsid w:val="003674F2"/>
    <w:rsid w:val="003769CB"/>
    <w:rsid w:val="0038777F"/>
    <w:rsid w:val="003E197C"/>
    <w:rsid w:val="003E56C5"/>
    <w:rsid w:val="004120C8"/>
    <w:rsid w:val="004412C6"/>
    <w:rsid w:val="00452E47"/>
    <w:rsid w:val="0046182D"/>
    <w:rsid w:val="004659A1"/>
    <w:rsid w:val="00466582"/>
    <w:rsid w:val="00470ABE"/>
    <w:rsid w:val="004738C3"/>
    <w:rsid w:val="00486BD3"/>
    <w:rsid w:val="00494387"/>
    <w:rsid w:val="004B5796"/>
    <w:rsid w:val="004B6C8D"/>
    <w:rsid w:val="004C0D87"/>
    <w:rsid w:val="004C7D91"/>
    <w:rsid w:val="004D26F6"/>
    <w:rsid w:val="004E5B48"/>
    <w:rsid w:val="004E600B"/>
    <w:rsid w:val="004F55E2"/>
    <w:rsid w:val="0050010A"/>
    <w:rsid w:val="00506560"/>
    <w:rsid w:val="00506AB5"/>
    <w:rsid w:val="00514DA7"/>
    <w:rsid w:val="00533E57"/>
    <w:rsid w:val="00541BAC"/>
    <w:rsid w:val="00543C9A"/>
    <w:rsid w:val="00555F21"/>
    <w:rsid w:val="005974CA"/>
    <w:rsid w:val="00601591"/>
    <w:rsid w:val="00632BB1"/>
    <w:rsid w:val="0063326A"/>
    <w:rsid w:val="00684986"/>
    <w:rsid w:val="00690441"/>
    <w:rsid w:val="006C2B09"/>
    <w:rsid w:val="006C68E0"/>
    <w:rsid w:val="006D2495"/>
    <w:rsid w:val="006D42AE"/>
    <w:rsid w:val="006D6161"/>
    <w:rsid w:val="00716333"/>
    <w:rsid w:val="00720137"/>
    <w:rsid w:val="007416FB"/>
    <w:rsid w:val="00756729"/>
    <w:rsid w:val="00790A7C"/>
    <w:rsid w:val="007A2A99"/>
    <w:rsid w:val="007B7B1E"/>
    <w:rsid w:val="007F32AC"/>
    <w:rsid w:val="0080459D"/>
    <w:rsid w:val="008212C6"/>
    <w:rsid w:val="00823E1B"/>
    <w:rsid w:val="0083177F"/>
    <w:rsid w:val="00842979"/>
    <w:rsid w:val="008444A9"/>
    <w:rsid w:val="008B5910"/>
    <w:rsid w:val="008C5CD3"/>
    <w:rsid w:val="008F78B8"/>
    <w:rsid w:val="00905602"/>
    <w:rsid w:val="00922026"/>
    <w:rsid w:val="00924615"/>
    <w:rsid w:val="00940F06"/>
    <w:rsid w:val="00960C5A"/>
    <w:rsid w:val="00961702"/>
    <w:rsid w:val="00986337"/>
    <w:rsid w:val="009A3B6C"/>
    <w:rsid w:val="009A6633"/>
    <w:rsid w:val="009A6952"/>
    <w:rsid w:val="009F23B2"/>
    <w:rsid w:val="009F37BE"/>
    <w:rsid w:val="00A16DDF"/>
    <w:rsid w:val="00A43EFA"/>
    <w:rsid w:val="00A478F1"/>
    <w:rsid w:val="00A54CCC"/>
    <w:rsid w:val="00A56D01"/>
    <w:rsid w:val="00A72D99"/>
    <w:rsid w:val="00A80C30"/>
    <w:rsid w:val="00A9782A"/>
    <w:rsid w:val="00AD77D2"/>
    <w:rsid w:val="00AE249C"/>
    <w:rsid w:val="00AE284F"/>
    <w:rsid w:val="00AE29DD"/>
    <w:rsid w:val="00AF7632"/>
    <w:rsid w:val="00AF77D3"/>
    <w:rsid w:val="00B43526"/>
    <w:rsid w:val="00B45EC5"/>
    <w:rsid w:val="00B55282"/>
    <w:rsid w:val="00B56DE2"/>
    <w:rsid w:val="00B70A3F"/>
    <w:rsid w:val="00B76A5E"/>
    <w:rsid w:val="00B97313"/>
    <w:rsid w:val="00BA54EE"/>
    <w:rsid w:val="00C00E77"/>
    <w:rsid w:val="00C341C6"/>
    <w:rsid w:val="00C51EFD"/>
    <w:rsid w:val="00C60C1A"/>
    <w:rsid w:val="00C75F6B"/>
    <w:rsid w:val="00CC2093"/>
    <w:rsid w:val="00CC24D8"/>
    <w:rsid w:val="00CC3A0F"/>
    <w:rsid w:val="00CD5FC6"/>
    <w:rsid w:val="00CD67D3"/>
    <w:rsid w:val="00CD7937"/>
    <w:rsid w:val="00CE380C"/>
    <w:rsid w:val="00D02886"/>
    <w:rsid w:val="00D11D78"/>
    <w:rsid w:val="00D31FCF"/>
    <w:rsid w:val="00D60170"/>
    <w:rsid w:val="00DB3F93"/>
    <w:rsid w:val="00DB609F"/>
    <w:rsid w:val="00DC5E28"/>
    <w:rsid w:val="00DD5D61"/>
    <w:rsid w:val="00E21609"/>
    <w:rsid w:val="00E43FEA"/>
    <w:rsid w:val="00E678EF"/>
    <w:rsid w:val="00E7322A"/>
    <w:rsid w:val="00E878DE"/>
    <w:rsid w:val="00EB135A"/>
    <w:rsid w:val="00EC3610"/>
    <w:rsid w:val="00F00E66"/>
    <w:rsid w:val="00F1426D"/>
    <w:rsid w:val="00F24795"/>
    <w:rsid w:val="00F35565"/>
    <w:rsid w:val="00F35BFB"/>
    <w:rsid w:val="00F46F8E"/>
    <w:rsid w:val="00F60B97"/>
    <w:rsid w:val="00F642D7"/>
    <w:rsid w:val="00F7440B"/>
    <w:rsid w:val="00F84B95"/>
    <w:rsid w:val="00FA5870"/>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545CD2"/>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3385</Words>
  <Characters>18623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INFOEM500</cp:lastModifiedBy>
  <cp:revision>13</cp:revision>
  <cp:lastPrinted>2024-02-01T23:48:00Z</cp:lastPrinted>
  <dcterms:created xsi:type="dcterms:W3CDTF">2023-05-23T16:28:00Z</dcterms:created>
  <dcterms:modified xsi:type="dcterms:W3CDTF">2024-03-04T21:55:00Z</dcterms:modified>
</cp:coreProperties>
</file>