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CE6EA" w14:textId="2EA05B9F" w:rsidR="00822C73" w:rsidRPr="00D52589" w:rsidRDefault="004A7A38">
      <w:pPr>
        <w:spacing w:before="240" w:after="240" w:line="360" w:lineRule="auto"/>
        <w:jc w:val="both"/>
        <w:rPr>
          <w:rFonts w:ascii="Palatino Linotype" w:eastAsia="Palatino Linotype" w:hAnsi="Palatino Linotype" w:cs="Palatino Linotype"/>
          <w:b/>
          <w:sz w:val="24"/>
          <w:szCs w:val="24"/>
        </w:rPr>
      </w:pPr>
      <w:bookmarkStart w:id="0" w:name="_heading=h.gjdgxs" w:colFirst="0" w:colLast="0"/>
      <w:bookmarkEnd w:id="0"/>
      <w:r w:rsidRPr="00D52589">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3528ED" w:rsidRPr="00D52589">
        <w:rPr>
          <w:rFonts w:ascii="Palatino Linotype" w:eastAsia="Palatino Linotype" w:hAnsi="Palatino Linotype" w:cs="Palatino Linotype"/>
          <w:b/>
          <w:sz w:val="24"/>
          <w:szCs w:val="24"/>
        </w:rPr>
        <w:t>SÉPTIMA</w:t>
      </w:r>
      <w:r w:rsidRPr="00D52589">
        <w:rPr>
          <w:rFonts w:ascii="Palatino Linotype" w:eastAsia="Palatino Linotype" w:hAnsi="Palatino Linotype" w:cs="Palatino Linotype"/>
          <w:b/>
          <w:sz w:val="24"/>
          <w:szCs w:val="24"/>
        </w:rPr>
        <w:t xml:space="preserve"> SESIÓN ORDINARIA DEL </w:t>
      </w:r>
      <w:r w:rsidR="003528ED" w:rsidRPr="00D52589">
        <w:rPr>
          <w:rFonts w:ascii="Palatino Linotype" w:eastAsia="Palatino Linotype" w:hAnsi="Palatino Linotype" w:cs="Palatino Linotype"/>
          <w:b/>
          <w:sz w:val="24"/>
          <w:szCs w:val="24"/>
        </w:rPr>
        <w:t xml:space="preserve">VEINTIOCHO </w:t>
      </w:r>
      <w:r w:rsidRPr="00D52589">
        <w:rPr>
          <w:rFonts w:ascii="Palatino Linotype" w:eastAsia="Palatino Linotype" w:hAnsi="Palatino Linotype" w:cs="Palatino Linotype"/>
          <w:b/>
          <w:sz w:val="24"/>
          <w:szCs w:val="24"/>
        </w:rPr>
        <w:t xml:space="preserve">DE FEBRERO DE DOS MIL VEINTICUATRO, EN </w:t>
      </w:r>
      <w:r w:rsidR="003528ED" w:rsidRPr="00D52589">
        <w:rPr>
          <w:rFonts w:ascii="Palatino Linotype" w:eastAsia="Palatino Linotype" w:hAnsi="Palatino Linotype" w:cs="Palatino Linotype"/>
          <w:b/>
          <w:sz w:val="24"/>
          <w:szCs w:val="24"/>
        </w:rPr>
        <w:t xml:space="preserve">EL </w:t>
      </w:r>
      <w:r w:rsidRPr="00D52589">
        <w:rPr>
          <w:rFonts w:ascii="Palatino Linotype" w:eastAsia="Palatino Linotype" w:hAnsi="Palatino Linotype" w:cs="Palatino Linotype"/>
          <w:b/>
          <w:sz w:val="24"/>
          <w:szCs w:val="24"/>
        </w:rPr>
        <w:t>RECURSO DE REVISIÓN 0</w:t>
      </w:r>
      <w:r w:rsidR="0088329A" w:rsidRPr="00D52589">
        <w:rPr>
          <w:rFonts w:ascii="Palatino Linotype" w:eastAsia="Palatino Linotype" w:hAnsi="Palatino Linotype" w:cs="Palatino Linotype"/>
          <w:b/>
          <w:sz w:val="24"/>
          <w:szCs w:val="24"/>
        </w:rPr>
        <w:t>7190</w:t>
      </w:r>
      <w:r w:rsidRPr="00D52589">
        <w:rPr>
          <w:rFonts w:ascii="Palatino Linotype" w:eastAsia="Palatino Linotype" w:hAnsi="Palatino Linotype" w:cs="Palatino Linotype"/>
          <w:b/>
          <w:sz w:val="24"/>
          <w:szCs w:val="24"/>
        </w:rPr>
        <w:t>/INFOEM/IP/RR/2023.</w:t>
      </w:r>
    </w:p>
    <w:p w14:paraId="67937FD0" w14:textId="7788FF97" w:rsidR="00822C73" w:rsidRPr="00D52589" w:rsidRDefault="004A7A38">
      <w:pPr>
        <w:spacing w:before="240" w:after="240" w:line="360" w:lineRule="auto"/>
        <w:jc w:val="both"/>
        <w:rPr>
          <w:rFonts w:ascii="Palatino Linotype" w:eastAsia="Palatino Linotype" w:hAnsi="Palatino Linotype" w:cs="Palatino Linotype"/>
          <w:sz w:val="24"/>
          <w:szCs w:val="24"/>
        </w:rPr>
      </w:pPr>
      <w:r w:rsidRPr="00D52589">
        <w:rPr>
          <w:rFonts w:ascii="Palatino Linotype" w:eastAsia="Palatino Linotype" w:hAnsi="Palatino Linotype" w:cs="Palatino Linotype"/>
          <w:sz w:val="24"/>
          <w:szCs w:val="24"/>
        </w:rPr>
        <w:t xml:space="preserve">Con fundamento en lo dispuesto por el artículo 14, fracciones X y XI, del Reglamento del Instituto de Transparencia, Acceso a la Información Pública y Protección de Datos Personales del Estado de México, la que suscribe </w:t>
      </w:r>
      <w:r w:rsidRPr="00D52589">
        <w:rPr>
          <w:rFonts w:ascii="Palatino Linotype" w:eastAsia="Palatino Linotype" w:hAnsi="Palatino Linotype" w:cs="Palatino Linotype"/>
          <w:b/>
          <w:sz w:val="24"/>
          <w:szCs w:val="24"/>
        </w:rPr>
        <w:t xml:space="preserve">Guadalupe Ramírez Peña, </w:t>
      </w:r>
      <w:r w:rsidRPr="00D52589">
        <w:rPr>
          <w:rFonts w:ascii="Palatino Linotype" w:eastAsia="Palatino Linotype" w:hAnsi="Palatino Linotype" w:cs="Palatino Linotype"/>
          <w:sz w:val="24"/>
          <w:szCs w:val="24"/>
        </w:rPr>
        <w:t xml:space="preserve">emite </w:t>
      </w:r>
      <w:r w:rsidRPr="00D52589">
        <w:rPr>
          <w:rFonts w:ascii="Palatino Linotype" w:eastAsia="Palatino Linotype" w:hAnsi="Palatino Linotype" w:cs="Palatino Linotype"/>
          <w:b/>
          <w:sz w:val="24"/>
          <w:szCs w:val="24"/>
        </w:rPr>
        <w:t xml:space="preserve">Voto Particular </w:t>
      </w:r>
      <w:r w:rsidRPr="00D52589">
        <w:rPr>
          <w:rFonts w:ascii="Palatino Linotype" w:eastAsia="Palatino Linotype" w:hAnsi="Palatino Linotype" w:cs="Palatino Linotype"/>
          <w:sz w:val="24"/>
          <w:szCs w:val="24"/>
        </w:rPr>
        <w:t xml:space="preserve">respecto a la resolución dictada en </w:t>
      </w:r>
      <w:r w:rsidR="003528ED" w:rsidRPr="00D52589">
        <w:rPr>
          <w:rFonts w:ascii="Palatino Linotype" w:eastAsia="Palatino Linotype" w:hAnsi="Palatino Linotype" w:cs="Palatino Linotype"/>
          <w:sz w:val="24"/>
          <w:szCs w:val="24"/>
        </w:rPr>
        <w:t>e</w:t>
      </w:r>
      <w:r w:rsidRPr="00D52589">
        <w:rPr>
          <w:rFonts w:ascii="Palatino Linotype" w:eastAsia="Palatino Linotype" w:hAnsi="Palatino Linotype" w:cs="Palatino Linotype"/>
          <w:sz w:val="24"/>
          <w:szCs w:val="24"/>
        </w:rPr>
        <w:t>l</w:t>
      </w:r>
      <w:r w:rsidR="003528ED" w:rsidRPr="00D52589">
        <w:rPr>
          <w:rFonts w:ascii="Palatino Linotype" w:eastAsia="Palatino Linotype" w:hAnsi="Palatino Linotype" w:cs="Palatino Linotype"/>
          <w:sz w:val="24"/>
          <w:szCs w:val="24"/>
        </w:rPr>
        <w:t xml:space="preserve"> </w:t>
      </w:r>
      <w:r w:rsidRPr="00D52589">
        <w:rPr>
          <w:rFonts w:ascii="Palatino Linotype" w:eastAsia="Palatino Linotype" w:hAnsi="Palatino Linotype" w:cs="Palatino Linotype"/>
          <w:sz w:val="24"/>
          <w:szCs w:val="24"/>
        </w:rPr>
        <w:t xml:space="preserve">recurso de revisión </w:t>
      </w:r>
      <w:r w:rsidRPr="00D52589">
        <w:rPr>
          <w:rFonts w:ascii="Palatino Linotype" w:eastAsia="Palatino Linotype" w:hAnsi="Palatino Linotype" w:cs="Palatino Linotype"/>
          <w:b/>
          <w:sz w:val="24"/>
          <w:szCs w:val="24"/>
        </w:rPr>
        <w:t>0</w:t>
      </w:r>
      <w:r w:rsidR="003528ED" w:rsidRPr="00D52589">
        <w:rPr>
          <w:rFonts w:ascii="Palatino Linotype" w:eastAsia="Palatino Linotype" w:hAnsi="Palatino Linotype" w:cs="Palatino Linotype"/>
          <w:b/>
          <w:sz w:val="24"/>
          <w:szCs w:val="24"/>
        </w:rPr>
        <w:t>7</w:t>
      </w:r>
      <w:r w:rsidR="0088329A" w:rsidRPr="00D52589">
        <w:rPr>
          <w:rFonts w:ascii="Palatino Linotype" w:eastAsia="Palatino Linotype" w:hAnsi="Palatino Linotype" w:cs="Palatino Linotype"/>
          <w:b/>
          <w:sz w:val="24"/>
          <w:szCs w:val="24"/>
        </w:rPr>
        <w:t>190</w:t>
      </w:r>
      <w:r w:rsidRPr="00D52589">
        <w:rPr>
          <w:rFonts w:ascii="Palatino Linotype" w:eastAsia="Palatino Linotype" w:hAnsi="Palatino Linotype" w:cs="Palatino Linotype"/>
          <w:b/>
          <w:sz w:val="24"/>
          <w:szCs w:val="24"/>
        </w:rPr>
        <w:t>/INFOEM/IP/RR/2023,</w:t>
      </w:r>
      <w:r w:rsidRPr="00D52589">
        <w:rPr>
          <w:rFonts w:ascii="Palatino Linotype" w:eastAsia="Palatino Linotype" w:hAnsi="Palatino Linotype" w:cs="Palatino Linotype"/>
          <w:sz w:val="24"/>
          <w:szCs w:val="24"/>
        </w:rPr>
        <w:t xml:space="preserve"> pronunciada con el criterio mayoritario del Pleno de este Instituto ante el proyecto presentado por </w:t>
      </w:r>
      <w:r w:rsidR="0088329A" w:rsidRPr="00D52589">
        <w:rPr>
          <w:rFonts w:ascii="Palatino Linotype" w:eastAsia="Palatino Linotype" w:hAnsi="Palatino Linotype" w:cs="Palatino Linotype"/>
          <w:sz w:val="24"/>
          <w:szCs w:val="24"/>
        </w:rPr>
        <w:t>el</w:t>
      </w:r>
      <w:r w:rsidRPr="00D52589">
        <w:rPr>
          <w:rFonts w:ascii="Palatino Linotype" w:eastAsia="Palatino Linotype" w:hAnsi="Palatino Linotype" w:cs="Palatino Linotype"/>
          <w:sz w:val="24"/>
          <w:szCs w:val="24"/>
        </w:rPr>
        <w:t xml:space="preserve"> Comisionad</w:t>
      </w:r>
      <w:r w:rsidR="0088329A" w:rsidRPr="00D52589">
        <w:rPr>
          <w:rFonts w:ascii="Palatino Linotype" w:eastAsia="Palatino Linotype" w:hAnsi="Palatino Linotype" w:cs="Palatino Linotype"/>
          <w:sz w:val="24"/>
          <w:szCs w:val="24"/>
        </w:rPr>
        <w:t>o</w:t>
      </w:r>
      <w:r w:rsidRPr="00D52589">
        <w:rPr>
          <w:rFonts w:ascii="Palatino Linotype" w:eastAsia="Palatino Linotype" w:hAnsi="Palatino Linotype" w:cs="Palatino Linotype"/>
          <w:b/>
          <w:sz w:val="24"/>
          <w:szCs w:val="24"/>
        </w:rPr>
        <w:t xml:space="preserve"> </w:t>
      </w:r>
      <w:r w:rsidR="0088329A" w:rsidRPr="00D52589">
        <w:rPr>
          <w:rFonts w:ascii="Palatino Linotype" w:eastAsia="Palatino Linotype" w:hAnsi="Palatino Linotype" w:cs="Palatino Linotype"/>
          <w:b/>
          <w:sz w:val="24"/>
          <w:szCs w:val="24"/>
        </w:rPr>
        <w:t>José Martínez Vilchis</w:t>
      </w:r>
      <w:r w:rsidRPr="00D52589">
        <w:rPr>
          <w:rFonts w:ascii="Palatino Linotype" w:eastAsia="Palatino Linotype" w:hAnsi="Palatino Linotype" w:cs="Palatino Linotype"/>
          <w:sz w:val="24"/>
          <w:szCs w:val="24"/>
        </w:rPr>
        <w:t>, el cual es al tenor siguiente:</w:t>
      </w:r>
    </w:p>
    <w:p w14:paraId="209B427B" w14:textId="77777777" w:rsidR="00822C73" w:rsidRPr="00D52589" w:rsidRDefault="004A7A38">
      <w:pPr>
        <w:numPr>
          <w:ilvl w:val="0"/>
          <w:numId w:val="7"/>
        </w:numPr>
        <w:tabs>
          <w:tab w:val="left" w:pos="567"/>
        </w:tabs>
        <w:spacing w:after="0" w:line="360" w:lineRule="auto"/>
        <w:ind w:left="284" w:firstLine="0"/>
        <w:jc w:val="both"/>
        <w:rPr>
          <w:rFonts w:ascii="Palatino Linotype" w:eastAsia="Palatino Linotype" w:hAnsi="Palatino Linotype" w:cs="Palatino Linotype"/>
          <w:b/>
          <w:sz w:val="24"/>
          <w:szCs w:val="24"/>
        </w:rPr>
      </w:pPr>
      <w:r w:rsidRPr="00D52589">
        <w:rPr>
          <w:rFonts w:ascii="Palatino Linotype" w:eastAsia="Palatino Linotype" w:hAnsi="Palatino Linotype" w:cs="Palatino Linotype"/>
          <w:b/>
          <w:sz w:val="24"/>
          <w:szCs w:val="24"/>
        </w:rPr>
        <w:t>Antecedentes.</w:t>
      </w:r>
    </w:p>
    <w:p w14:paraId="7F521C15" w14:textId="77777777" w:rsidR="00822C73" w:rsidRPr="00D52589" w:rsidRDefault="004A7A38">
      <w:pPr>
        <w:spacing w:after="0" w:line="360" w:lineRule="auto"/>
        <w:jc w:val="both"/>
        <w:rPr>
          <w:rFonts w:ascii="Palatino Linotype" w:eastAsia="Palatino Linotype" w:hAnsi="Palatino Linotype" w:cs="Palatino Linotype"/>
          <w:sz w:val="24"/>
          <w:szCs w:val="24"/>
        </w:rPr>
      </w:pPr>
      <w:r w:rsidRPr="00D52589">
        <w:rPr>
          <w:rFonts w:ascii="Palatino Linotype" w:eastAsia="Palatino Linotype" w:hAnsi="Palatino Linotype" w:cs="Palatino Linotype"/>
          <w:sz w:val="24"/>
          <w:szCs w:val="24"/>
        </w:rPr>
        <w:t xml:space="preserve">En el asunto que nos ocupa, la parte </w:t>
      </w:r>
      <w:r w:rsidRPr="00D52589">
        <w:rPr>
          <w:rFonts w:ascii="Palatino Linotype" w:eastAsia="Palatino Linotype" w:hAnsi="Palatino Linotype" w:cs="Palatino Linotype"/>
          <w:b/>
          <w:sz w:val="24"/>
          <w:szCs w:val="24"/>
        </w:rPr>
        <w:t>Recurrente</w:t>
      </w:r>
      <w:r w:rsidRPr="00D52589">
        <w:rPr>
          <w:rFonts w:ascii="Palatino Linotype" w:eastAsia="Palatino Linotype" w:hAnsi="Palatino Linotype" w:cs="Palatino Linotype"/>
          <w:sz w:val="24"/>
          <w:szCs w:val="24"/>
        </w:rPr>
        <w:t xml:space="preserve"> solicitó al </w:t>
      </w:r>
      <w:r w:rsidRPr="00D52589">
        <w:rPr>
          <w:rFonts w:ascii="Palatino Linotype" w:eastAsia="Palatino Linotype" w:hAnsi="Palatino Linotype" w:cs="Palatino Linotype"/>
          <w:b/>
          <w:sz w:val="24"/>
          <w:szCs w:val="24"/>
        </w:rPr>
        <w:t>Sujeto Obligado</w:t>
      </w:r>
      <w:r w:rsidRPr="00D52589">
        <w:rPr>
          <w:rFonts w:ascii="Palatino Linotype" w:eastAsia="Palatino Linotype" w:hAnsi="Palatino Linotype" w:cs="Palatino Linotype"/>
          <w:sz w:val="24"/>
          <w:szCs w:val="24"/>
        </w:rPr>
        <w:t xml:space="preserve">, le proporcionara la siguiente información: </w:t>
      </w:r>
    </w:p>
    <w:p w14:paraId="486EBFDD" w14:textId="3158C054" w:rsidR="003528ED" w:rsidRPr="00D52589" w:rsidRDefault="003528ED" w:rsidP="003528ED">
      <w:pPr>
        <w:spacing w:before="240" w:after="240" w:line="240" w:lineRule="auto"/>
        <w:ind w:left="851" w:right="990"/>
        <w:jc w:val="both"/>
        <w:rPr>
          <w:rFonts w:ascii="Palatino Linotype" w:eastAsia="Palatino Linotype" w:hAnsi="Palatino Linotype" w:cs="Palatino Linotype"/>
          <w:i/>
          <w:iCs/>
        </w:rPr>
      </w:pPr>
      <w:r w:rsidRPr="00D52589">
        <w:rPr>
          <w:rFonts w:ascii="Palatino Linotype" w:eastAsia="Palatino Linotype" w:hAnsi="Palatino Linotype" w:cs="Palatino Linotype"/>
          <w:i/>
          <w:iCs/>
        </w:rPr>
        <w:t>“</w:t>
      </w:r>
      <w:r w:rsidR="00A46954" w:rsidRPr="00D52589">
        <w:rPr>
          <w:rFonts w:ascii="Palatino Linotype" w:eastAsia="Palatino Linotype" w:hAnsi="Palatino Linotype" w:cs="Palatino Linotype"/>
          <w:i/>
          <w:iCs/>
        </w:rPr>
        <w:t xml:space="preserve">Con fundamento jurídico en el artículo 6 de la Constitución Política de los Estados Unidos Mexicanos y del artículo 5 de la Constitución Política del Estado Libre y Soberano de México que tutelan el derecho de acceso a la información pública y a los artículos aplicables de la Ley de Transparencia y Acceso a la Información Pública del Estado de México y Municipios, tenemos a bien solicitar: a).Los recibos de pago de todos los servidores públicos del Ayuntamiento de Valle </w:t>
      </w:r>
      <w:r w:rsidR="00A46954" w:rsidRPr="00D52589">
        <w:rPr>
          <w:rFonts w:ascii="Palatino Linotype" w:eastAsia="Palatino Linotype" w:hAnsi="Palatino Linotype" w:cs="Palatino Linotype"/>
          <w:i/>
          <w:iCs/>
        </w:rPr>
        <w:lastRenderedPageBreak/>
        <w:t>de Chalco Solidaridad correspondientes a los meses de ENERO, FEBRERO, MARZO, ABRIL, MAYO, JUNIO, JULIO, AGOSTO Y SEPTIEMBRE DEL 2023, del personal de nómina (confianza y sindicalizados), por honorarios y lista de raya. Agradecemos su pronta respuesta</w:t>
      </w:r>
      <w:r w:rsidRPr="00D52589">
        <w:rPr>
          <w:rFonts w:ascii="Palatino Linotype" w:eastAsia="Palatino Linotype" w:hAnsi="Palatino Linotype" w:cs="Palatino Linotype"/>
          <w:i/>
          <w:iCs/>
        </w:rPr>
        <w:t>” (sic)</w:t>
      </w:r>
    </w:p>
    <w:p w14:paraId="7D08F722" w14:textId="737187C0" w:rsidR="00822C73" w:rsidRPr="00D52589" w:rsidRDefault="00A46954">
      <w:pPr>
        <w:spacing w:before="240" w:after="240" w:line="360" w:lineRule="auto"/>
        <w:jc w:val="both"/>
        <w:rPr>
          <w:rFonts w:ascii="Palatino Linotype" w:eastAsia="Palatino Linotype" w:hAnsi="Palatino Linotype" w:cs="Palatino Linotype"/>
          <w:sz w:val="24"/>
          <w:szCs w:val="24"/>
        </w:rPr>
      </w:pPr>
      <w:r w:rsidRPr="00D52589">
        <w:rPr>
          <w:rFonts w:ascii="Palatino Linotype" w:eastAsia="Palatino Linotype" w:hAnsi="Palatino Linotype" w:cs="Palatino Linotype"/>
          <w:sz w:val="24"/>
          <w:szCs w:val="24"/>
        </w:rPr>
        <w:t>E</w:t>
      </w:r>
      <w:r w:rsidR="004A7A38" w:rsidRPr="00D52589">
        <w:rPr>
          <w:rFonts w:ascii="Palatino Linotype" w:eastAsia="Palatino Linotype" w:hAnsi="Palatino Linotype" w:cs="Palatino Linotype"/>
          <w:sz w:val="24"/>
          <w:szCs w:val="24"/>
        </w:rPr>
        <w:t xml:space="preserve">l </w:t>
      </w:r>
      <w:r w:rsidR="004A7A38" w:rsidRPr="00D52589">
        <w:rPr>
          <w:rFonts w:ascii="Palatino Linotype" w:eastAsia="Palatino Linotype" w:hAnsi="Palatino Linotype" w:cs="Palatino Linotype"/>
          <w:b/>
          <w:sz w:val="24"/>
          <w:szCs w:val="24"/>
        </w:rPr>
        <w:t xml:space="preserve">Sujeto Obligado </w:t>
      </w:r>
      <w:r w:rsidRPr="00D52589">
        <w:rPr>
          <w:rFonts w:ascii="Palatino Linotype" w:eastAsia="Palatino Linotype" w:hAnsi="Palatino Linotype" w:cs="Palatino Linotype"/>
          <w:bCs/>
          <w:sz w:val="24"/>
          <w:szCs w:val="24"/>
        </w:rPr>
        <w:t xml:space="preserve">no proporcionó respuesta, </w:t>
      </w:r>
      <w:r w:rsidR="00A449CA" w:rsidRPr="00D52589">
        <w:rPr>
          <w:rFonts w:ascii="Palatino Linotype" w:eastAsia="Palatino Linotype" w:hAnsi="Palatino Linotype" w:cs="Palatino Linotype"/>
          <w:bCs/>
          <w:sz w:val="24"/>
          <w:szCs w:val="24"/>
        </w:rPr>
        <w:t>motivando l</w:t>
      </w:r>
      <w:r w:rsidR="00530465" w:rsidRPr="00D52589">
        <w:rPr>
          <w:rFonts w:ascii="Palatino Linotype" w:eastAsia="Palatino Linotype" w:hAnsi="Palatino Linotype" w:cs="Palatino Linotype"/>
          <w:bCs/>
          <w:sz w:val="24"/>
          <w:szCs w:val="24"/>
        </w:rPr>
        <w:t xml:space="preserve">a interposición del </w:t>
      </w:r>
      <w:r w:rsidR="004A7A38" w:rsidRPr="00D52589">
        <w:rPr>
          <w:rFonts w:ascii="Palatino Linotype" w:eastAsia="Palatino Linotype" w:hAnsi="Palatino Linotype" w:cs="Palatino Linotype"/>
          <w:sz w:val="24"/>
          <w:szCs w:val="24"/>
        </w:rPr>
        <w:t xml:space="preserve">medio de impugnación citado al rubro, manifestado lo siguiente: </w:t>
      </w:r>
    </w:p>
    <w:p w14:paraId="33D0A564" w14:textId="78747BFC" w:rsidR="00822C73" w:rsidRPr="00D52589" w:rsidRDefault="004A7A38" w:rsidP="00E86A58">
      <w:pPr>
        <w:pBdr>
          <w:top w:val="nil"/>
          <w:left w:val="nil"/>
          <w:bottom w:val="nil"/>
          <w:right w:val="nil"/>
          <w:between w:val="nil"/>
        </w:pBdr>
        <w:spacing w:before="120" w:after="120" w:line="240" w:lineRule="auto"/>
        <w:ind w:left="851" w:right="990"/>
        <w:jc w:val="both"/>
        <w:rPr>
          <w:rFonts w:ascii="Palatino Linotype" w:eastAsia="Palatino Linotype" w:hAnsi="Palatino Linotype" w:cs="Palatino Linotype"/>
          <w:i/>
          <w:sz w:val="24"/>
          <w:szCs w:val="24"/>
        </w:rPr>
      </w:pPr>
      <w:bookmarkStart w:id="1" w:name="_heading=h.3znysh7" w:colFirst="0" w:colLast="0"/>
      <w:bookmarkEnd w:id="1"/>
      <w:r w:rsidRPr="00D52589">
        <w:rPr>
          <w:rFonts w:ascii="Palatino Linotype" w:eastAsia="Palatino Linotype" w:hAnsi="Palatino Linotype" w:cs="Palatino Linotype"/>
          <w:i/>
          <w:sz w:val="24"/>
          <w:szCs w:val="24"/>
        </w:rPr>
        <w:t>“</w:t>
      </w:r>
      <w:r w:rsidR="00530465" w:rsidRPr="00D52589">
        <w:rPr>
          <w:rFonts w:ascii="Palatino Linotype" w:eastAsia="Palatino Linotype" w:hAnsi="Palatino Linotype" w:cs="Palatino Linotype"/>
          <w:i/>
          <w:sz w:val="24"/>
          <w:szCs w:val="24"/>
        </w:rPr>
        <w:t>Derivado de que después de 16 días hábiles el Sujeto Obligado no atendió la solicitud, se interpone el presente recurso de revisión. Como podrá notar el Comisionado que deba resolver este recurso, no es la primera ocasión que el Sujeto Obligado no cumple con la entrega de la información, es por eso que se pide que se determinen las sanciones que marca la Ley de Transparencia Local por la vulneración al derecho a la información pública, por la actitud reiterada de rebeldía y desacato, así como de violación de los derechos humanos. Agradecemos su inmediata intervención</w:t>
      </w:r>
      <w:r w:rsidRPr="00D52589">
        <w:rPr>
          <w:rFonts w:ascii="Palatino Linotype" w:eastAsia="Palatino Linotype" w:hAnsi="Palatino Linotype" w:cs="Palatino Linotype"/>
          <w:i/>
          <w:sz w:val="24"/>
          <w:szCs w:val="24"/>
        </w:rPr>
        <w:t>.”</w:t>
      </w:r>
      <w:r w:rsidR="00530465" w:rsidRPr="00D52589">
        <w:rPr>
          <w:rFonts w:ascii="Palatino Linotype" w:eastAsia="Palatino Linotype" w:hAnsi="Palatino Linotype" w:cs="Palatino Linotype"/>
          <w:i/>
          <w:sz w:val="24"/>
          <w:szCs w:val="24"/>
        </w:rPr>
        <w:t xml:space="preserve"> (</w:t>
      </w:r>
      <w:proofErr w:type="gramStart"/>
      <w:r w:rsidR="00530465" w:rsidRPr="00D52589">
        <w:rPr>
          <w:rFonts w:ascii="Palatino Linotype" w:eastAsia="Palatino Linotype" w:hAnsi="Palatino Linotype" w:cs="Palatino Linotype"/>
          <w:i/>
          <w:sz w:val="24"/>
          <w:szCs w:val="24"/>
        </w:rPr>
        <w:t>sic</w:t>
      </w:r>
      <w:proofErr w:type="gramEnd"/>
      <w:r w:rsidR="00530465" w:rsidRPr="00D52589">
        <w:rPr>
          <w:rFonts w:ascii="Palatino Linotype" w:eastAsia="Palatino Linotype" w:hAnsi="Palatino Linotype" w:cs="Palatino Linotype"/>
          <w:i/>
          <w:sz w:val="24"/>
          <w:szCs w:val="24"/>
        </w:rPr>
        <w:t>)</w:t>
      </w:r>
    </w:p>
    <w:p w14:paraId="0527F489" w14:textId="27B1C800" w:rsidR="00530465" w:rsidRPr="00D52589" w:rsidRDefault="004A7A38" w:rsidP="00E86A58">
      <w:pPr>
        <w:spacing w:before="240" w:after="240" w:line="360" w:lineRule="auto"/>
        <w:ind w:right="51"/>
        <w:jc w:val="both"/>
        <w:rPr>
          <w:rFonts w:ascii="Palatino Linotype" w:hAnsi="Palatino Linotype"/>
          <w:i/>
          <w:szCs w:val="24"/>
        </w:rPr>
      </w:pPr>
      <w:r w:rsidRPr="00D52589">
        <w:rPr>
          <w:rFonts w:ascii="Palatino Linotype" w:eastAsia="Palatino Linotype" w:hAnsi="Palatino Linotype" w:cs="Palatino Linotype"/>
          <w:sz w:val="24"/>
          <w:szCs w:val="24"/>
        </w:rPr>
        <w:t>Durante la etapa de manifestaciones</w:t>
      </w:r>
      <w:r w:rsidR="00530465" w:rsidRPr="00D52589">
        <w:rPr>
          <w:rFonts w:ascii="Palatino Linotype" w:eastAsia="Palatino Linotype" w:hAnsi="Palatino Linotype" w:cs="Palatino Linotype"/>
          <w:sz w:val="24"/>
          <w:szCs w:val="24"/>
        </w:rPr>
        <w:t xml:space="preserve"> el </w:t>
      </w:r>
      <w:r w:rsidR="00530465" w:rsidRPr="00D52589">
        <w:rPr>
          <w:rFonts w:ascii="Palatino Linotype" w:eastAsia="Palatino Linotype" w:hAnsi="Palatino Linotype" w:cs="Palatino Linotype"/>
          <w:b/>
          <w:bCs/>
          <w:sz w:val="24"/>
          <w:szCs w:val="24"/>
        </w:rPr>
        <w:t xml:space="preserve">Sujeto Obligado </w:t>
      </w:r>
      <w:r w:rsidR="00530465" w:rsidRPr="00D52589">
        <w:rPr>
          <w:rFonts w:ascii="Palatino Linotype" w:eastAsia="Palatino Linotype" w:hAnsi="Palatino Linotype" w:cs="Palatino Linotype"/>
          <w:sz w:val="24"/>
          <w:szCs w:val="24"/>
        </w:rPr>
        <w:t xml:space="preserve">remitió </w:t>
      </w:r>
      <w:r w:rsidR="00E86A58">
        <w:rPr>
          <w:rFonts w:ascii="Palatino Linotype" w:hAnsi="Palatino Linotype"/>
          <w:sz w:val="24"/>
          <w:szCs w:val="24"/>
        </w:rPr>
        <w:t>diversos documentos que se relacionan con la materia de la solicitud.</w:t>
      </w:r>
    </w:p>
    <w:p w14:paraId="56C7B3D8" w14:textId="7C733B29" w:rsidR="00822C73" w:rsidRPr="00D52589" w:rsidRDefault="004A7A38">
      <w:pPr>
        <w:tabs>
          <w:tab w:val="left" w:pos="8080"/>
        </w:tabs>
        <w:spacing w:line="360" w:lineRule="auto"/>
        <w:ind w:right="49"/>
        <w:jc w:val="both"/>
        <w:rPr>
          <w:rFonts w:ascii="Palatino Linotype" w:eastAsia="Palatino Linotype" w:hAnsi="Palatino Linotype" w:cs="Palatino Linotype"/>
        </w:rPr>
      </w:pPr>
      <w:r w:rsidRPr="00D52589">
        <w:rPr>
          <w:rFonts w:ascii="Palatino Linotype" w:eastAsia="Palatino Linotype" w:hAnsi="Palatino Linotype" w:cs="Palatino Linotype"/>
          <w:sz w:val="24"/>
          <w:szCs w:val="24"/>
        </w:rPr>
        <w:t xml:space="preserve">Así las cosas, el Instituto consideró que las razones o motivos de inconformidad hechos valer por la parte </w:t>
      </w:r>
      <w:r w:rsidRPr="00D52589">
        <w:rPr>
          <w:rFonts w:ascii="Palatino Linotype" w:eastAsia="Palatino Linotype" w:hAnsi="Palatino Linotype" w:cs="Palatino Linotype"/>
          <w:b/>
          <w:sz w:val="24"/>
          <w:szCs w:val="24"/>
        </w:rPr>
        <w:t xml:space="preserve">Recurrente </w:t>
      </w:r>
      <w:r w:rsidRPr="00D52589">
        <w:rPr>
          <w:rFonts w:ascii="Palatino Linotype" w:eastAsia="Palatino Linotype" w:hAnsi="Palatino Linotype" w:cs="Palatino Linotype"/>
          <w:sz w:val="24"/>
          <w:szCs w:val="24"/>
        </w:rPr>
        <w:t xml:space="preserve">resultan fundados </w:t>
      </w:r>
      <w:r w:rsidRPr="00D52589">
        <w:rPr>
          <w:rFonts w:ascii="Palatino Linotype" w:eastAsia="Palatino Linotype" w:hAnsi="Palatino Linotype" w:cs="Palatino Linotype"/>
        </w:rPr>
        <w:t>y determinó</w:t>
      </w:r>
      <w:r w:rsidR="003528ED" w:rsidRPr="00D52589">
        <w:rPr>
          <w:rFonts w:ascii="Palatino Linotype" w:eastAsia="Palatino Linotype" w:hAnsi="Palatino Linotype" w:cs="Palatino Linotype"/>
        </w:rPr>
        <w:t xml:space="preserve"> revocar la respuesta emitida</w:t>
      </w:r>
      <w:r w:rsidRPr="00D52589">
        <w:rPr>
          <w:rFonts w:ascii="Palatino Linotype" w:eastAsia="Palatino Linotype" w:hAnsi="Palatino Linotype" w:cs="Palatino Linotype"/>
        </w:rPr>
        <w:t xml:space="preserve">, </w:t>
      </w:r>
      <w:r w:rsidRPr="00D52589">
        <w:rPr>
          <w:rFonts w:ascii="Palatino Linotype" w:eastAsia="Palatino Linotype" w:hAnsi="Palatino Linotype" w:cs="Palatino Linotype"/>
          <w:sz w:val="24"/>
          <w:szCs w:val="24"/>
        </w:rPr>
        <w:t>para ordenar la entrega de lo siguiente:</w:t>
      </w:r>
    </w:p>
    <w:p w14:paraId="213A0B75" w14:textId="77777777" w:rsidR="00530465" w:rsidRPr="00D52589" w:rsidRDefault="004A7A38" w:rsidP="00530465">
      <w:pPr>
        <w:tabs>
          <w:tab w:val="left" w:pos="1134"/>
        </w:tabs>
        <w:spacing w:before="120" w:after="120" w:line="240" w:lineRule="auto"/>
        <w:ind w:left="851" w:right="992"/>
        <w:jc w:val="both"/>
        <w:rPr>
          <w:rFonts w:ascii="Palatino Linotype" w:eastAsia="Times New Roman" w:hAnsi="Palatino Linotype" w:cs="Tahoma"/>
          <w:i/>
          <w:lang w:eastAsia="es-ES"/>
        </w:rPr>
      </w:pPr>
      <w:r w:rsidRPr="00D52589">
        <w:rPr>
          <w:rFonts w:ascii="Palatino Linotype" w:eastAsia="Palatino Linotype" w:hAnsi="Palatino Linotype" w:cs="Palatino Linotype"/>
          <w:b/>
          <w:i/>
        </w:rPr>
        <w:t>“</w:t>
      </w:r>
      <w:r w:rsidR="00530465" w:rsidRPr="00D52589">
        <w:rPr>
          <w:rFonts w:ascii="Palatino Linotype" w:hAnsi="Palatino Linotype" w:cs="Arial"/>
          <w:b/>
          <w:i/>
        </w:rPr>
        <w:t>SEGUNDO.</w:t>
      </w:r>
      <w:r w:rsidR="00530465" w:rsidRPr="00D52589">
        <w:rPr>
          <w:rFonts w:ascii="Palatino Linotype" w:hAnsi="Palatino Linotype" w:cs="Arial"/>
          <w:i/>
        </w:rPr>
        <w:t xml:space="preserve"> Se </w:t>
      </w:r>
      <w:r w:rsidR="00530465" w:rsidRPr="00D52589">
        <w:rPr>
          <w:rFonts w:ascii="Palatino Linotype" w:hAnsi="Palatino Linotype" w:cs="Arial"/>
          <w:b/>
          <w:i/>
        </w:rPr>
        <w:t>ORDENA</w:t>
      </w:r>
      <w:r w:rsidR="00530465" w:rsidRPr="00D52589">
        <w:rPr>
          <w:rFonts w:ascii="Palatino Linotype" w:hAnsi="Palatino Linotype" w:cs="Arial"/>
          <w:i/>
        </w:rPr>
        <w:t xml:space="preserve"> al </w:t>
      </w:r>
      <w:r w:rsidR="00530465" w:rsidRPr="00D52589">
        <w:rPr>
          <w:rFonts w:ascii="Palatino Linotype" w:hAnsi="Palatino Linotype" w:cs="Arial"/>
          <w:b/>
          <w:i/>
        </w:rPr>
        <w:t>Sujeto Obligado</w:t>
      </w:r>
      <w:r w:rsidR="00530465" w:rsidRPr="00D52589">
        <w:rPr>
          <w:rFonts w:ascii="Palatino Linotype" w:hAnsi="Palatino Linotype" w:cs="Arial"/>
          <w:i/>
        </w:rPr>
        <w:t xml:space="preserve"> </w:t>
      </w:r>
      <w:r w:rsidR="00530465" w:rsidRPr="00D52589">
        <w:rPr>
          <w:rFonts w:ascii="Palatino Linotype" w:eastAsia="Times New Roman" w:hAnsi="Palatino Linotype" w:cs="Arial"/>
          <w:i/>
          <w:lang w:eastAsia="es-ES"/>
        </w:rPr>
        <w:t xml:space="preserve">en términos del considerando </w:t>
      </w:r>
      <w:r w:rsidR="00530465" w:rsidRPr="00D52589">
        <w:rPr>
          <w:rFonts w:ascii="Palatino Linotype" w:eastAsia="Times New Roman" w:hAnsi="Palatino Linotype" w:cs="Arial"/>
          <w:b/>
          <w:i/>
          <w:lang w:eastAsia="es-ES"/>
        </w:rPr>
        <w:t xml:space="preserve">CUARTO </w:t>
      </w:r>
      <w:r w:rsidR="00530465" w:rsidRPr="00D52589">
        <w:rPr>
          <w:rFonts w:ascii="Palatino Linotype" w:eastAsia="Times New Roman" w:hAnsi="Palatino Linotype" w:cs="Arial"/>
          <w:i/>
          <w:lang w:eastAsia="es-ES"/>
        </w:rPr>
        <w:t xml:space="preserve">de esta resolución, atienda la solicitud de información </w:t>
      </w:r>
      <w:r w:rsidR="00530465" w:rsidRPr="00D52589">
        <w:rPr>
          <w:rFonts w:ascii="Palatino Linotype" w:hAnsi="Palatino Linotype" w:cs="Arial"/>
          <w:b/>
          <w:i/>
        </w:rPr>
        <w:t>00426/VACHASO/IP/2023</w:t>
      </w:r>
      <w:r w:rsidR="00530465" w:rsidRPr="00D52589">
        <w:rPr>
          <w:rFonts w:ascii="Palatino Linotype" w:eastAsia="Times New Roman" w:hAnsi="Palatino Linotype" w:cs="Arial"/>
          <w:b/>
          <w:i/>
          <w:lang w:eastAsia="es-ES"/>
        </w:rPr>
        <w:t>,</w:t>
      </w:r>
      <w:r w:rsidR="00530465" w:rsidRPr="00D52589">
        <w:rPr>
          <w:rFonts w:ascii="Palatino Linotype" w:eastAsia="Times New Roman" w:hAnsi="Palatino Linotype" w:cs="Arial"/>
          <w:i/>
          <w:lang w:eastAsia="es-ES"/>
        </w:rPr>
        <w:t xml:space="preserve"> </w:t>
      </w:r>
      <w:r w:rsidR="00530465" w:rsidRPr="00D52589">
        <w:rPr>
          <w:rFonts w:ascii="Palatino Linotype" w:eastAsia="Times New Roman" w:hAnsi="Palatino Linotype" w:cs="Tahoma"/>
          <w:i/>
          <w:lang w:eastAsia="es-ES"/>
        </w:rPr>
        <w:t>a través del Sistema de Acceso a la Información Mexiquense (</w:t>
      </w:r>
      <w:r w:rsidR="00530465" w:rsidRPr="00D52589">
        <w:rPr>
          <w:rFonts w:ascii="Palatino Linotype" w:eastAsia="Times New Roman" w:hAnsi="Palatino Linotype" w:cs="Tahoma"/>
          <w:b/>
          <w:i/>
          <w:lang w:eastAsia="es-ES"/>
        </w:rPr>
        <w:t>SAIMEX</w:t>
      </w:r>
      <w:r w:rsidR="00530465" w:rsidRPr="00D52589">
        <w:rPr>
          <w:rFonts w:ascii="Palatino Linotype" w:eastAsia="Times New Roman" w:hAnsi="Palatino Linotype" w:cs="Tahoma"/>
          <w:i/>
          <w:lang w:eastAsia="es-ES"/>
        </w:rPr>
        <w:t xml:space="preserve">), y haga entrega en versión pública, de lo siguiente: </w:t>
      </w:r>
    </w:p>
    <w:p w14:paraId="18DDB2A2" w14:textId="77777777" w:rsidR="00530465" w:rsidRPr="00D52589" w:rsidRDefault="00530465" w:rsidP="00530465">
      <w:pPr>
        <w:pStyle w:val="Prrafodelista"/>
        <w:numPr>
          <w:ilvl w:val="0"/>
          <w:numId w:val="9"/>
        </w:numPr>
        <w:tabs>
          <w:tab w:val="left" w:pos="1134"/>
        </w:tabs>
        <w:spacing w:before="120" w:after="120"/>
        <w:ind w:left="851" w:right="992" w:firstLine="0"/>
        <w:contextualSpacing w:val="0"/>
        <w:jc w:val="both"/>
        <w:rPr>
          <w:rFonts w:ascii="Palatino Linotype" w:hAnsi="Palatino Linotype"/>
          <w:i/>
          <w:sz w:val="22"/>
          <w:szCs w:val="22"/>
        </w:rPr>
      </w:pPr>
      <w:r w:rsidRPr="00D52589">
        <w:rPr>
          <w:rFonts w:ascii="Palatino Linotype" w:hAnsi="Palatino Linotype"/>
          <w:i/>
          <w:sz w:val="22"/>
          <w:szCs w:val="22"/>
        </w:rPr>
        <w:t>Correcta versión pública de los recibos de pago proporcionados en informe justificado.</w:t>
      </w:r>
    </w:p>
    <w:p w14:paraId="0C1AAAED" w14:textId="77777777" w:rsidR="00530465" w:rsidRPr="00D52589" w:rsidRDefault="00530465" w:rsidP="00530465">
      <w:pPr>
        <w:pStyle w:val="Prrafodelista"/>
        <w:numPr>
          <w:ilvl w:val="0"/>
          <w:numId w:val="9"/>
        </w:numPr>
        <w:tabs>
          <w:tab w:val="left" w:pos="1134"/>
        </w:tabs>
        <w:spacing w:before="120" w:after="120"/>
        <w:ind w:left="851" w:right="992" w:firstLine="0"/>
        <w:contextualSpacing w:val="0"/>
        <w:jc w:val="both"/>
        <w:rPr>
          <w:rFonts w:ascii="Palatino Linotype" w:hAnsi="Palatino Linotype"/>
          <w:i/>
          <w:sz w:val="22"/>
          <w:szCs w:val="22"/>
        </w:rPr>
      </w:pPr>
      <w:r w:rsidRPr="00D52589">
        <w:rPr>
          <w:rFonts w:ascii="Palatino Linotype" w:hAnsi="Palatino Linotype"/>
          <w:i/>
          <w:sz w:val="22"/>
          <w:szCs w:val="22"/>
        </w:rPr>
        <w:lastRenderedPageBreak/>
        <w:t>Recibos de pago de los servidores públicos adscritos a la Dirección General de Seguridad Pública y Tránsito del periodo del uno de enero al quince de septiembre de dos mil veintitrés;</w:t>
      </w:r>
    </w:p>
    <w:p w14:paraId="761BF0CE" w14:textId="77777777" w:rsidR="00530465" w:rsidRPr="00D52589" w:rsidRDefault="00530465" w:rsidP="00530465">
      <w:pPr>
        <w:pStyle w:val="Prrafodelista"/>
        <w:numPr>
          <w:ilvl w:val="0"/>
          <w:numId w:val="9"/>
        </w:numPr>
        <w:tabs>
          <w:tab w:val="left" w:pos="1134"/>
        </w:tabs>
        <w:spacing w:before="120" w:after="120"/>
        <w:ind w:left="851" w:right="992" w:firstLine="0"/>
        <w:contextualSpacing w:val="0"/>
        <w:jc w:val="both"/>
        <w:rPr>
          <w:rFonts w:ascii="Palatino Linotype" w:hAnsi="Palatino Linotype"/>
          <w:i/>
          <w:sz w:val="22"/>
          <w:szCs w:val="22"/>
        </w:rPr>
      </w:pPr>
      <w:r w:rsidRPr="00D52589">
        <w:rPr>
          <w:rFonts w:ascii="Palatino Linotype" w:hAnsi="Palatino Linotype"/>
          <w:i/>
          <w:sz w:val="22"/>
          <w:szCs w:val="22"/>
        </w:rPr>
        <w:t>Los recibos de pago de todos sus servidores públicos por lista de raya correspondientes a los meses de enero, febrero, marzo, abril, mayo, junio, julio, agosto y hasta el quince de septiembre del dos mil veintitrés.</w:t>
      </w:r>
    </w:p>
    <w:p w14:paraId="28F1FD35" w14:textId="77777777" w:rsidR="00530465" w:rsidRPr="00D52589" w:rsidRDefault="00530465" w:rsidP="00530465">
      <w:pPr>
        <w:pStyle w:val="Prrafodelista"/>
        <w:numPr>
          <w:ilvl w:val="0"/>
          <w:numId w:val="9"/>
        </w:numPr>
        <w:tabs>
          <w:tab w:val="left" w:pos="1134"/>
        </w:tabs>
        <w:spacing w:before="120" w:after="120"/>
        <w:ind w:left="851" w:right="992" w:firstLine="0"/>
        <w:contextualSpacing w:val="0"/>
        <w:jc w:val="both"/>
        <w:rPr>
          <w:rFonts w:ascii="Palatino Linotype" w:hAnsi="Palatino Linotype"/>
          <w:i/>
          <w:sz w:val="22"/>
          <w:szCs w:val="22"/>
        </w:rPr>
      </w:pPr>
      <w:r w:rsidRPr="00D52589">
        <w:rPr>
          <w:rFonts w:ascii="Palatino Linotype" w:hAnsi="Palatino Linotype"/>
          <w:i/>
          <w:sz w:val="22"/>
          <w:szCs w:val="22"/>
        </w:rPr>
        <w:t>Los recibos de pago de todos sus servidores públicos por honorarios correspondientes a los meses de enero, febrero, marzo, abril, mayo, junio, julio, agosto y hasta el quince de septiembre del dos mil veintitrés.</w:t>
      </w:r>
    </w:p>
    <w:p w14:paraId="15FF2B9F" w14:textId="77777777" w:rsidR="00530465" w:rsidRPr="00D52589" w:rsidRDefault="00530465" w:rsidP="00530465">
      <w:pPr>
        <w:tabs>
          <w:tab w:val="left" w:pos="1134"/>
          <w:tab w:val="left" w:pos="8647"/>
        </w:tabs>
        <w:spacing w:before="120" w:after="120" w:line="240" w:lineRule="auto"/>
        <w:ind w:left="851" w:right="992"/>
        <w:jc w:val="both"/>
        <w:rPr>
          <w:rFonts w:ascii="Palatino Linotype" w:eastAsia="Times New Roman" w:hAnsi="Palatino Linotype" w:cs="Tahoma"/>
          <w:i/>
          <w:lang w:eastAsia="es-ES"/>
        </w:rPr>
      </w:pPr>
      <w:r w:rsidRPr="00D52589">
        <w:rPr>
          <w:rFonts w:ascii="Palatino Linotype" w:eastAsia="Times New Roman" w:hAnsi="Palatino Linotype" w:cs="Tahoma"/>
          <w:i/>
          <w:lang w:eastAsia="es-ES"/>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2203B23F" w14:textId="77777777" w:rsidR="00530465" w:rsidRPr="00D52589" w:rsidRDefault="00530465" w:rsidP="00530465">
      <w:pPr>
        <w:tabs>
          <w:tab w:val="left" w:pos="1134"/>
          <w:tab w:val="left" w:pos="8647"/>
        </w:tabs>
        <w:spacing w:before="120" w:after="120" w:line="240" w:lineRule="auto"/>
        <w:ind w:left="851" w:right="992"/>
        <w:jc w:val="both"/>
        <w:rPr>
          <w:rFonts w:ascii="Palatino Linotype" w:eastAsia="Times New Roman" w:hAnsi="Palatino Linotype" w:cs="Tahoma"/>
          <w:i/>
          <w:lang w:eastAsia="es-ES"/>
        </w:rPr>
      </w:pPr>
      <w:r w:rsidRPr="00D52589">
        <w:rPr>
          <w:rFonts w:ascii="Palatino Linotype" w:eastAsia="Times New Roman" w:hAnsi="Palatino Linotype" w:cs="Tahoma"/>
          <w:i/>
          <w:lang w:eastAsia="es-ES"/>
        </w:rPr>
        <w:t xml:space="preserve">Respecto del numeral </w:t>
      </w:r>
      <w:r w:rsidRPr="00D52589">
        <w:rPr>
          <w:rFonts w:ascii="Palatino Linotype" w:eastAsia="Times New Roman" w:hAnsi="Palatino Linotype" w:cs="Tahoma"/>
          <w:b/>
          <w:i/>
          <w:lang w:eastAsia="es-ES"/>
        </w:rPr>
        <w:t>3</w:t>
      </w:r>
      <w:r w:rsidRPr="00D52589">
        <w:rPr>
          <w:rFonts w:ascii="Palatino Linotype" w:eastAsia="Times New Roman" w:hAnsi="Palatino Linotype" w:cs="Tahoma"/>
          <w:i/>
          <w:lang w:eastAsia="es-ES"/>
        </w:rPr>
        <w:t>, en el caso de no contar con información por no haber sido generada, deberá de hacerlo del conocimiento en términos del párrafo segundo del artículo 19 de la Ley de Transparencia Local.</w:t>
      </w:r>
    </w:p>
    <w:p w14:paraId="6B921FFE" w14:textId="6C69F115" w:rsidR="00822C73" w:rsidRPr="00D52589" w:rsidRDefault="00530465" w:rsidP="00530465">
      <w:pPr>
        <w:tabs>
          <w:tab w:val="left" w:pos="1134"/>
        </w:tabs>
        <w:spacing w:before="120" w:after="120" w:line="240" w:lineRule="auto"/>
        <w:ind w:left="851" w:right="992"/>
        <w:jc w:val="both"/>
        <w:rPr>
          <w:rFonts w:ascii="Palatino Linotype" w:eastAsia="Times New Roman" w:hAnsi="Palatino Linotype" w:cs="Arial"/>
          <w:i/>
          <w:lang w:eastAsia="es-ES"/>
        </w:rPr>
      </w:pPr>
      <w:r w:rsidRPr="00D52589">
        <w:rPr>
          <w:rFonts w:ascii="Palatino Linotype" w:eastAsia="Times New Roman" w:hAnsi="Palatino Linotype" w:cs="Arial"/>
          <w:i/>
          <w:lang w:eastAsia="es-ES"/>
        </w:rPr>
        <w:t xml:space="preserve">Para el caso de que el Sujeto Obligado no cuente con la información que se ordena en el numeral </w:t>
      </w:r>
      <w:r w:rsidRPr="00D52589">
        <w:rPr>
          <w:rFonts w:ascii="Palatino Linotype" w:eastAsia="Times New Roman" w:hAnsi="Palatino Linotype" w:cs="Arial"/>
          <w:b/>
          <w:i/>
          <w:lang w:eastAsia="es-ES"/>
        </w:rPr>
        <w:t>4</w:t>
      </w:r>
      <w:r w:rsidRPr="00D52589">
        <w:rPr>
          <w:rFonts w:ascii="Palatino Linotype" w:eastAsia="Times New Roman" w:hAnsi="Palatino Linotype" w:cs="Arial"/>
          <w:i/>
          <w:lang w:eastAsia="es-ES"/>
        </w:rPr>
        <w:t>, deberá proporcionar el Acuerdo del Comité de Transparencia donde confirme la inexistencia de la información, esto de acuerdo con lo establecido en el artículo 19, párrafo tercero, 169 y 170 de la Ley de Transparencia y Acceso a la Información Pública del Estado de México y Municipios.”</w:t>
      </w:r>
    </w:p>
    <w:p w14:paraId="087B4324" w14:textId="77777777" w:rsidR="00822C73" w:rsidRPr="00D52589" w:rsidRDefault="004A7A38">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b/>
          <w:sz w:val="24"/>
          <w:szCs w:val="24"/>
        </w:rPr>
      </w:pPr>
      <w:r w:rsidRPr="00D52589">
        <w:rPr>
          <w:rFonts w:ascii="Palatino Linotype" w:eastAsia="Palatino Linotype" w:hAnsi="Palatino Linotype" w:cs="Palatino Linotype"/>
          <w:b/>
          <w:sz w:val="24"/>
          <w:szCs w:val="24"/>
        </w:rPr>
        <w:t>II. Razones del Voto Particular.</w:t>
      </w:r>
    </w:p>
    <w:p w14:paraId="7BCB6B48" w14:textId="43B621DD" w:rsidR="00822C73" w:rsidRPr="00D52589" w:rsidRDefault="004A7A38">
      <w:pPr>
        <w:spacing w:before="240" w:after="240" w:line="360" w:lineRule="auto"/>
        <w:ind w:right="140"/>
        <w:jc w:val="both"/>
        <w:rPr>
          <w:rFonts w:ascii="Palatino Linotype" w:eastAsia="Palatino Linotype" w:hAnsi="Palatino Linotype" w:cs="Palatino Linotype"/>
          <w:sz w:val="24"/>
          <w:szCs w:val="24"/>
        </w:rPr>
      </w:pPr>
      <w:bookmarkStart w:id="2" w:name="_heading=h.1fob9te" w:colFirst="0" w:colLast="0"/>
      <w:bookmarkEnd w:id="2"/>
      <w:r w:rsidRPr="00D52589">
        <w:rPr>
          <w:rFonts w:ascii="Palatino Linotype" w:eastAsia="Palatino Linotype" w:hAnsi="Palatino Linotype" w:cs="Palatino Linotype"/>
          <w:sz w:val="24"/>
          <w:szCs w:val="24"/>
        </w:rPr>
        <w:t xml:space="preserve">Para iniciar la emisión del presente voto, conviene mencionar, que si bien se comparte el sentido de la resolución, ya que del análisis de las constancias que conforman los expedientes electrónicos, se desprendió que la información solicitada es susceptible de transparentarse pues se encuentra relacionada con la gestión pública y con su publicidad se favorece indudablemente a la rendición de cuentas, </w:t>
      </w:r>
      <w:r w:rsidRPr="00D52589">
        <w:rPr>
          <w:rFonts w:ascii="Palatino Linotype" w:eastAsia="Palatino Linotype" w:hAnsi="Palatino Linotype" w:cs="Palatino Linotype"/>
          <w:sz w:val="24"/>
          <w:szCs w:val="24"/>
        </w:rPr>
        <w:lastRenderedPageBreak/>
        <w:t>sin embargo, no se coincide con los argumentos señalados en la misma en atención a los consideraciones que a continuación se exponen.</w:t>
      </w:r>
    </w:p>
    <w:p w14:paraId="79B8D7C2" w14:textId="77777777" w:rsidR="00822C73" w:rsidRPr="00D52589" w:rsidRDefault="004A7A38">
      <w:pPr>
        <w:numPr>
          <w:ilvl w:val="0"/>
          <w:numId w:val="4"/>
        </w:numPr>
        <w:pBdr>
          <w:top w:val="nil"/>
          <w:left w:val="nil"/>
          <w:bottom w:val="nil"/>
          <w:right w:val="nil"/>
          <w:between w:val="nil"/>
        </w:pBdr>
        <w:tabs>
          <w:tab w:val="left" w:pos="4962"/>
        </w:tabs>
        <w:spacing w:before="240" w:after="240" w:line="360" w:lineRule="auto"/>
        <w:jc w:val="both"/>
        <w:rPr>
          <w:rFonts w:ascii="Palatino Linotype" w:eastAsia="Palatino Linotype" w:hAnsi="Palatino Linotype" w:cs="Palatino Linotype"/>
          <w:b/>
          <w:sz w:val="24"/>
          <w:szCs w:val="24"/>
        </w:rPr>
      </w:pPr>
      <w:r w:rsidRPr="00D52589">
        <w:rPr>
          <w:rFonts w:ascii="Palatino Linotype" w:eastAsia="Palatino Linotype" w:hAnsi="Palatino Linotype" w:cs="Palatino Linotype"/>
          <w:b/>
          <w:sz w:val="24"/>
          <w:szCs w:val="24"/>
        </w:rPr>
        <w:t>Del estado de fuerza.</w:t>
      </w:r>
    </w:p>
    <w:p w14:paraId="25D0A666" w14:textId="4CC0D40F" w:rsidR="00341D7A" w:rsidRPr="00D52589" w:rsidRDefault="004A7A38" w:rsidP="00341D7A">
      <w:pPr>
        <w:spacing w:before="240" w:after="240" w:line="360" w:lineRule="auto"/>
        <w:jc w:val="both"/>
        <w:rPr>
          <w:rFonts w:ascii="Palatino Linotype" w:eastAsia="Palatino Linotype" w:hAnsi="Palatino Linotype" w:cs="Palatino Linotype"/>
          <w:sz w:val="24"/>
          <w:szCs w:val="24"/>
        </w:rPr>
      </w:pPr>
      <w:r w:rsidRPr="00D52589">
        <w:rPr>
          <w:rFonts w:ascii="Palatino Linotype" w:eastAsia="Palatino Linotype" w:hAnsi="Palatino Linotype" w:cs="Palatino Linotype"/>
          <w:sz w:val="24"/>
          <w:szCs w:val="24"/>
        </w:rPr>
        <w:t xml:space="preserve">Sobre este punto, debe decirse que por regla general la publicidad de los nombres de los servidores públicos en el  ejercicio de la función pública, se encuentran establecidas como una obligación de transparencia común, tanto en la Ley General como en la Ley Local, y de manera específica, el artículo 92, fracción VII de la Ley de Transparencia y Acceso a la Información Pública del Estado de México y Municipios; no obstante lo anterior, considero que dicha regla está sujeta a claro régimen de  excepción, la cual concretamente se aprecia en el caso de </w:t>
      </w:r>
      <w:r w:rsidR="00341D7A" w:rsidRPr="00D52589">
        <w:rPr>
          <w:rFonts w:ascii="Palatino Linotype" w:eastAsia="Palatino Linotype" w:hAnsi="Palatino Linotype" w:cs="Palatino Linotype"/>
          <w:sz w:val="24"/>
          <w:szCs w:val="24"/>
        </w:rPr>
        <w:t xml:space="preserve">las remuneraciones de personal que se encuentra adscrito a instituciones de seguridad pública con funciones operativas en atención a los consideraciones que a continuación se exponen. </w:t>
      </w:r>
    </w:p>
    <w:p w14:paraId="2AD493ED" w14:textId="77777777" w:rsidR="00822C73" w:rsidRPr="00D52589" w:rsidRDefault="004A7A38">
      <w:pPr>
        <w:spacing w:before="240" w:after="240" w:line="360" w:lineRule="auto"/>
        <w:jc w:val="both"/>
        <w:rPr>
          <w:rFonts w:ascii="Palatino Linotype" w:eastAsia="Palatino Linotype" w:hAnsi="Palatino Linotype" w:cs="Palatino Linotype"/>
          <w:sz w:val="24"/>
          <w:szCs w:val="24"/>
        </w:rPr>
      </w:pPr>
      <w:r w:rsidRPr="00D52589">
        <w:rPr>
          <w:rFonts w:ascii="Palatino Linotype" w:eastAsia="Palatino Linotype" w:hAnsi="Palatino Linotype" w:cs="Palatino Linotype"/>
          <w:sz w:val="24"/>
          <w:szCs w:val="24"/>
        </w:rPr>
        <w:t xml:space="preserve">En este tenor, debemos partir desde la máxima establecida en nuestro texto Constitucional Federal pues el artículo 21 en su párrafo noveno reconoce que la seguridad pública es una función del Estado a cargo de la Federación, las Entidades Federativas y </w:t>
      </w:r>
      <w:r w:rsidRPr="00D52589">
        <w:rPr>
          <w:rFonts w:ascii="Palatino Linotype" w:eastAsia="Palatino Linotype" w:hAnsi="Palatino Linotype" w:cs="Palatino Linotype"/>
          <w:b/>
          <w:sz w:val="24"/>
          <w:szCs w:val="24"/>
        </w:rPr>
        <w:t>los Municipios</w:t>
      </w:r>
      <w:r w:rsidRPr="00D52589">
        <w:rPr>
          <w:rFonts w:ascii="Palatino Linotype" w:eastAsia="Palatino Linotype" w:hAnsi="Palatino Linotype" w:cs="Palatino Linotype"/>
          <w:sz w:val="24"/>
          <w:szCs w:val="24"/>
        </w:rPr>
        <w:t xml:space="preserve">, </w:t>
      </w:r>
      <w:r w:rsidRPr="00D52589">
        <w:rPr>
          <w:rFonts w:ascii="Palatino Linotype" w:eastAsia="Palatino Linotype" w:hAnsi="Palatino Linotype" w:cs="Palatino Linotype"/>
          <w:b/>
          <w:sz w:val="24"/>
          <w:szCs w:val="24"/>
        </w:rPr>
        <w:t>cuyos fines son salvaguardar la vida, las libertades, la integridad y el patrimonio de las personas, así como contribuir a la generación y preservación del orden público y la paz social</w:t>
      </w:r>
      <w:r w:rsidRPr="00D52589">
        <w:rPr>
          <w:rFonts w:ascii="Palatino Linotype" w:eastAsia="Palatino Linotype" w:hAnsi="Palatino Linotype" w:cs="Palatino Linotype"/>
          <w:sz w:val="24"/>
          <w:szCs w:val="24"/>
        </w:rPr>
        <w:t>. Asimismo, señala que la actuación de las instituciones de seguridad pública se regirá por los principios de legalidad, objetividad, eficiencia, profesionalismo, honradez y respeto a los derechos humanos.</w:t>
      </w:r>
    </w:p>
    <w:p w14:paraId="383BBA13" w14:textId="77777777" w:rsidR="00822C73" w:rsidRPr="00D52589" w:rsidRDefault="004A7A38">
      <w:pPr>
        <w:spacing w:before="240" w:after="240" w:line="360" w:lineRule="auto"/>
        <w:jc w:val="both"/>
        <w:rPr>
          <w:rFonts w:ascii="Palatino Linotype" w:eastAsia="Palatino Linotype" w:hAnsi="Palatino Linotype" w:cs="Palatino Linotype"/>
          <w:sz w:val="24"/>
          <w:szCs w:val="24"/>
        </w:rPr>
      </w:pPr>
      <w:r w:rsidRPr="00D52589">
        <w:rPr>
          <w:rFonts w:ascii="Palatino Linotype" w:eastAsia="Palatino Linotype" w:hAnsi="Palatino Linotype" w:cs="Palatino Linotype"/>
          <w:sz w:val="24"/>
          <w:szCs w:val="24"/>
        </w:rPr>
        <w:lastRenderedPageBreak/>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14:paraId="665E2F9C" w14:textId="77777777" w:rsidR="00822C73" w:rsidRPr="00D52589" w:rsidRDefault="004A7A38">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D52589">
        <w:rPr>
          <w:rFonts w:ascii="Palatino Linotype" w:eastAsia="Palatino Linotype" w:hAnsi="Palatino Linotype" w:cs="Palatino Linotype"/>
          <w:sz w:val="24"/>
          <w:szCs w:val="24"/>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14:paraId="4655632A" w14:textId="77777777" w:rsidR="00822C73" w:rsidRPr="00D52589" w:rsidRDefault="004A7A38">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D52589">
        <w:rPr>
          <w:rFonts w:ascii="Palatino Linotype" w:eastAsia="Palatino Linotype" w:hAnsi="Palatino Linotype" w:cs="Palatino Linotype"/>
          <w:sz w:val="24"/>
          <w:szCs w:val="24"/>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w:t>
      </w:r>
      <w:r w:rsidRPr="00D52589">
        <w:rPr>
          <w:rFonts w:ascii="Palatino Linotype" w:eastAsia="Palatino Linotype" w:hAnsi="Palatino Linotype" w:cs="Palatino Linotype"/>
          <w:sz w:val="24"/>
          <w:szCs w:val="24"/>
        </w:rPr>
        <w:lastRenderedPageBreak/>
        <w:t xml:space="preserve">determinar el riesgo de la divulgación de esta información y por ende, la procedencia de su clasificación como información reservada. </w:t>
      </w:r>
    </w:p>
    <w:p w14:paraId="54CA26E3" w14:textId="77777777" w:rsidR="00822C73" w:rsidRPr="00D52589" w:rsidRDefault="004A7A38">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D52589">
        <w:rPr>
          <w:rFonts w:ascii="Palatino Linotype" w:eastAsia="Palatino Linotype" w:hAnsi="Palatino Linotype" w:cs="Palatino Linotype"/>
          <w:sz w:val="24"/>
          <w:szCs w:val="24"/>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14:paraId="6A42AA21" w14:textId="77777777" w:rsidR="00822C73" w:rsidRPr="00D52589" w:rsidRDefault="004A7A38">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i/>
        </w:rPr>
      </w:pPr>
      <w:r w:rsidRPr="00D52589">
        <w:rPr>
          <w:rFonts w:ascii="Palatino Linotype" w:eastAsia="Palatino Linotype" w:hAnsi="Palatino Linotype" w:cs="Palatino Linotype"/>
          <w:i/>
        </w:rPr>
        <w:t>“</w:t>
      </w:r>
      <w:r w:rsidRPr="00D52589">
        <w:rPr>
          <w:rFonts w:ascii="Palatino Linotype" w:eastAsia="Palatino Linotype" w:hAnsi="Palatino Linotype" w:cs="Palatino Linotype"/>
          <w:b/>
          <w:i/>
        </w:rPr>
        <w:t>Artículo 81.-</w:t>
      </w:r>
      <w:r w:rsidRPr="00D52589">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14:paraId="1A85A1C3" w14:textId="77777777" w:rsidR="00822C73" w:rsidRPr="00D52589" w:rsidRDefault="004A7A38">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i/>
        </w:rPr>
      </w:pPr>
      <w:r w:rsidRPr="00D52589">
        <w:rPr>
          <w:rFonts w:ascii="Palatino Linotype" w:eastAsia="Palatino Linotype" w:hAnsi="Palatino Linotype" w:cs="Palatino Linotype"/>
          <w:i/>
        </w:rPr>
        <w:t>…</w:t>
      </w:r>
    </w:p>
    <w:p w14:paraId="139B6D4A" w14:textId="77777777" w:rsidR="00822C73" w:rsidRPr="00D52589" w:rsidRDefault="004A7A38">
      <w:pPr>
        <w:pBdr>
          <w:top w:val="nil"/>
          <w:left w:val="nil"/>
          <w:bottom w:val="nil"/>
          <w:right w:val="nil"/>
          <w:between w:val="nil"/>
        </w:pBdr>
        <w:spacing w:after="0" w:line="240" w:lineRule="auto"/>
        <w:ind w:left="1276" w:right="900"/>
        <w:jc w:val="both"/>
        <w:rPr>
          <w:rFonts w:ascii="Palatino Linotype" w:eastAsia="Palatino Linotype" w:hAnsi="Palatino Linotype" w:cs="Palatino Linotype"/>
          <w:i/>
        </w:rPr>
      </w:pPr>
      <w:r w:rsidRPr="00D52589">
        <w:rPr>
          <w:rFonts w:ascii="Palatino Linotype" w:eastAsia="Palatino Linotype" w:hAnsi="Palatino Linotype" w:cs="Palatino Linotype"/>
          <w:b/>
          <w:i/>
          <w:u w:val="single"/>
        </w:rPr>
        <w:t xml:space="preserve">II. Aquella cuya revelación pueda ser utilizada para actualizar o potenciar una amenaza a la seguridad pública o a las instituciones del Estado de </w:t>
      </w:r>
      <w:proofErr w:type="gramStart"/>
      <w:r w:rsidRPr="00D52589">
        <w:rPr>
          <w:rFonts w:ascii="Palatino Linotype" w:eastAsia="Palatino Linotype" w:hAnsi="Palatino Linotype" w:cs="Palatino Linotype"/>
          <w:b/>
          <w:i/>
          <w:u w:val="single"/>
        </w:rPr>
        <w:t>México ;</w:t>
      </w:r>
      <w:proofErr w:type="gramEnd"/>
      <w:r w:rsidRPr="00D52589">
        <w:rPr>
          <w:rFonts w:ascii="Palatino Linotype" w:eastAsia="Palatino Linotype" w:hAnsi="Palatino Linotype" w:cs="Palatino Linotype"/>
          <w:b/>
          <w:i/>
        </w:rPr>
        <w:t xml:space="preserve">” </w:t>
      </w:r>
    </w:p>
    <w:p w14:paraId="4CBC733E" w14:textId="77777777" w:rsidR="00822C73" w:rsidRPr="00D52589" w:rsidRDefault="00822C73">
      <w:pPr>
        <w:pBdr>
          <w:top w:val="nil"/>
          <w:left w:val="nil"/>
          <w:bottom w:val="nil"/>
          <w:right w:val="nil"/>
          <w:between w:val="nil"/>
        </w:pBdr>
        <w:spacing w:after="0" w:line="360" w:lineRule="auto"/>
        <w:ind w:left="567" w:right="990"/>
        <w:jc w:val="both"/>
        <w:rPr>
          <w:rFonts w:ascii="Palatino Linotype" w:eastAsia="Palatino Linotype" w:hAnsi="Palatino Linotype" w:cs="Palatino Linotype"/>
          <w:b/>
          <w:i/>
          <w:u w:val="single"/>
        </w:rPr>
      </w:pPr>
    </w:p>
    <w:p w14:paraId="749DF6AC" w14:textId="77777777" w:rsidR="00822C73" w:rsidRPr="00D52589" w:rsidRDefault="004A7A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52589">
        <w:rPr>
          <w:rFonts w:ascii="Palatino Linotype" w:eastAsia="Palatino Linotype" w:hAnsi="Palatino Linotype" w:cs="Palatino Linotype"/>
          <w:sz w:val="24"/>
          <w:szCs w:val="24"/>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14:paraId="48D0AAFB" w14:textId="77777777" w:rsidR="00822C73" w:rsidRPr="00D52589" w:rsidRDefault="00822C73">
      <w:pPr>
        <w:pBdr>
          <w:top w:val="nil"/>
          <w:left w:val="nil"/>
          <w:bottom w:val="nil"/>
          <w:right w:val="nil"/>
          <w:between w:val="nil"/>
        </w:pBdr>
        <w:tabs>
          <w:tab w:val="left" w:pos="284"/>
        </w:tabs>
        <w:spacing w:after="0" w:line="240" w:lineRule="auto"/>
        <w:ind w:left="567" w:right="709"/>
        <w:jc w:val="both"/>
        <w:rPr>
          <w:rFonts w:ascii="Palatino Linotype" w:eastAsia="Palatino Linotype" w:hAnsi="Palatino Linotype" w:cs="Palatino Linotype"/>
          <w:i/>
        </w:rPr>
      </w:pPr>
    </w:p>
    <w:p w14:paraId="083C332F" w14:textId="77777777" w:rsidR="00822C73" w:rsidRPr="00D52589" w:rsidRDefault="004A7A38">
      <w:pPr>
        <w:pBdr>
          <w:top w:val="nil"/>
          <w:left w:val="nil"/>
          <w:bottom w:val="nil"/>
          <w:right w:val="nil"/>
          <w:between w:val="nil"/>
        </w:pBdr>
        <w:spacing w:after="120" w:line="360" w:lineRule="auto"/>
        <w:ind w:left="851" w:right="900"/>
        <w:jc w:val="both"/>
        <w:rPr>
          <w:rFonts w:ascii="Palatino Linotype" w:eastAsia="Palatino Linotype" w:hAnsi="Palatino Linotype" w:cs="Palatino Linotype"/>
          <w:b/>
        </w:rPr>
      </w:pPr>
      <w:r w:rsidRPr="00D52589">
        <w:rPr>
          <w:rFonts w:ascii="Palatino Linotype" w:eastAsia="Palatino Linotype" w:hAnsi="Palatino Linotype" w:cs="Palatino Linotype"/>
          <w:b/>
        </w:rPr>
        <w:t>“Ley General de Transparencia y Acceso a la Información Pública:</w:t>
      </w:r>
    </w:p>
    <w:p w14:paraId="088436F1" w14:textId="77777777" w:rsidR="00822C73" w:rsidRPr="00D52589" w:rsidRDefault="004A7A38">
      <w:pPr>
        <w:pBdr>
          <w:top w:val="nil"/>
          <w:left w:val="nil"/>
          <w:bottom w:val="nil"/>
          <w:right w:val="nil"/>
          <w:between w:val="nil"/>
        </w:pBdr>
        <w:spacing w:after="120" w:line="276" w:lineRule="auto"/>
        <w:ind w:left="851" w:right="900"/>
        <w:jc w:val="both"/>
        <w:rPr>
          <w:rFonts w:ascii="Palatino Linotype" w:eastAsia="Palatino Linotype" w:hAnsi="Palatino Linotype" w:cs="Palatino Linotype"/>
          <w:i/>
        </w:rPr>
      </w:pPr>
      <w:r w:rsidRPr="00D52589">
        <w:rPr>
          <w:rFonts w:ascii="Palatino Linotype" w:eastAsia="Palatino Linotype" w:hAnsi="Palatino Linotype" w:cs="Palatino Linotype"/>
          <w:b/>
          <w:i/>
        </w:rPr>
        <w:t>Artículo 113</w:t>
      </w:r>
      <w:r w:rsidRPr="00D52589">
        <w:rPr>
          <w:rFonts w:ascii="Palatino Linotype" w:eastAsia="Palatino Linotype" w:hAnsi="Palatino Linotype" w:cs="Palatino Linotype"/>
          <w:i/>
        </w:rPr>
        <w:t>. Como información reservada podrá clasificarse aquella cuya publicación:</w:t>
      </w:r>
    </w:p>
    <w:p w14:paraId="533C7D1D" w14:textId="77777777" w:rsidR="00822C73" w:rsidRPr="00D52589" w:rsidRDefault="004A7A38">
      <w:pPr>
        <w:pBdr>
          <w:top w:val="nil"/>
          <w:left w:val="nil"/>
          <w:bottom w:val="nil"/>
          <w:right w:val="nil"/>
          <w:between w:val="nil"/>
        </w:pBdr>
        <w:spacing w:after="120" w:line="276" w:lineRule="auto"/>
        <w:ind w:left="1134" w:right="900"/>
        <w:jc w:val="both"/>
        <w:rPr>
          <w:rFonts w:ascii="Palatino Linotype" w:eastAsia="Palatino Linotype" w:hAnsi="Palatino Linotype" w:cs="Palatino Linotype"/>
          <w:i/>
        </w:rPr>
      </w:pPr>
      <w:r w:rsidRPr="00D52589">
        <w:rPr>
          <w:rFonts w:ascii="Palatino Linotype" w:eastAsia="Palatino Linotype" w:hAnsi="Palatino Linotype" w:cs="Palatino Linotype"/>
          <w:b/>
          <w:i/>
        </w:rPr>
        <w:lastRenderedPageBreak/>
        <w:t>I. Comprometa la seguridad nacional, la seguridad pública o la defensa nacional y cuente con un propósito genuino y un efecto demostrable</w:t>
      </w:r>
      <w:r w:rsidRPr="00D52589">
        <w:rPr>
          <w:rFonts w:ascii="Palatino Linotype" w:eastAsia="Palatino Linotype" w:hAnsi="Palatino Linotype" w:cs="Palatino Linotype"/>
          <w:i/>
        </w:rPr>
        <w:t>;”</w:t>
      </w:r>
    </w:p>
    <w:p w14:paraId="529898E7" w14:textId="77777777" w:rsidR="00822C73" w:rsidRPr="00D52589" w:rsidRDefault="004A7A38">
      <w:pPr>
        <w:pBdr>
          <w:top w:val="nil"/>
          <w:left w:val="nil"/>
          <w:bottom w:val="nil"/>
          <w:right w:val="nil"/>
          <w:between w:val="nil"/>
        </w:pBdr>
        <w:spacing w:after="120" w:line="276" w:lineRule="auto"/>
        <w:ind w:left="851" w:right="900"/>
        <w:jc w:val="both"/>
        <w:rPr>
          <w:rFonts w:ascii="Palatino Linotype" w:eastAsia="Palatino Linotype" w:hAnsi="Palatino Linotype" w:cs="Palatino Linotype"/>
          <w:b/>
        </w:rPr>
      </w:pPr>
      <w:r w:rsidRPr="00D52589">
        <w:rPr>
          <w:rFonts w:ascii="Palatino Linotype" w:eastAsia="Palatino Linotype" w:hAnsi="Palatino Linotype" w:cs="Palatino Linotype"/>
          <w:b/>
        </w:rPr>
        <w:t xml:space="preserve">“Ley de Transparencia y Acceso a la Información Pública del Estado de México y Municipios: </w:t>
      </w:r>
    </w:p>
    <w:p w14:paraId="432EA7D1" w14:textId="77777777" w:rsidR="00822C73" w:rsidRPr="00D52589" w:rsidRDefault="004A7A38">
      <w:pPr>
        <w:pBdr>
          <w:top w:val="nil"/>
          <w:left w:val="nil"/>
          <w:bottom w:val="nil"/>
          <w:right w:val="nil"/>
          <w:between w:val="nil"/>
        </w:pBdr>
        <w:spacing w:after="120" w:line="276" w:lineRule="auto"/>
        <w:ind w:left="851" w:right="900"/>
        <w:jc w:val="both"/>
        <w:rPr>
          <w:rFonts w:ascii="Palatino Linotype" w:eastAsia="Palatino Linotype" w:hAnsi="Palatino Linotype" w:cs="Palatino Linotype"/>
          <w:i/>
        </w:rPr>
      </w:pPr>
      <w:r w:rsidRPr="00D52589">
        <w:rPr>
          <w:rFonts w:ascii="Palatino Linotype" w:eastAsia="Palatino Linotype" w:hAnsi="Palatino Linotype" w:cs="Palatino Linotype"/>
          <w:b/>
          <w:i/>
        </w:rPr>
        <w:t>Artículo 140</w:t>
      </w:r>
      <w:r w:rsidRPr="00D52589">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14:paraId="6FE8C4DB" w14:textId="77777777" w:rsidR="00822C73" w:rsidRPr="00D52589" w:rsidRDefault="004A7A38">
      <w:pPr>
        <w:pBdr>
          <w:top w:val="nil"/>
          <w:left w:val="nil"/>
          <w:bottom w:val="nil"/>
          <w:right w:val="nil"/>
          <w:between w:val="nil"/>
        </w:pBdr>
        <w:spacing w:after="120" w:line="276" w:lineRule="auto"/>
        <w:ind w:left="1134" w:right="900"/>
        <w:jc w:val="both"/>
        <w:rPr>
          <w:rFonts w:ascii="Palatino Linotype" w:eastAsia="Palatino Linotype" w:hAnsi="Palatino Linotype" w:cs="Palatino Linotype"/>
          <w:i/>
        </w:rPr>
      </w:pPr>
      <w:r w:rsidRPr="00D52589">
        <w:rPr>
          <w:rFonts w:ascii="Palatino Linotype" w:eastAsia="Palatino Linotype" w:hAnsi="Palatino Linotype" w:cs="Palatino Linotype"/>
          <w:b/>
          <w:i/>
        </w:rPr>
        <w:t>I. Comprometa la seguridad pública y cuente con un propósito genuino y un efecto demostrable</w:t>
      </w:r>
      <w:r w:rsidRPr="00D52589">
        <w:rPr>
          <w:rFonts w:ascii="Palatino Linotype" w:eastAsia="Palatino Linotype" w:hAnsi="Palatino Linotype" w:cs="Palatino Linotype"/>
          <w:i/>
        </w:rPr>
        <w:t>;”</w:t>
      </w:r>
    </w:p>
    <w:p w14:paraId="4FD4EDC9" w14:textId="77777777" w:rsidR="00822C73" w:rsidRPr="00D52589" w:rsidRDefault="004A7A38">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D52589">
        <w:rPr>
          <w:rFonts w:ascii="Palatino Linotype" w:eastAsia="Palatino Linotype" w:hAnsi="Palatino Linotype" w:cs="Palatino Linotype"/>
          <w:sz w:val="24"/>
          <w:szCs w:val="24"/>
        </w:rPr>
        <w:t>Correlativo a lo anterior, los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14:paraId="36B304F9" w14:textId="77777777" w:rsidR="00822C73" w:rsidRPr="00D52589" w:rsidRDefault="004A7A38">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D52589">
        <w:rPr>
          <w:rFonts w:ascii="Palatino Linotype" w:eastAsia="Palatino Linotype" w:hAnsi="Palatino Linotype" w:cs="Palatino Linotype"/>
          <w:sz w:val="24"/>
          <w:szCs w:val="24"/>
        </w:rPr>
        <w:t xml:space="preserve">Es crucial señalar que estos Lineamientos señalan </w:t>
      </w:r>
      <w:r w:rsidRPr="00D52589">
        <w:rPr>
          <w:rFonts w:ascii="Palatino Linotype" w:eastAsia="Palatino Linotype" w:hAnsi="Palatino Linotype" w:cs="Palatino Linotype"/>
          <w:b/>
          <w:sz w:val="24"/>
          <w:szCs w:val="24"/>
          <w:u w:val="single"/>
        </w:rPr>
        <w:t>que es susceptible de considerarse como reservada aquella que revele datos que pudieran ser aprovechados para conocer la capacidad de reacción de las instituciones encargadas de la seguridad pública</w:t>
      </w:r>
      <w:r w:rsidRPr="00D52589">
        <w:rPr>
          <w:rFonts w:ascii="Palatino Linotype" w:eastAsia="Palatino Linotype" w:hAnsi="Palatino Linotype" w:cs="Palatino Linotype"/>
          <w:sz w:val="24"/>
          <w:szCs w:val="24"/>
        </w:rPr>
        <w:t>, sus planes, estrategias, tecnología, información, sistemas de comunicaciones.</w:t>
      </w:r>
    </w:p>
    <w:p w14:paraId="0CD28CD7" w14:textId="77777777" w:rsidR="00822C73" w:rsidRPr="00D52589" w:rsidRDefault="004A7A38">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D52589">
        <w:rPr>
          <w:rFonts w:ascii="Palatino Linotype" w:eastAsia="Palatino Linotype" w:hAnsi="Palatino Linotype" w:cs="Palatino Linotype"/>
          <w:sz w:val="24"/>
          <w:szCs w:val="24"/>
        </w:rPr>
        <w:lastRenderedPageBreak/>
        <w:t>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14:paraId="0471D96B" w14:textId="77777777" w:rsidR="00822C73" w:rsidRPr="00D52589" w:rsidRDefault="004A7A38">
      <w:pPr>
        <w:spacing w:before="240" w:after="240" w:line="360" w:lineRule="auto"/>
        <w:ind w:right="-3"/>
        <w:jc w:val="both"/>
        <w:rPr>
          <w:rFonts w:ascii="Palatino Linotype" w:eastAsia="Palatino Linotype" w:hAnsi="Palatino Linotype" w:cs="Palatino Linotype"/>
          <w:sz w:val="24"/>
          <w:szCs w:val="24"/>
        </w:rPr>
      </w:pPr>
      <w:r w:rsidRPr="00D52589">
        <w:rPr>
          <w:rFonts w:ascii="Palatino Linotype" w:eastAsia="Palatino Linotype" w:hAnsi="Palatino Linotype" w:cs="Palatino Linotype"/>
          <w:sz w:val="24"/>
          <w:szCs w:val="24"/>
        </w:rPr>
        <w:t>En conclusión, la reserva del personal operativo procede por dos circunstancias:</w:t>
      </w:r>
    </w:p>
    <w:p w14:paraId="1EAE9206" w14:textId="77777777" w:rsidR="00822C73" w:rsidRPr="00D52589" w:rsidRDefault="004A7A38" w:rsidP="00637F19">
      <w:pPr>
        <w:spacing w:before="240" w:after="240" w:line="276" w:lineRule="auto"/>
        <w:ind w:left="284" w:right="-3"/>
        <w:jc w:val="both"/>
        <w:rPr>
          <w:rFonts w:ascii="Palatino Linotype" w:eastAsia="Palatino Linotype" w:hAnsi="Palatino Linotype" w:cs="Palatino Linotype"/>
          <w:sz w:val="24"/>
          <w:szCs w:val="24"/>
        </w:rPr>
      </w:pPr>
      <w:r w:rsidRPr="00D52589">
        <w:rPr>
          <w:rFonts w:ascii="Palatino Linotype" w:eastAsia="Palatino Linotype" w:hAnsi="Palatino Linotype" w:cs="Palatino Linotype"/>
          <w:sz w:val="24"/>
          <w:szCs w:val="24"/>
        </w:rPr>
        <w:t xml:space="preserve">1. Se identifica en términos concretos cómo es que la información requerida podría comprometer el ejercicio de sus facultades constitucionales y, con ello, la seguridad pública, en virtud de que: </w:t>
      </w:r>
    </w:p>
    <w:p w14:paraId="2A24B3D7" w14:textId="77777777" w:rsidR="00822C73" w:rsidRPr="00D52589" w:rsidRDefault="004A7A38" w:rsidP="00637F19">
      <w:pPr>
        <w:spacing w:before="240" w:after="240" w:line="276" w:lineRule="auto"/>
        <w:ind w:left="567" w:right="-3"/>
        <w:jc w:val="both"/>
        <w:rPr>
          <w:rFonts w:ascii="Palatino Linotype" w:eastAsia="Palatino Linotype" w:hAnsi="Palatino Linotype" w:cs="Palatino Linotype"/>
          <w:sz w:val="24"/>
          <w:szCs w:val="24"/>
        </w:rPr>
      </w:pPr>
      <w:r w:rsidRPr="00D52589">
        <w:rPr>
          <w:rFonts w:ascii="Palatino Linotype" w:eastAsia="Palatino Linotype" w:hAnsi="Palatino Linotype" w:cs="Palatino Linotype"/>
          <w:sz w:val="24"/>
          <w:szCs w:val="24"/>
        </w:rPr>
        <w:t xml:space="preserve">a) La información podría ser aprovechada por los grupos criminales para conocer la capacidad de reacción </w:t>
      </w:r>
    </w:p>
    <w:p w14:paraId="5D1419C4" w14:textId="77777777" w:rsidR="00822C73" w:rsidRPr="00D52589" w:rsidRDefault="004A7A38" w:rsidP="00637F19">
      <w:pPr>
        <w:spacing w:before="240" w:after="240" w:line="276" w:lineRule="auto"/>
        <w:ind w:left="567" w:right="-3"/>
        <w:jc w:val="both"/>
        <w:rPr>
          <w:rFonts w:ascii="Palatino Linotype" w:eastAsia="Palatino Linotype" w:hAnsi="Palatino Linotype" w:cs="Palatino Linotype"/>
          <w:sz w:val="24"/>
          <w:szCs w:val="24"/>
        </w:rPr>
      </w:pPr>
      <w:r w:rsidRPr="00D52589">
        <w:rPr>
          <w:rFonts w:ascii="Palatino Linotype" w:eastAsia="Palatino Linotype" w:hAnsi="Palatino Linotype" w:cs="Palatino Linotype"/>
          <w:sz w:val="24"/>
          <w:szCs w:val="24"/>
        </w:rPr>
        <w:lastRenderedPageBreak/>
        <w:t xml:space="preserve">b) Con dicha información se revelarían a detalle las características funcionales del personal y con ello, su organización para el cumplimiento de sus funciones; y </w:t>
      </w:r>
    </w:p>
    <w:p w14:paraId="672D6C29" w14:textId="77777777" w:rsidR="00822C73" w:rsidRPr="00D52589" w:rsidRDefault="004A7A38" w:rsidP="00637F19">
      <w:pPr>
        <w:spacing w:before="240" w:after="240" w:line="276" w:lineRule="auto"/>
        <w:ind w:left="284" w:right="-3"/>
        <w:jc w:val="both"/>
        <w:rPr>
          <w:rFonts w:ascii="Palatino Linotype" w:eastAsia="Palatino Linotype" w:hAnsi="Palatino Linotype" w:cs="Palatino Linotype"/>
          <w:sz w:val="24"/>
          <w:szCs w:val="24"/>
        </w:rPr>
      </w:pPr>
      <w:r w:rsidRPr="00D52589">
        <w:rPr>
          <w:rFonts w:ascii="Palatino Linotype" w:eastAsia="Palatino Linotype" w:hAnsi="Palatino Linotype" w:cs="Palatino Linotype"/>
          <w:sz w:val="24"/>
          <w:szCs w:val="24"/>
        </w:rPr>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14:paraId="549B59AE" w14:textId="77777777" w:rsidR="00822C73" w:rsidRPr="00D52589" w:rsidRDefault="004A7A38">
      <w:pPr>
        <w:spacing w:before="240" w:after="240" w:line="360" w:lineRule="auto"/>
        <w:ind w:right="-3"/>
        <w:jc w:val="both"/>
        <w:rPr>
          <w:rFonts w:ascii="Palatino Linotype" w:eastAsia="Palatino Linotype" w:hAnsi="Palatino Linotype" w:cs="Palatino Linotype"/>
          <w:sz w:val="24"/>
          <w:szCs w:val="24"/>
        </w:rPr>
      </w:pPr>
      <w:r w:rsidRPr="00D52589">
        <w:rPr>
          <w:rFonts w:ascii="Palatino Linotype" w:eastAsia="Palatino Linotype" w:hAnsi="Palatino Linotype" w:cs="Palatino Linotype"/>
          <w:sz w:val="24"/>
          <w:szCs w:val="24"/>
        </w:rPr>
        <w:t xml:space="preserve">Por lo tanto, entre mayor información se dé a conocer respecto del </w:t>
      </w:r>
      <w:r w:rsidRPr="00D52589">
        <w:rPr>
          <w:rFonts w:ascii="Palatino Linotype" w:eastAsia="Palatino Linotype" w:hAnsi="Palatino Linotype" w:cs="Palatino Linotype"/>
          <w:b/>
          <w:i/>
          <w:sz w:val="24"/>
          <w:szCs w:val="24"/>
        </w:rPr>
        <w:t xml:space="preserve">estado de fuerza </w:t>
      </w:r>
      <w:r w:rsidRPr="00D52589">
        <w:rPr>
          <w:rFonts w:ascii="Palatino Linotype" w:eastAsia="Palatino Linotype" w:hAnsi="Palatino Linotype" w:cs="Palatino Linotype"/>
          <w:sz w:val="24"/>
          <w:szCs w:val="24"/>
        </w:rPr>
        <w:t xml:space="preserve">con que cuentan el Estado y Municipios, mayor es la probabilidad de que la información pueda implementarse como medio para actualizar o potenciar una amenaza en contra de la seguridad pública de los mismos. </w:t>
      </w:r>
    </w:p>
    <w:p w14:paraId="66CC3A8E" w14:textId="77777777" w:rsidR="00822C73" w:rsidRPr="00D52589" w:rsidRDefault="004A7A38">
      <w:pPr>
        <w:spacing w:before="240" w:after="240" w:line="360" w:lineRule="auto"/>
        <w:ind w:right="139"/>
        <w:jc w:val="both"/>
        <w:rPr>
          <w:rFonts w:ascii="Palatino Linotype" w:eastAsia="Palatino Linotype" w:hAnsi="Palatino Linotype" w:cs="Palatino Linotype"/>
          <w:sz w:val="24"/>
          <w:szCs w:val="24"/>
        </w:rPr>
      </w:pPr>
      <w:r w:rsidRPr="00D52589">
        <w:rPr>
          <w:rFonts w:ascii="Palatino Linotype" w:eastAsia="Palatino Linotype" w:hAnsi="Palatino Linotype" w:cs="Palatino Linotype"/>
          <w:sz w:val="24"/>
          <w:szCs w:val="24"/>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14:paraId="43EF4B54" w14:textId="77777777" w:rsidR="00822C73" w:rsidRPr="00D52589" w:rsidRDefault="004A7A38">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D52589">
        <w:rPr>
          <w:rFonts w:ascii="Palatino Linotype" w:eastAsia="Palatino Linotype" w:hAnsi="Palatino Linotype" w:cs="Palatino Linotype"/>
          <w:sz w:val="24"/>
          <w:szCs w:val="24"/>
        </w:rPr>
        <w:t xml:space="preserve">En consecuencia, la información de los elementos operativos adscrito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w:t>
      </w:r>
      <w:r w:rsidRPr="00D52589">
        <w:rPr>
          <w:rFonts w:ascii="Palatino Linotype" w:eastAsia="Palatino Linotype" w:hAnsi="Palatino Linotype" w:cs="Palatino Linotype"/>
          <w:sz w:val="24"/>
          <w:szCs w:val="24"/>
        </w:rPr>
        <w:lastRenderedPageBreak/>
        <w:t>Sujeto obligado; información con la que se da a conocer el estado de fuerza y la capacidad de reacción del órgano público.</w:t>
      </w:r>
    </w:p>
    <w:p w14:paraId="0A7C45D3" w14:textId="77777777" w:rsidR="00341D7A" w:rsidRPr="00D52589" w:rsidRDefault="00341D7A" w:rsidP="00341D7A">
      <w:pPr>
        <w:spacing w:before="240" w:after="240" w:line="360" w:lineRule="auto"/>
        <w:jc w:val="both"/>
        <w:rPr>
          <w:rFonts w:ascii="Palatino Linotype" w:eastAsia="Palatino Linotype" w:hAnsi="Palatino Linotype" w:cs="Palatino Linotype"/>
          <w:sz w:val="24"/>
          <w:szCs w:val="24"/>
        </w:rPr>
      </w:pPr>
      <w:bookmarkStart w:id="3" w:name="_heading=h.3dy6vkm" w:colFirst="0" w:colLast="0"/>
      <w:bookmarkEnd w:id="3"/>
      <w:r w:rsidRPr="00D52589">
        <w:rPr>
          <w:rFonts w:ascii="Palatino Linotype" w:eastAsia="Palatino Linotype" w:hAnsi="Palatino Linotype" w:cs="Palatino Linotype"/>
          <w:sz w:val="24"/>
          <w:szCs w:val="24"/>
        </w:rPr>
        <w:t>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encuentra sustento en el Instructivo del módulo 4 para la entrega del Informe Trimestral 2023, en dicho documento obran los siguientes elementos:</w:t>
      </w:r>
    </w:p>
    <w:p w14:paraId="5C8F5963" w14:textId="77777777" w:rsidR="00341D7A" w:rsidRPr="00D52589" w:rsidRDefault="00341D7A" w:rsidP="00341D7A">
      <w:pPr>
        <w:spacing w:before="240" w:after="240" w:line="360" w:lineRule="auto"/>
        <w:ind w:right="139"/>
        <w:jc w:val="both"/>
        <w:rPr>
          <w:noProof/>
        </w:rPr>
      </w:pPr>
      <w:bookmarkStart w:id="4" w:name="_heading=h.fald234fiuyg" w:colFirst="0" w:colLast="0"/>
      <w:bookmarkStart w:id="5" w:name="_heading=h.6x66xkp9czwl" w:colFirst="0" w:colLast="0"/>
      <w:bookmarkEnd w:id="4"/>
      <w:bookmarkEnd w:id="5"/>
    </w:p>
    <w:p w14:paraId="02650B7A" w14:textId="77777777" w:rsidR="00341D7A" w:rsidRDefault="00341D7A" w:rsidP="00341D7A">
      <w:pPr>
        <w:spacing w:before="240" w:after="240" w:line="360" w:lineRule="auto"/>
        <w:ind w:right="139"/>
        <w:jc w:val="center"/>
        <w:rPr>
          <w:noProof/>
        </w:rPr>
      </w:pPr>
      <w:r w:rsidRPr="00D52589">
        <w:rPr>
          <w:noProof/>
          <w:lang w:val="es-MX"/>
        </w:rPr>
        <w:drawing>
          <wp:inline distT="0" distB="0" distL="0" distR="0" wp14:anchorId="64A52C8F" wp14:editId="7C407D06">
            <wp:extent cx="5579725" cy="230505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52243"/>
                    <a:stretch/>
                  </pic:blipFill>
                  <pic:spPr bwMode="auto">
                    <a:xfrm>
                      <a:off x="0" y="0"/>
                      <a:ext cx="5580000" cy="2305164"/>
                    </a:xfrm>
                    <a:prstGeom prst="rect">
                      <a:avLst/>
                    </a:prstGeom>
                    <a:ln>
                      <a:noFill/>
                    </a:ln>
                    <a:extLst>
                      <a:ext uri="{53640926-AAD7-44D8-BBD7-CCE9431645EC}">
                        <a14:shadowObscured xmlns:a14="http://schemas.microsoft.com/office/drawing/2010/main"/>
                      </a:ext>
                    </a:extLst>
                  </pic:spPr>
                </pic:pic>
              </a:graphicData>
            </a:graphic>
          </wp:inline>
        </w:drawing>
      </w:r>
    </w:p>
    <w:p w14:paraId="311C5AD7" w14:textId="27D5AD05" w:rsidR="00E86A58" w:rsidRPr="00D52589" w:rsidRDefault="00E86A58" w:rsidP="00341D7A">
      <w:pPr>
        <w:spacing w:before="240" w:after="240" w:line="360" w:lineRule="auto"/>
        <w:ind w:right="139"/>
        <w:jc w:val="center"/>
        <w:rPr>
          <w:noProof/>
        </w:rPr>
      </w:pPr>
      <w:r w:rsidRPr="00D52589">
        <w:rPr>
          <w:noProof/>
          <w:lang w:val="es-MX"/>
        </w:rPr>
        <w:lastRenderedPageBreak/>
        <w:drawing>
          <wp:inline distT="0" distB="0" distL="0" distR="0" wp14:anchorId="4B5B5429" wp14:editId="18343BCA">
            <wp:extent cx="5579110" cy="2390775"/>
            <wp:effectExtent l="0" t="0" r="254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50328" b="133"/>
                    <a:stretch/>
                  </pic:blipFill>
                  <pic:spPr bwMode="auto">
                    <a:xfrm>
                      <a:off x="0" y="0"/>
                      <a:ext cx="5580000" cy="2391156"/>
                    </a:xfrm>
                    <a:prstGeom prst="rect">
                      <a:avLst/>
                    </a:prstGeom>
                    <a:ln>
                      <a:noFill/>
                    </a:ln>
                    <a:extLst>
                      <a:ext uri="{53640926-AAD7-44D8-BBD7-CCE9431645EC}">
                        <a14:shadowObscured xmlns:a14="http://schemas.microsoft.com/office/drawing/2010/main"/>
                      </a:ext>
                    </a:extLst>
                  </pic:spPr>
                </pic:pic>
              </a:graphicData>
            </a:graphic>
          </wp:inline>
        </w:drawing>
      </w:r>
    </w:p>
    <w:p w14:paraId="7975F8FF" w14:textId="77777777" w:rsidR="00341D7A" w:rsidRPr="00D52589" w:rsidRDefault="00341D7A" w:rsidP="00341D7A">
      <w:pPr>
        <w:spacing w:before="240" w:after="240" w:line="360" w:lineRule="auto"/>
        <w:ind w:right="139"/>
        <w:jc w:val="center"/>
        <w:rPr>
          <w:noProof/>
        </w:rPr>
      </w:pPr>
      <w:r w:rsidRPr="00D52589">
        <w:rPr>
          <w:noProof/>
          <w:lang w:val="es-MX"/>
        </w:rPr>
        <w:drawing>
          <wp:inline distT="0" distB="0" distL="0" distR="0" wp14:anchorId="5C92FD2B" wp14:editId="0E074326">
            <wp:extent cx="4320000" cy="173826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 b="70494"/>
                    <a:stretch/>
                  </pic:blipFill>
                  <pic:spPr bwMode="auto">
                    <a:xfrm>
                      <a:off x="0" y="0"/>
                      <a:ext cx="4320000" cy="1738260"/>
                    </a:xfrm>
                    <a:prstGeom prst="rect">
                      <a:avLst/>
                    </a:prstGeom>
                    <a:ln>
                      <a:noFill/>
                    </a:ln>
                    <a:extLst>
                      <a:ext uri="{53640926-AAD7-44D8-BBD7-CCE9431645EC}">
                        <a14:shadowObscured xmlns:a14="http://schemas.microsoft.com/office/drawing/2010/main"/>
                      </a:ext>
                    </a:extLst>
                  </pic:spPr>
                </pic:pic>
              </a:graphicData>
            </a:graphic>
          </wp:inline>
        </w:drawing>
      </w:r>
    </w:p>
    <w:p w14:paraId="3DDE38E3" w14:textId="77777777" w:rsidR="00341D7A" w:rsidRPr="00D52589" w:rsidRDefault="00341D7A" w:rsidP="00341D7A">
      <w:pPr>
        <w:spacing w:before="240" w:after="240" w:line="360" w:lineRule="auto"/>
        <w:ind w:right="139"/>
        <w:jc w:val="center"/>
        <w:rPr>
          <w:noProof/>
        </w:rPr>
      </w:pPr>
      <w:r w:rsidRPr="00D52589">
        <w:rPr>
          <w:noProof/>
          <w:lang w:val="es-MX"/>
        </w:rPr>
        <w:drawing>
          <wp:inline distT="0" distB="0" distL="0" distR="0" wp14:anchorId="47A7CB31" wp14:editId="0B2AEE19">
            <wp:extent cx="4320000" cy="2089095"/>
            <wp:effectExtent l="0" t="0" r="4445"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64538"/>
                    <a:stretch/>
                  </pic:blipFill>
                  <pic:spPr bwMode="auto">
                    <a:xfrm>
                      <a:off x="0" y="0"/>
                      <a:ext cx="4320000" cy="2089095"/>
                    </a:xfrm>
                    <a:prstGeom prst="rect">
                      <a:avLst/>
                    </a:prstGeom>
                    <a:ln>
                      <a:noFill/>
                    </a:ln>
                    <a:extLst>
                      <a:ext uri="{53640926-AAD7-44D8-BBD7-CCE9431645EC}">
                        <a14:shadowObscured xmlns:a14="http://schemas.microsoft.com/office/drawing/2010/main"/>
                      </a:ext>
                    </a:extLst>
                  </pic:spPr>
                </pic:pic>
              </a:graphicData>
            </a:graphic>
          </wp:inline>
        </w:drawing>
      </w:r>
    </w:p>
    <w:p w14:paraId="11393CC0" w14:textId="77777777" w:rsidR="00341D7A" w:rsidRPr="00D52589" w:rsidRDefault="00341D7A" w:rsidP="00341D7A">
      <w:pPr>
        <w:spacing w:before="240" w:after="240" w:line="360" w:lineRule="auto"/>
        <w:ind w:right="139"/>
        <w:jc w:val="both"/>
        <w:rPr>
          <w:rFonts w:ascii="Palatino Linotype" w:eastAsia="Palatino Linotype" w:hAnsi="Palatino Linotype" w:cs="Palatino Linotype"/>
          <w:sz w:val="24"/>
          <w:szCs w:val="24"/>
        </w:rPr>
      </w:pPr>
      <w:r w:rsidRPr="00D52589">
        <w:rPr>
          <w:rFonts w:ascii="Palatino Linotype" w:eastAsia="Palatino Linotype" w:hAnsi="Palatino Linotype" w:cs="Palatino Linotype"/>
          <w:sz w:val="24"/>
          <w:szCs w:val="24"/>
        </w:rPr>
        <w:lastRenderedPageBreak/>
        <w:t xml:space="preserve">De manera que con la consulta de este documento podrá visualizarse con claridad el cargo y la remuneración sin conocer el estado de fuerza de las entidades públicas y así no se restringe el derecho de acceso a la información de los particulares. </w:t>
      </w:r>
    </w:p>
    <w:p w14:paraId="5BDC54E2" w14:textId="77777777" w:rsidR="00341D7A" w:rsidRDefault="00341D7A" w:rsidP="00341D7A">
      <w:pPr>
        <w:spacing w:before="240" w:after="240" w:line="360" w:lineRule="auto"/>
        <w:ind w:right="139"/>
        <w:jc w:val="both"/>
        <w:rPr>
          <w:rFonts w:ascii="Palatino Linotype" w:eastAsia="Palatino Linotype" w:hAnsi="Palatino Linotype" w:cs="Palatino Linotype"/>
          <w:sz w:val="24"/>
          <w:szCs w:val="24"/>
        </w:rPr>
      </w:pPr>
      <w:r w:rsidRPr="00D52589">
        <w:rPr>
          <w:rFonts w:ascii="Palatino Linotype" w:eastAsia="Palatino Linotype" w:hAnsi="Palatino Linotype" w:cs="Palatino Linotype"/>
          <w:sz w:val="24"/>
          <w:szCs w:val="24"/>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sidRPr="00D52589">
        <w:rPr>
          <w:rFonts w:ascii="Palatino Linotype" w:eastAsia="Palatino Linotype" w:hAnsi="Palatino Linotype" w:cs="Palatino Linotype"/>
          <w:b/>
          <w:sz w:val="24"/>
          <w:szCs w:val="24"/>
          <w:u w:val="single"/>
        </w:rPr>
        <w:t xml:space="preserve">facilitaría a las células delictivas el neutralizar las acciones implementadas o por implementar para la preservación de la paz pública, afectando así su estado de fuerza, o bien les permita </w:t>
      </w:r>
      <w:r w:rsidRPr="00D52589">
        <w:rPr>
          <w:rFonts w:ascii="Palatino Linotype" w:eastAsia="Palatino Linotype" w:hAnsi="Palatino Linotype" w:cs="Palatino Linotype"/>
          <w:sz w:val="24"/>
          <w:szCs w:val="24"/>
        </w:rPr>
        <w:t xml:space="preserve">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se formula el presente </w:t>
      </w:r>
      <w:r w:rsidRPr="00D52589">
        <w:rPr>
          <w:rFonts w:ascii="Palatino Linotype" w:eastAsia="Palatino Linotype" w:hAnsi="Palatino Linotype" w:cs="Palatino Linotype"/>
          <w:b/>
          <w:sz w:val="24"/>
          <w:szCs w:val="24"/>
        </w:rPr>
        <w:t>Voto particular</w:t>
      </w:r>
      <w:r w:rsidRPr="00D52589">
        <w:rPr>
          <w:rFonts w:ascii="Palatino Linotype" w:eastAsia="Palatino Linotype" w:hAnsi="Palatino Linotype" w:cs="Palatino Linotype"/>
          <w:sz w:val="24"/>
          <w:szCs w:val="24"/>
        </w:rPr>
        <w:t xml:space="preserve">. </w:t>
      </w:r>
    </w:p>
    <w:p w14:paraId="26E6817C" w14:textId="77777777" w:rsidR="00E86A58" w:rsidRDefault="00E86A58" w:rsidP="00341D7A">
      <w:pPr>
        <w:spacing w:before="240" w:after="240" w:line="360" w:lineRule="auto"/>
        <w:ind w:right="139"/>
        <w:jc w:val="both"/>
        <w:rPr>
          <w:rFonts w:ascii="Palatino Linotype" w:eastAsia="Palatino Linotype" w:hAnsi="Palatino Linotype" w:cs="Palatino Linotype"/>
          <w:sz w:val="24"/>
          <w:szCs w:val="24"/>
        </w:rPr>
      </w:pPr>
    </w:p>
    <w:p w14:paraId="7402485D" w14:textId="77777777" w:rsidR="00E86A58" w:rsidRDefault="00E86A58" w:rsidP="00341D7A">
      <w:pPr>
        <w:spacing w:before="240" w:after="240" w:line="360" w:lineRule="auto"/>
        <w:ind w:right="139"/>
        <w:jc w:val="both"/>
        <w:rPr>
          <w:rFonts w:ascii="Palatino Linotype" w:eastAsia="Palatino Linotype" w:hAnsi="Palatino Linotype" w:cs="Palatino Linotype"/>
          <w:sz w:val="24"/>
          <w:szCs w:val="24"/>
        </w:rPr>
      </w:pPr>
    </w:p>
    <w:p w14:paraId="169EFB38" w14:textId="77777777" w:rsidR="00E86A58" w:rsidRDefault="00E86A58" w:rsidP="00341D7A">
      <w:pPr>
        <w:spacing w:before="240" w:after="240" w:line="360" w:lineRule="auto"/>
        <w:ind w:right="139"/>
        <w:jc w:val="both"/>
        <w:rPr>
          <w:rFonts w:ascii="Palatino Linotype" w:eastAsia="Palatino Linotype" w:hAnsi="Palatino Linotype" w:cs="Palatino Linotype"/>
          <w:sz w:val="24"/>
          <w:szCs w:val="24"/>
        </w:rPr>
      </w:pPr>
    </w:p>
    <w:p w14:paraId="6C184851" w14:textId="77777777" w:rsidR="00E86A58" w:rsidRDefault="00E86A58" w:rsidP="00341D7A">
      <w:pPr>
        <w:spacing w:before="240" w:after="240" w:line="360" w:lineRule="auto"/>
        <w:ind w:right="139"/>
        <w:jc w:val="both"/>
        <w:rPr>
          <w:rFonts w:ascii="Palatino Linotype" w:eastAsia="Palatino Linotype" w:hAnsi="Palatino Linotype" w:cs="Palatino Linotype"/>
          <w:sz w:val="24"/>
          <w:szCs w:val="24"/>
        </w:rPr>
      </w:pPr>
    </w:p>
    <w:p w14:paraId="7A9B355F" w14:textId="77777777" w:rsidR="00E86A58" w:rsidRDefault="00E86A58" w:rsidP="00341D7A">
      <w:pPr>
        <w:spacing w:before="240" w:after="240" w:line="360" w:lineRule="auto"/>
        <w:ind w:right="139"/>
        <w:jc w:val="both"/>
        <w:rPr>
          <w:rFonts w:ascii="Palatino Linotype" w:eastAsia="Palatino Linotype" w:hAnsi="Palatino Linotype" w:cs="Palatino Linotype"/>
          <w:sz w:val="24"/>
          <w:szCs w:val="24"/>
        </w:rPr>
      </w:pPr>
    </w:p>
    <w:p w14:paraId="2F5B77B9" w14:textId="77777777" w:rsidR="00E86A58" w:rsidRPr="00D52589" w:rsidRDefault="00E86A58" w:rsidP="00341D7A">
      <w:pPr>
        <w:spacing w:before="240" w:after="240" w:line="360" w:lineRule="auto"/>
        <w:ind w:right="139"/>
        <w:jc w:val="both"/>
        <w:rPr>
          <w:rFonts w:ascii="Palatino Linotype" w:eastAsia="Palatino Linotype" w:hAnsi="Palatino Linotype" w:cs="Palatino Linotype"/>
          <w:sz w:val="24"/>
          <w:szCs w:val="24"/>
        </w:rPr>
      </w:pPr>
      <w:bookmarkStart w:id="6" w:name="_GoBack"/>
      <w:bookmarkEnd w:id="6"/>
    </w:p>
    <w:p w14:paraId="2EB158B7" w14:textId="77777777" w:rsidR="00341D7A" w:rsidRPr="00D52589" w:rsidRDefault="00341D7A" w:rsidP="00341D7A">
      <w:pPr>
        <w:spacing w:before="240" w:after="240" w:line="360" w:lineRule="auto"/>
        <w:ind w:right="139"/>
        <w:jc w:val="both"/>
        <w:rPr>
          <w:rFonts w:ascii="Palatino Linotype" w:eastAsia="Palatino Linotype" w:hAnsi="Palatino Linotype" w:cs="Palatino Linotype"/>
          <w:sz w:val="24"/>
          <w:szCs w:val="24"/>
        </w:rPr>
      </w:pPr>
    </w:p>
    <w:p w14:paraId="72DA8465" w14:textId="77777777" w:rsidR="00822C73" w:rsidRPr="00D52589" w:rsidRDefault="00822C73" w:rsidP="00341D7A">
      <w:pPr>
        <w:spacing w:before="240" w:after="240" w:line="360" w:lineRule="auto"/>
        <w:ind w:right="139"/>
        <w:jc w:val="both"/>
        <w:rPr>
          <w:rFonts w:ascii="Palatino Linotype" w:eastAsia="Palatino Linotype" w:hAnsi="Palatino Linotype" w:cs="Palatino Linotype"/>
          <w:b/>
          <w:sz w:val="24"/>
          <w:szCs w:val="24"/>
        </w:rPr>
      </w:pPr>
    </w:p>
    <w:sectPr w:rsidR="00822C73" w:rsidRPr="00D52589">
      <w:headerReference w:type="default" r:id="rId10"/>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779BF" w14:textId="77777777" w:rsidR="004A7A38" w:rsidRDefault="004A7A38">
      <w:pPr>
        <w:spacing w:after="0" w:line="240" w:lineRule="auto"/>
      </w:pPr>
      <w:r>
        <w:separator/>
      </w:r>
    </w:p>
  </w:endnote>
  <w:endnote w:type="continuationSeparator" w:id="0">
    <w:p w14:paraId="66C5F713" w14:textId="77777777" w:rsidR="004A7A38" w:rsidRDefault="004A7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40F3D" w14:textId="77777777" w:rsidR="004A7A38" w:rsidRDefault="004A7A38">
      <w:pPr>
        <w:spacing w:after="0" w:line="240" w:lineRule="auto"/>
      </w:pPr>
      <w:r>
        <w:separator/>
      </w:r>
    </w:p>
  </w:footnote>
  <w:footnote w:type="continuationSeparator" w:id="0">
    <w:p w14:paraId="58CBD75F" w14:textId="77777777" w:rsidR="004A7A38" w:rsidRDefault="004A7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B0FF" w14:textId="77777777" w:rsidR="00822C73" w:rsidRDefault="004A7A3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14:anchorId="62CBD4CF" wp14:editId="40AFF22D">
          <wp:simplePos x="0" y="0"/>
          <wp:positionH relativeFrom="column">
            <wp:posOffset>-1171572</wp:posOffset>
          </wp:positionH>
          <wp:positionV relativeFrom="paragraph">
            <wp:posOffset>-486407</wp:posOffset>
          </wp:positionV>
          <wp:extent cx="7510628" cy="9883775"/>
          <wp:effectExtent l="0" t="0" r="0" b="0"/>
          <wp:wrapNone/>
          <wp:docPr id="23731340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59882231" w14:textId="77777777" w:rsidR="00822C73" w:rsidRDefault="004A7A3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3EE7893A" w14:textId="631E326F" w:rsidR="00822C73" w:rsidRPr="003528ED" w:rsidRDefault="004A7A38" w:rsidP="003528ED">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RECURSOS DE REVISIÓN 0</w:t>
    </w:r>
    <w:r w:rsidR="0088329A">
      <w:rPr>
        <w:rFonts w:ascii="Palatino Linotype" w:eastAsia="Palatino Linotype" w:hAnsi="Palatino Linotype" w:cs="Palatino Linotype"/>
        <w:b/>
        <w:color w:val="000000"/>
        <w:sz w:val="20"/>
        <w:szCs w:val="20"/>
      </w:rPr>
      <w:t>7190</w:t>
    </w:r>
    <w:r>
      <w:rPr>
        <w:rFonts w:ascii="Palatino Linotype" w:eastAsia="Palatino Linotype" w:hAnsi="Palatino Linotype" w:cs="Palatino Linotype"/>
        <w:b/>
        <w:color w:val="000000"/>
        <w:sz w:val="20"/>
        <w:szCs w:val="20"/>
      </w:rPr>
      <w:t>/INFOEM/IP/RR/2023</w:t>
    </w:r>
  </w:p>
  <w:p w14:paraId="53885C59" w14:textId="77777777" w:rsidR="00822C73" w:rsidRDefault="00822C7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224E"/>
    <w:multiLevelType w:val="hybridMultilevel"/>
    <w:tmpl w:val="8DF0C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911BF1"/>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0F70CC"/>
    <w:multiLevelType w:val="multilevel"/>
    <w:tmpl w:val="458A11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26500E"/>
    <w:multiLevelType w:val="multilevel"/>
    <w:tmpl w:val="BE1CABA8"/>
    <w:lvl w:ilvl="0">
      <w:start w:val="68"/>
      <w:numFmt w:val="decimal"/>
      <w:lvlText w:val="%1."/>
      <w:lvlJc w:val="left"/>
      <w:pPr>
        <w:ind w:left="1070"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C52552"/>
    <w:multiLevelType w:val="multilevel"/>
    <w:tmpl w:val="D49E61D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F87521"/>
    <w:multiLevelType w:val="multilevel"/>
    <w:tmpl w:val="6B80A4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94103F"/>
    <w:multiLevelType w:val="multilevel"/>
    <w:tmpl w:val="E37EDFE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85285B"/>
    <w:multiLevelType w:val="multilevel"/>
    <w:tmpl w:val="C870FCA2"/>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75CF45A3"/>
    <w:multiLevelType w:val="multilevel"/>
    <w:tmpl w:val="78FCB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3"/>
  </w:num>
  <w:num w:numId="3">
    <w:abstractNumId w:val="7"/>
  </w:num>
  <w:num w:numId="4">
    <w:abstractNumId w:val="2"/>
  </w:num>
  <w:num w:numId="5">
    <w:abstractNumId w:val="6"/>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73"/>
    <w:rsid w:val="00341D7A"/>
    <w:rsid w:val="003528ED"/>
    <w:rsid w:val="004A7A38"/>
    <w:rsid w:val="00530465"/>
    <w:rsid w:val="00637F19"/>
    <w:rsid w:val="007672AB"/>
    <w:rsid w:val="00822C73"/>
    <w:rsid w:val="0088329A"/>
    <w:rsid w:val="008E7360"/>
    <w:rsid w:val="00A449CA"/>
    <w:rsid w:val="00A46954"/>
    <w:rsid w:val="00BE6680"/>
    <w:rsid w:val="00D52589"/>
    <w:rsid w:val="00E86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A066"/>
  <w15:docId w15:val="{EBA80B9A-CECA-4DE9-B2AB-30288241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rsid w:val="00CF5F4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fundamentos"/>
    <w:link w:val="SinespaciadoCar"/>
    <w:uiPriority w:val="1"/>
    <w:qFormat/>
    <w:rsid w:val="003B565F"/>
    <w:pPr>
      <w:spacing w:after="0" w:line="240" w:lineRule="auto"/>
    </w:pPr>
    <w:rPr>
      <w:rFonts w:ascii="Times New Roman" w:eastAsia="Times New Roman" w:hAnsi="Times New Roman" w:cs="Times New Roman"/>
      <w:sz w:val="24"/>
      <w:szCs w:val="24"/>
      <w:lang w:val="es-MX" w:eastAsia="es-ES"/>
    </w:rPr>
  </w:style>
  <w:style w:type="character" w:customStyle="1" w:styleId="SinespaciadoCar">
    <w:name w:val="Sin espaciado Car"/>
    <w:aliases w:val="Francesa Car,INAI Car,fundamentos Car"/>
    <w:link w:val="Sinespaciado"/>
    <w:uiPriority w:val="1"/>
    <w:qFormat/>
    <w:locked/>
    <w:rsid w:val="003B565F"/>
    <w:rPr>
      <w:rFonts w:ascii="Times New Roman" w:eastAsia="Times New Roman" w:hAnsi="Times New Roman" w:cs="Times New Roman"/>
      <w:sz w:val="24"/>
      <w:szCs w:val="24"/>
      <w:lang w:val="es-MX" w:eastAsia="es-ES"/>
    </w:rPr>
  </w:style>
  <w:style w:type="table" w:customStyle="1" w:styleId="Tablaconcuadrcula1">
    <w:name w:val="Tabla con cuadrícula1"/>
    <w:basedOn w:val="Tablanormal"/>
    <w:next w:val="Tablaconcuadrcula"/>
    <w:uiPriority w:val="39"/>
    <w:rsid w:val="001A1BD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5"/>
    <w:pPr>
      <w:spacing w:after="0" w:line="240" w:lineRule="auto"/>
    </w:pPr>
    <w:tblPr>
      <w:tblStyleRowBandSize w:val="1"/>
      <w:tblStyleColBandSize w:val="1"/>
      <w:tblCellMar>
        <w:left w:w="108" w:type="dxa"/>
        <w:right w:w="108" w:type="dxa"/>
      </w:tblCellMar>
    </w:tblPr>
  </w:style>
  <w:style w:type="character" w:customStyle="1" w:styleId="Ttulo2Car">
    <w:name w:val="Título 2 Car"/>
    <w:basedOn w:val="Fuentedeprrafopredeter"/>
    <w:link w:val="Ttulo2"/>
    <w:uiPriority w:val="9"/>
    <w:semiHidden/>
    <w:rsid w:val="00A11298"/>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OzR7CYBH5FIfu6+ZJYvf2YRRdA==">CgMxLjAyCGguZ2pkZ3hzMgloLjMwajB6bGwyCWguM3pueXNoNzIIaC50eWpjd3QyCWguMWZvYjl0ZTIJaC4zZHk2dmttOAByITE5UU9idjF3cFRYMjhic2pnT2pabExiYTZPaHJCRXVScQ==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2552</Words>
  <Characters>14038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2</cp:revision>
  <dcterms:created xsi:type="dcterms:W3CDTF">2024-03-05T19:46:00Z</dcterms:created>
  <dcterms:modified xsi:type="dcterms:W3CDTF">2024-03-05T19:46:00Z</dcterms:modified>
</cp:coreProperties>
</file>