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DC3" w:rsidRDefault="00FA2DC3">
      <w:pPr>
        <w:spacing w:after="0" w:line="360" w:lineRule="auto"/>
        <w:jc w:val="both"/>
        <w:rPr>
          <w:rFonts w:ascii="Palatino Linotype" w:eastAsia="Palatino Linotype" w:hAnsi="Palatino Linotype" w:cs="Palatino Linotype"/>
          <w:b/>
        </w:rPr>
      </w:pPr>
      <w:bookmarkStart w:id="0" w:name="_heading=h.4s2qapfj6qj3" w:colFirst="0" w:colLast="0"/>
      <w:bookmarkStart w:id="1" w:name="_GoBack"/>
      <w:bookmarkEnd w:id="0"/>
      <w:bookmarkEnd w:id="1"/>
    </w:p>
    <w:p w:rsidR="00FA2DC3" w:rsidRDefault="00D7436E">
      <w:pPr>
        <w:spacing w:after="0" w:line="360" w:lineRule="auto"/>
        <w:jc w:val="both"/>
        <w:rPr>
          <w:rFonts w:ascii="Palatino Linotype" w:eastAsia="Palatino Linotype" w:hAnsi="Palatino Linotype" w:cs="Palatino Linotype"/>
          <w:b/>
        </w:rPr>
      </w:pPr>
      <w:bookmarkStart w:id="2" w:name="_heading=h.gjdgxs" w:colFirst="0" w:colLast="0"/>
      <w:bookmarkEnd w:id="2"/>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SÉPTIMA SESIÓN ORDINARIA DEL VEINTIOCHO DE FEBRERO DE DOS MIL VEINTICUATRO, EN EL RECURSO DE REVISIÓN 01421/INFOEM/IP/RR/2023.</w:t>
      </w:r>
    </w:p>
    <w:p w:rsidR="00FA2DC3" w:rsidRDefault="00FA2DC3">
      <w:pPr>
        <w:spacing w:after="0" w:line="360" w:lineRule="auto"/>
        <w:jc w:val="both"/>
        <w:rPr>
          <w:rFonts w:ascii="Palatino Linotype" w:eastAsia="Palatino Linotype" w:hAnsi="Palatino Linotype" w:cs="Palatino Linotype"/>
          <w:b/>
        </w:rPr>
      </w:pPr>
    </w:p>
    <w:p w:rsidR="00FA2DC3" w:rsidRDefault="00D7436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la suscrita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01421/INFOEM/IP/RR/2023</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pronunciada por el Pleno de este Instituto ante el proyecto presentado por el </w:t>
      </w:r>
      <w:r>
        <w:rPr>
          <w:rFonts w:ascii="Palatino Linotype" w:eastAsia="Palatino Linotype" w:hAnsi="Palatino Linotype" w:cs="Palatino Linotype"/>
          <w:b/>
        </w:rPr>
        <w:t>Comisionado Luis Gustavo Parra Noriega</w:t>
      </w:r>
      <w:r>
        <w:rPr>
          <w:rFonts w:ascii="Palatino Linotype" w:eastAsia="Palatino Linotype" w:hAnsi="Palatino Linotype" w:cs="Palatino Linotype"/>
        </w:rPr>
        <w:t>, el cual es al tenor siguiente:</w:t>
      </w:r>
    </w:p>
    <w:p w:rsidR="00FA2DC3" w:rsidRDefault="00FA2DC3">
      <w:pPr>
        <w:spacing w:after="0" w:line="360" w:lineRule="auto"/>
        <w:jc w:val="both"/>
        <w:rPr>
          <w:rFonts w:ascii="Palatino Linotype" w:eastAsia="Palatino Linotype" w:hAnsi="Palatino Linotype" w:cs="Palatino Linotype"/>
        </w:rPr>
      </w:pPr>
    </w:p>
    <w:p w:rsidR="00FA2DC3" w:rsidRDefault="00D7436E">
      <w:pPr>
        <w:numPr>
          <w:ilvl w:val="0"/>
          <w:numId w:val="3"/>
        </w:numPr>
        <w:spacing w:after="0" w:line="360" w:lineRule="auto"/>
        <w:ind w:left="567" w:hanging="141"/>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FA2DC3" w:rsidRDefault="00FA2DC3">
      <w:pPr>
        <w:spacing w:after="0" w:line="360" w:lineRule="auto"/>
        <w:ind w:left="567"/>
        <w:jc w:val="both"/>
        <w:rPr>
          <w:rFonts w:ascii="Palatino Linotype" w:eastAsia="Palatino Linotype" w:hAnsi="Palatino Linotype" w:cs="Palatino Linotype"/>
          <w:b/>
        </w:rPr>
      </w:pPr>
    </w:p>
    <w:p w:rsidR="00FA2DC3" w:rsidRDefault="00D7436E">
      <w:pP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la parte Recurrente solicitó al Ayuntamiento de Tlalnepantla de Baz, en su carácter de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le proporcionará, curriculum, nombramiento, certificado de competencia laboral, recibos de nómina  y expediente de personal de diversos servidores públicos.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 su Subdirección de Capital Humano, perteneciente a la Dirección de Administración, proporcionó parte de la información solicitada. </w:t>
      </w:r>
    </w:p>
    <w:p w:rsidR="00FA2DC3" w:rsidRDefault="00D743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Una vez conocida la respuesta la parte Recurrente se inconforma porque la información no está completa.</w:t>
      </w:r>
    </w:p>
    <w:p w:rsidR="00FA2DC3" w:rsidRDefault="00D7436E">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 su informe justificado, mencionó a través su Subdirección de Capital Humano, perteneciente a la Dirección de Administración que se proporcionó la información que obra en sus archivos.</w:t>
      </w:r>
    </w:p>
    <w:p w:rsidR="006C3579" w:rsidRDefault="006C3579">
      <w:pPr>
        <w:spacing w:after="120" w:line="360" w:lineRule="auto"/>
        <w:contextualSpacing/>
        <w:jc w:val="both"/>
        <w:rPr>
          <w:rFonts w:ascii="Palatino Linotype" w:eastAsia="Palatino Linotype" w:hAnsi="Palatino Linotype" w:cs="Palatino Linotype"/>
        </w:rPr>
      </w:pPr>
    </w:p>
    <w:p w:rsidR="00FA2DC3" w:rsidRDefault="00D7436E">
      <w:pPr>
        <w:spacing w:after="120"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rPr>
        <w:t>Así las cosas, la ponencia Resolutora una vez analizadas las constancias que obran en el expediente electrónico del SAIMEX, determina que los motivos de inconformidad de la parte Recurrente son parcialmente fundados, por lo que modifica la respuesta y ordena la entrega en versión pública de ser procedente, de lo siguiente</w:t>
      </w:r>
      <w:r>
        <w:rPr>
          <w:rFonts w:ascii="Palatino Linotype" w:eastAsia="Palatino Linotype" w:hAnsi="Palatino Linotype" w:cs="Palatino Linotype"/>
          <w:color w:val="000000"/>
        </w:rPr>
        <w:t>:</w:t>
      </w:r>
    </w:p>
    <w:p w:rsidR="006C3579" w:rsidRDefault="006C3579">
      <w:pPr>
        <w:spacing w:after="120" w:line="360" w:lineRule="auto"/>
        <w:contextualSpacing/>
        <w:jc w:val="both"/>
        <w:rPr>
          <w:rFonts w:ascii="Palatino Linotype" w:eastAsia="Palatino Linotype" w:hAnsi="Palatino Linotype" w:cs="Palatino Linotype"/>
          <w:color w:val="000000"/>
        </w:rPr>
      </w:pPr>
    </w:p>
    <w:p w:rsidR="00FA2DC3" w:rsidRDefault="00D7436E">
      <w:pPr>
        <w:spacing w:after="0" w:line="240"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b/>
          <w:i/>
        </w:rPr>
        <w:t xml:space="preserve">“SEGUNDO. </w:t>
      </w:r>
      <w:r>
        <w:rPr>
          <w:rFonts w:ascii="Palatino Linotype" w:eastAsia="Palatino Linotype" w:hAnsi="Palatino Linotype" w:cs="Palatino Linotype"/>
          <w:i/>
        </w:rPr>
        <w:t xml:space="preserve">Se </w:t>
      </w:r>
      <w:r>
        <w:rPr>
          <w:rFonts w:ascii="Palatino Linotype" w:eastAsia="Palatino Linotype" w:hAnsi="Palatino Linotype" w:cs="Palatino Linotype"/>
          <w:b/>
          <w:i/>
        </w:rPr>
        <w:t xml:space="preserve">ORDENA </w:t>
      </w:r>
      <w:r>
        <w:rPr>
          <w:rFonts w:ascii="Palatino Linotype" w:eastAsia="Palatino Linotype" w:hAnsi="Palatino Linotype" w:cs="Palatino Linotype"/>
          <w:i/>
        </w:rPr>
        <w:t xml:space="preserve">al </w:t>
      </w:r>
      <w:r>
        <w:rPr>
          <w:rFonts w:ascii="Palatino Linotype" w:eastAsia="Palatino Linotype" w:hAnsi="Palatino Linotype" w:cs="Palatino Linotype"/>
          <w:b/>
          <w:i/>
        </w:rPr>
        <w:t>Ayuntamiento de Tlalnepantla de Baz</w:t>
      </w:r>
      <w:r>
        <w:rPr>
          <w:rFonts w:ascii="Palatino Linotype" w:eastAsia="Palatino Linotype" w:hAnsi="Palatino Linotype" w:cs="Palatino Linotype"/>
          <w:i/>
        </w:rPr>
        <w:t xml:space="preserve">, a efecto de que, previa búsqueda exhaustiva y razonable en los archivos de sus áreas competentes, remita, a través del Sistema de Acceso a la Información Mexiquense (SAIMEX), que al diez de febrero de dos mil veintitrés obrara en sus archivos, de ser procedente en versión pública, los documentos en donde conste lo siguiente </w:t>
      </w:r>
    </w:p>
    <w:p w:rsidR="00FA2DC3" w:rsidRDefault="00D7436E">
      <w:pPr>
        <w:numPr>
          <w:ilvl w:val="0"/>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Nombramientos de los servidores públicos que fungen como Directores y Coordinadores.</w:t>
      </w:r>
    </w:p>
    <w:p w:rsidR="00FA2DC3" w:rsidRDefault="00D7436E">
      <w:pPr>
        <w:numPr>
          <w:ilvl w:val="0"/>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Curricula de los titulares de las siguientes unidades administrativas:</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de Sustentabilidad Ambiental</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General Municipal de Mejora Regulatoria</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Asuntos Internos</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la Comisión de Planeación para el Desarrollo Municipal  (COPLADEMUN)</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Caja General</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enlaces Administrativos</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Asesores</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Comunicación Institucional</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Medios Digitales</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Jurídica de la Tesorería Municipal</w:t>
      </w:r>
    </w:p>
    <w:p w:rsidR="00FA2DC3" w:rsidRDefault="00D7436E">
      <w:pPr>
        <w:numPr>
          <w:ilvl w:val="0"/>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Expedientes de personal completos (entregar documentos faltantes, incluido el certificado de no deudor alimentario) y en versión pública correcta (constancias de no inhabilitación) de los titulares de las siguientes unidades:</w:t>
      </w:r>
    </w:p>
    <w:p w:rsidR="00FA2DC3" w:rsidRDefault="00D7436E">
      <w:pPr>
        <w:numPr>
          <w:ilvl w:val="1"/>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Secretaría del Ayuntamiento </w:t>
      </w:r>
    </w:p>
    <w:p w:rsidR="00FA2DC3" w:rsidRDefault="00D7436E">
      <w:pPr>
        <w:numPr>
          <w:ilvl w:val="1"/>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Tesorero Municipal</w:t>
      </w:r>
    </w:p>
    <w:p w:rsidR="00FA2DC3" w:rsidRDefault="00D7436E">
      <w:pPr>
        <w:numPr>
          <w:ilvl w:val="1"/>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de Obras Públicas,</w:t>
      </w:r>
    </w:p>
    <w:p w:rsidR="00FA2DC3" w:rsidRDefault="00D7436E">
      <w:pPr>
        <w:numPr>
          <w:ilvl w:val="1"/>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de Promoción Económica</w:t>
      </w:r>
    </w:p>
    <w:p w:rsidR="00FA2DC3" w:rsidRDefault="00D7436E">
      <w:pPr>
        <w:numPr>
          <w:ilvl w:val="1"/>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de Sustentabilidad Ambiental</w:t>
      </w:r>
    </w:p>
    <w:p w:rsidR="00FA2DC3" w:rsidRDefault="00D7436E">
      <w:pPr>
        <w:numPr>
          <w:ilvl w:val="1"/>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de Desarrollo Urbano</w:t>
      </w:r>
    </w:p>
    <w:p w:rsidR="00FA2DC3" w:rsidRDefault="00D7436E">
      <w:pPr>
        <w:numPr>
          <w:ilvl w:val="1"/>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de Desarrollo Social</w:t>
      </w:r>
    </w:p>
    <w:p w:rsidR="00FA2DC3" w:rsidRDefault="00D7436E">
      <w:pPr>
        <w:numPr>
          <w:ilvl w:val="1"/>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de las Mujeres</w:t>
      </w:r>
    </w:p>
    <w:p w:rsidR="00FA2DC3" w:rsidRDefault="00D7436E">
      <w:pPr>
        <w:numPr>
          <w:ilvl w:val="1"/>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de Protección Civil</w:t>
      </w:r>
    </w:p>
    <w:p w:rsidR="00FA2DC3" w:rsidRDefault="00D7436E">
      <w:pPr>
        <w:numPr>
          <w:ilvl w:val="1"/>
          <w:numId w:val="1"/>
        </w:numPr>
        <w:pBdr>
          <w:top w:val="nil"/>
          <w:left w:val="nil"/>
          <w:bottom w:val="nil"/>
          <w:right w:val="nil"/>
          <w:between w:val="nil"/>
        </w:pBdr>
        <w:tabs>
          <w:tab w:val="left" w:pos="1276"/>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Contraloría Municipal.</w:t>
      </w:r>
    </w:p>
    <w:p w:rsidR="00FA2DC3" w:rsidRDefault="00D7436E">
      <w:pPr>
        <w:numPr>
          <w:ilvl w:val="1"/>
          <w:numId w:val="1"/>
        </w:numPr>
        <w:pBdr>
          <w:top w:val="nil"/>
          <w:left w:val="nil"/>
          <w:bottom w:val="nil"/>
          <w:right w:val="nil"/>
          <w:between w:val="nil"/>
        </w:pBdr>
        <w:tabs>
          <w:tab w:val="left" w:pos="1276"/>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Justicia Cívica</w:t>
      </w:r>
    </w:p>
    <w:p w:rsidR="00FA2DC3" w:rsidRDefault="00D7436E">
      <w:pPr>
        <w:numPr>
          <w:ilvl w:val="1"/>
          <w:numId w:val="1"/>
        </w:numPr>
        <w:pBdr>
          <w:top w:val="nil"/>
          <w:left w:val="nil"/>
          <w:bottom w:val="nil"/>
          <w:right w:val="nil"/>
          <w:between w:val="nil"/>
        </w:pBdr>
        <w:tabs>
          <w:tab w:val="left" w:pos="1276"/>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Dirección de Gobierno Digital</w:t>
      </w:r>
    </w:p>
    <w:p w:rsidR="00FA2DC3" w:rsidRDefault="00D7436E">
      <w:pPr>
        <w:numPr>
          <w:ilvl w:val="1"/>
          <w:numId w:val="1"/>
        </w:numPr>
        <w:pBdr>
          <w:top w:val="nil"/>
          <w:left w:val="nil"/>
          <w:bottom w:val="nil"/>
          <w:right w:val="nil"/>
          <w:between w:val="nil"/>
        </w:pBdr>
        <w:tabs>
          <w:tab w:val="left" w:pos="1276"/>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Tlalnepantla Zona Oriente</w:t>
      </w:r>
    </w:p>
    <w:p w:rsidR="00FA2DC3" w:rsidRDefault="00D7436E">
      <w:pPr>
        <w:numPr>
          <w:ilvl w:val="1"/>
          <w:numId w:val="1"/>
        </w:numPr>
        <w:pBdr>
          <w:top w:val="nil"/>
          <w:left w:val="nil"/>
          <w:bottom w:val="nil"/>
          <w:right w:val="nil"/>
          <w:between w:val="nil"/>
        </w:pBdr>
        <w:tabs>
          <w:tab w:val="left" w:pos="1276"/>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atención Empresarial</w:t>
      </w:r>
    </w:p>
    <w:p w:rsidR="00FA2DC3" w:rsidRDefault="00D7436E">
      <w:pPr>
        <w:numPr>
          <w:ilvl w:val="1"/>
          <w:numId w:val="1"/>
        </w:numPr>
        <w:pBdr>
          <w:top w:val="nil"/>
          <w:left w:val="nil"/>
          <w:bottom w:val="nil"/>
          <w:right w:val="nil"/>
          <w:between w:val="nil"/>
        </w:pBdr>
        <w:tabs>
          <w:tab w:val="left" w:pos="1276"/>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Jurídica de la Comisaría General de Seguridad Pública</w:t>
      </w:r>
    </w:p>
    <w:p w:rsidR="00FA2DC3" w:rsidRDefault="00D7436E">
      <w:pPr>
        <w:numPr>
          <w:ilvl w:val="1"/>
          <w:numId w:val="1"/>
        </w:numPr>
        <w:pBdr>
          <w:top w:val="nil"/>
          <w:left w:val="nil"/>
          <w:bottom w:val="nil"/>
          <w:right w:val="nil"/>
          <w:between w:val="nil"/>
        </w:pBdr>
        <w:tabs>
          <w:tab w:val="left" w:pos="1276"/>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Seguimiento del Sistema Municipal Anticorrupción</w:t>
      </w:r>
    </w:p>
    <w:p w:rsidR="00FA2DC3" w:rsidRDefault="00D7436E">
      <w:pPr>
        <w:numPr>
          <w:ilvl w:val="1"/>
          <w:numId w:val="1"/>
        </w:numPr>
        <w:pBdr>
          <w:top w:val="nil"/>
          <w:left w:val="nil"/>
          <w:bottom w:val="nil"/>
          <w:right w:val="nil"/>
          <w:between w:val="nil"/>
        </w:pBdr>
        <w:tabs>
          <w:tab w:val="left" w:pos="1276"/>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Catastro</w:t>
      </w:r>
    </w:p>
    <w:p w:rsidR="00FA2DC3" w:rsidRDefault="00D7436E">
      <w:pPr>
        <w:numPr>
          <w:ilvl w:val="1"/>
          <w:numId w:val="1"/>
        </w:numPr>
        <w:pBdr>
          <w:top w:val="nil"/>
          <w:left w:val="nil"/>
          <w:bottom w:val="nil"/>
          <w:right w:val="nil"/>
          <w:between w:val="nil"/>
        </w:pBdr>
        <w:tabs>
          <w:tab w:val="left" w:pos="1276"/>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Comisaría de Seguridad Pública y Transito</w:t>
      </w:r>
    </w:p>
    <w:p w:rsidR="00FA2DC3" w:rsidRDefault="00D7436E">
      <w:pPr>
        <w:numPr>
          <w:ilvl w:val="1"/>
          <w:numId w:val="1"/>
        </w:numPr>
        <w:pBdr>
          <w:top w:val="nil"/>
          <w:left w:val="nil"/>
          <w:bottom w:val="nil"/>
          <w:right w:val="nil"/>
          <w:between w:val="nil"/>
        </w:pBdr>
        <w:tabs>
          <w:tab w:val="left" w:pos="1276"/>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de Servicios Públicos</w:t>
      </w:r>
    </w:p>
    <w:p w:rsidR="00FA2DC3" w:rsidRDefault="00D7436E">
      <w:pPr>
        <w:numPr>
          <w:ilvl w:val="1"/>
          <w:numId w:val="1"/>
        </w:numPr>
        <w:pBdr>
          <w:top w:val="nil"/>
          <w:left w:val="nil"/>
          <w:bottom w:val="nil"/>
          <w:right w:val="nil"/>
          <w:between w:val="nil"/>
        </w:pBdr>
        <w:tabs>
          <w:tab w:val="left" w:pos="1276"/>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de Movilidad</w:t>
      </w:r>
    </w:p>
    <w:p w:rsidR="00FA2DC3" w:rsidRDefault="00D7436E">
      <w:pPr>
        <w:numPr>
          <w:ilvl w:val="1"/>
          <w:numId w:val="1"/>
        </w:numPr>
        <w:pBdr>
          <w:top w:val="nil"/>
          <w:left w:val="nil"/>
          <w:bottom w:val="nil"/>
          <w:right w:val="nil"/>
          <w:between w:val="nil"/>
        </w:pBdr>
        <w:tabs>
          <w:tab w:val="left" w:pos="1276"/>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de Administración</w:t>
      </w:r>
    </w:p>
    <w:p w:rsidR="00FA2DC3" w:rsidRDefault="00D7436E">
      <w:pPr>
        <w:numPr>
          <w:ilvl w:val="1"/>
          <w:numId w:val="1"/>
        </w:numPr>
        <w:pBdr>
          <w:top w:val="nil"/>
          <w:left w:val="nil"/>
          <w:bottom w:val="nil"/>
          <w:right w:val="nil"/>
          <w:between w:val="nil"/>
        </w:pBdr>
        <w:tabs>
          <w:tab w:val="left" w:pos="1276"/>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Jurídica</w:t>
      </w:r>
    </w:p>
    <w:p w:rsidR="00FA2DC3" w:rsidRDefault="00D7436E">
      <w:pPr>
        <w:numPr>
          <w:ilvl w:val="0"/>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Expedientes de personal de los titulares de las siguientes unidades administrativas:</w:t>
      </w:r>
    </w:p>
    <w:p w:rsidR="00FA2DC3" w:rsidRDefault="00D7436E">
      <w:pPr>
        <w:numPr>
          <w:ilvl w:val="1"/>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General Municipal de Mejora Regulatoria</w:t>
      </w:r>
    </w:p>
    <w:p w:rsidR="00FA2DC3" w:rsidRDefault="00D7436E">
      <w:pPr>
        <w:numPr>
          <w:ilvl w:val="1"/>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Asuntos Internos</w:t>
      </w:r>
    </w:p>
    <w:p w:rsidR="00FA2DC3" w:rsidRDefault="00D7436E">
      <w:pPr>
        <w:numPr>
          <w:ilvl w:val="1"/>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Coordinador de la Comisión de Planeación para el Desarrollo Municipal  (COPLADEMUN)</w:t>
      </w:r>
    </w:p>
    <w:p w:rsidR="00FA2DC3" w:rsidRDefault="00D7436E">
      <w:pPr>
        <w:numPr>
          <w:ilvl w:val="1"/>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Caja General</w:t>
      </w:r>
    </w:p>
    <w:p w:rsidR="00FA2DC3" w:rsidRDefault="00D7436E">
      <w:pPr>
        <w:numPr>
          <w:ilvl w:val="1"/>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enlaces Administrativos</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Asesores</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Comunicación Institucional</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Medios Digitales</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Jurídica de la Tesorería Municipal</w:t>
      </w:r>
    </w:p>
    <w:p w:rsidR="00FA2DC3" w:rsidRDefault="00D7436E">
      <w:pPr>
        <w:numPr>
          <w:ilvl w:val="0"/>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Los Recibos de nómina enviados en respuesta en versión pública correcta en términos del Considerando Quinto, de los titulares de las siguientes unidades administrativas:</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Secretaría del Ayuntamiento,</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de Sustentabilidad Ambiental,</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de Desarrollo Urbano</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de Desarrollo Social</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de las Mujeres</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Contraloría Municipal</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de Gobierno Digital</w:t>
      </w:r>
    </w:p>
    <w:p w:rsidR="00FA2DC3" w:rsidRDefault="00D7436E">
      <w:pPr>
        <w:numPr>
          <w:ilvl w:val="1"/>
          <w:numId w:val="1"/>
        </w:numPr>
        <w:pBdr>
          <w:top w:val="nil"/>
          <w:left w:val="nil"/>
          <w:bottom w:val="nil"/>
          <w:right w:val="nil"/>
          <w:between w:val="nil"/>
        </w:pBdr>
        <w:tabs>
          <w:tab w:val="left" w:pos="1276"/>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Tlalnepantla Zona Oriente</w:t>
      </w:r>
    </w:p>
    <w:p w:rsidR="00FA2DC3" w:rsidRDefault="00D7436E">
      <w:pPr>
        <w:numPr>
          <w:ilvl w:val="1"/>
          <w:numId w:val="1"/>
        </w:numPr>
        <w:pBdr>
          <w:top w:val="nil"/>
          <w:left w:val="nil"/>
          <w:bottom w:val="nil"/>
          <w:right w:val="nil"/>
          <w:between w:val="nil"/>
        </w:pBdr>
        <w:tabs>
          <w:tab w:val="left" w:pos="1276"/>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atención Empresarial</w:t>
      </w:r>
    </w:p>
    <w:p w:rsidR="00FA2DC3" w:rsidRDefault="00D7436E">
      <w:pPr>
        <w:numPr>
          <w:ilvl w:val="1"/>
          <w:numId w:val="1"/>
        </w:numPr>
        <w:pBdr>
          <w:top w:val="nil"/>
          <w:left w:val="nil"/>
          <w:bottom w:val="nil"/>
          <w:right w:val="nil"/>
          <w:between w:val="nil"/>
        </w:pBdr>
        <w:tabs>
          <w:tab w:val="left" w:pos="1134"/>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Jurídica de la Comisaría General de Seguridad Pública</w:t>
      </w:r>
    </w:p>
    <w:p w:rsidR="00FA2DC3" w:rsidRDefault="00D7436E">
      <w:pPr>
        <w:numPr>
          <w:ilvl w:val="1"/>
          <w:numId w:val="1"/>
        </w:numPr>
        <w:pBdr>
          <w:top w:val="nil"/>
          <w:left w:val="nil"/>
          <w:bottom w:val="nil"/>
          <w:right w:val="nil"/>
          <w:between w:val="nil"/>
        </w:pBdr>
        <w:tabs>
          <w:tab w:val="left" w:pos="1134"/>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Seguimiento del Sistema Municipal Anticorrupción</w:t>
      </w:r>
    </w:p>
    <w:p w:rsidR="00FA2DC3" w:rsidRDefault="00D7436E">
      <w:pPr>
        <w:numPr>
          <w:ilvl w:val="1"/>
          <w:numId w:val="1"/>
        </w:numPr>
        <w:pBdr>
          <w:top w:val="nil"/>
          <w:left w:val="nil"/>
          <w:bottom w:val="nil"/>
          <w:right w:val="nil"/>
          <w:between w:val="nil"/>
        </w:pBdr>
        <w:spacing w:after="0" w:line="240" w:lineRule="auto"/>
        <w:ind w:left="567" w:right="706" w:hanging="41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Catastro</w:t>
      </w:r>
    </w:p>
    <w:p w:rsidR="00FA2DC3" w:rsidRDefault="00D7436E">
      <w:pPr>
        <w:numPr>
          <w:ilvl w:val="1"/>
          <w:numId w:val="1"/>
        </w:numPr>
        <w:pBdr>
          <w:top w:val="nil"/>
          <w:left w:val="nil"/>
          <w:bottom w:val="nil"/>
          <w:right w:val="nil"/>
          <w:between w:val="nil"/>
        </w:pBdr>
        <w:spacing w:after="0" w:line="240" w:lineRule="auto"/>
        <w:ind w:left="567" w:right="706" w:hanging="41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de Servicios Públicos</w:t>
      </w:r>
    </w:p>
    <w:p w:rsidR="00FA2DC3" w:rsidRDefault="00D7436E">
      <w:pPr>
        <w:numPr>
          <w:ilvl w:val="1"/>
          <w:numId w:val="1"/>
        </w:numPr>
        <w:pBdr>
          <w:top w:val="nil"/>
          <w:left w:val="nil"/>
          <w:bottom w:val="nil"/>
          <w:right w:val="nil"/>
          <w:between w:val="nil"/>
        </w:pBdr>
        <w:spacing w:after="0" w:line="240" w:lineRule="auto"/>
        <w:ind w:left="567" w:right="706" w:hanging="41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Coordinador de la Comisión de Planeación para el Desarrollo Municipal  (COPLADEMUN)</w:t>
      </w:r>
    </w:p>
    <w:p w:rsidR="00FA2DC3" w:rsidRDefault="00D7436E">
      <w:pPr>
        <w:numPr>
          <w:ilvl w:val="1"/>
          <w:numId w:val="1"/>
        </w:numPr>
        <w:pBdr>
          <w:top w:val="nil"/>
          <w:left w:val="nil"/>
          <w:bottom w:val="nil"/>
          <w:right w:val="nil"/>
          <w:between w:val="nil"/>
        </w:pBdr>
        <w:spacing w:after="0" w:line="240" w:lineRule="auto"/>
        <w:ind w:left="567" w:right="706" w:hanging="41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Caja General</w:t>
      </w:r>
    </w:p>
    <w:p w:rsidR="00FA2DC3" w:rsidRDefault="00D7436E">
      <w:pPr>
        <w:numPr>
          <w:ilvl w:val="1"/>
          <w:numId w:val="1"/>
        </w:numPr>
        <w:pBdr>
          <w:top w:val="nil"/>
          <w:left w:val="nil"/>
          <w:bottom w:val="nil"/>
          <w:right w:val="nil"/>
          <w:between w:val="nil"/>
        </w:pBdr>
        <w:spacing w:after="0" w:line="240" w:lineRule="auto"/>
        <w:ind w:left="567" w:right="706" w:hanging="41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enlaces Administrativos</w:t>
      </w:r>
    </w:p>
    <w:p w:rsidR="00FA2DC3" w:rsidRDefault="00D7436E">
      <w:pPr>
        <w:numPr>
          <w:ilvl w:val="0"/>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Los Recibos de nómina de la segunda quincena de enero de dos mil veintitrés de los titulares de las siguientes unidades administrativas:</w:t>
      </w:r>
    </w:p>
    <w:p w:rsidR="00FA2DC3" w:rsidRDefault="00D7436E">
      <w:pPr>
        <w:numPr>
          <w:ilvl w:val="1"/>
          <w:numId w:val="1"/>
        </w:numPr>
        <w:pBdr>
          <w:top w:val="nil"/>
          <w:left w:val="nil"/>
          <w:bottom w:val="nil"/>
          <w:right w:val="nil"/>
          <w:between w:val="nil"/>
        </w:pBdr>
        <w:spacing w:after="0" w:line="240" w:lineRule="auto"/>
        <w:ind w:left="567" w:right="706" w:hanging="41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General Municipal de Mejora Regulatoria</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Asesores</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Comunicación Institucional</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de Medios Digitales</w:t>
      </w:r>
    </w:p>
    <w:p w:rsidR="00FA2DC3" w:rsidRDefault="00D7436E">
      <w:pPr>
        <w:numPr>
          <w:ilvl w:val="1"/>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Coordinación Jurídica de la Tesorería Municipal</w:t>
      </w:r>
    </w:p>
    <w:p w:rsidR="00FA2DC3" w:rsidRDefault="00D7436E">
      <w:pPr>
        <w:numPr>
          <w:ilvl w:val="0"/>
          <w:numId w:val="1"/>
        </w:numPr>
        <w:pBdr>
          <w:top w:val="nil"/>
          <w:left w:val="nil"/>
          <w:bottom w:val="nil"/>
          <w:right w:val="nil"/>
          <w:between w:val="nil"/>
        </w:pBdr>
        <w:tabs>
          <w:tab w:val="left" w:pos="4962"/>
        </w:tabs>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La Certificación de competencia laboral del Coordinador General Municipal de Mejora Regulatoria y de la Directora de la Dirección de la Mujer.</w:t>
      </w:r>
    </w:p>
    <w:p w:rsidR="00FA2DC3" w:rsidRDefault="00D7436E">
      <w:pPr>
        <w:spacing w:after="0" w:line="240"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De ser necesarias las versiones públicas, se deberá proporcionar el Acuerdo de Clasificación donde el Comité de Transparencia, confirme la eliminación de los datos confidenciales, de conformidad con los artículos 49, fracciones II y VIII, 132, fracción II y 143, fracción I, de la Ley de Transparencia y Acceso a la Información Pública del Estado de México y Municipios.</w:t>
      </w:r>
    </w:p>
    <w:p w:rsidR="00FA2DC3" w:rsidRDefault="00D7436E">
      <w:pPr>
        <w:spacing w:after="0" w:line="240"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Para el caso que la información ordenada en el punto 7, no obre en los archivos del Sujeto Obligado por encontrarse dentro del plazo legal para el cumplimiento de dicho requisito al diez de febrero de dos mil veintitrés, o bien el Coordinador General de Mejora </w:t>
      </w:r>
      <w:r>
        <w:rPr>
          <w:rFonts w:ascii="Palatino Linotype" w:eastAsia="Palatino Linotype" w:hAnsi="Palatino Linotype" w:cs="Palatino Linotype"/>
          <w:i/>
        </w:rPr>
        <w:lastRenderedPageBreak/>
        <w:t>Regulatoria cuente con el diploma y no con la certificación señalada en el artículo 85 sexies de la Ley Orgánica Municipal del Estado de México,  bastará que, de manera precisa y clara, lo haga del conocimiento del Particular.</w:t>
      </w:r>
    </w:p>
    <w:p w:rsidR="00FA2DC3" w:rsidRDefault="00D7436E">
      <w:pPr>
        <w:spacing w:after="0" w:line="240"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Para el caso de que los servidores públicos mencionados en el punto 7 debieran contar con la certificación de competencia laboral al diez de febrero de dos mil veintitrés y haya transcurrido el plazo para acreditar este requisito a la fecha mencionada y no la tengan, deberá proporcionar el Acuerdo de inexistencia del Comité de Transparencia, en términos del artículo 19, párrafo tercero y 169 de la Ley de Transparencia y Acceso a la Información Pública del Estado de México y Municipios, de conformidad con el considerando QUINTO de la presente resolución…”</w:t>
      </w:r>
    </w:p>
    <w:p w:rsidR="00FA2DC3" w:rsidRDefault="00FA2DC3">
      <w:pPr>
        <w:spacing w:after="120" w:line="360" w:lineRule="auto"/>
        <w:jc w:val="both"/>
        <w:rPr>
          <w:rFonts w:ascii="Palatino Linotype" w:eastAsia="Palatino Linotype" w:hAnsi="Palatino Linotype" w:cs="Palatino Linotype"/>
          <w:color w:val="000000"/>
        </w:rPr>
      </w:pPr>
    </w:p>
    <w:p w:rsidR="00FA2DC3" w:rsidRDefault="00D7436E">
      <w:pPr>
        <w:numPr>
          <w:ilvl w:val="0"/>
          <w:numId w:val="3"/>
        </w:numPr>
        <w:spacing w:after="0" w:line="360" w:lineRule="auto"/>
        <w:ind w:left="567" w:hanging="283"/>
        <w:jc w:val="both"/>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 xml:space="preserve">Razones del Voto Particular. </w:t>
      </w:r>
    </w:p>
    <w:p w:rsidR="00FA2DC3" w:rsidRDefault="00FA2DC3">
      <w:pPr>
        <w:spacing w:after="0" w:line="360" w:lineRule="auto"/>
        <w:jc w:val="both"/>
        <w:rPr>
          <w:rFonts w:ascii="Palatino Linotype" w:eastAsia="Palatino Linotype" w:hAnsi="Palatino Linotype" w:cs="Palatino Linotype"/>
          <w:b/>
        </w:rPr>
      </w:pPr>
    </w:p>
    <w:p w:rsidR="00FA2DC3" w:rsidRDefault="00D7436E">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sz w:val="24"/>
          <w:szCs w:val="24"/>
        </w:rPr>
        <w:t>Derivado de lo anterior, la emisión del voto se centrará en que, si bien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 sin embargo, no se coincide con los argumentos señalados en la misma particularmente respecto a lo siguiente:</w:t>
      </w:r>
    </w:p>
    <w:p w:rsidR="00FA2DC3" w:rsidRDefault="00FA2DC3">
      <w:pPr>
        <w:pBdr>
          <w:top w:val="nil"/>
          <w:left w:val="nil"/>
          <w:bottom w:val="nil"/>
          <w:right w:val="nil"/>
          <w:between w:val="nil"/>
        </w:pBdr>
        <w:spacing w:after="0" w:line="360" w:lineRule="auto"/>
        <w:jc w:val="both"/>
        <w:rPr>
          <w:rFonts w:ascii="Palatino Linotype" w:eastAsia="Palatino Linotype" w:hAnsi="Palatino Linotype" w:cs="Palatino Linotype"/>
        </w:rPr>
      </w:pPr>
    </w:p>
    <w:p w:rsidR="00FA2DC3" w:rsidRDefault="00D7436E">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De la publicidad de la fotografía de servidores públicos. </w:t>
      </w:r>
    </w:p>
    <w:p w:rsidR="00FA2DC3" w:rsidRDefault="00D7436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Con relación a la fotografía de los servidores públicos que obra en los documentos que dan cuenta de su grado de estudios y/o experiencia laboral,  </w:t>
      </w:r>
      <w:r>
        <w:rPr>
          <w:rFonts w:ascii="Palatino Linotype" w:eastAsia="Palatino Linotype" w:hAnsi="Palatino Linotype" w:cs="Palatino Linotype"/>
          <w:b/>
          <w:sz w:val="24"/>
          <w:szCs w:val="24"/>
        </w:rPr>
        <w:t>no</w:t>
      </w:r>
      <w:r>
        <w:rPr>
          <w:rFonts w:ascii="Palatino Linotype" w:eastAsia="Palatino Linotype" w:hAnsi="Palatino Linotype" w:cs="Palatino Linotype"/>
          <w:sz w:val="24"/>
          <w:szCs w:val="24"/>
        </w:rPr>
        <w:t xml:space="preserve"> se coincido con los argumentos señalados en la resolución, particularmente por considerar que la fotografía de todos los servidores públicos, sin importar el nivel o cargo y en </w:t>
      </w:r>
      <w:r>
        <w:rPr>
          <w:rFonts w:ascii="Palatino Linotype" w:eastAsia="Palatino Linotype" w:hAnsi="Palatino Linotype" w:cs="Palatino Linotype"/>
          <w:sz w:val="24"/>
          <w:szCs w:val="24"/>
        </w:rPr>
        <w:lastRenderedPageBreak/>
        <w:t xml:space="preserve">cualquier documento que se encuentre vinculado con el cumplimiento de disposiciones legales, debe ser pública. </w:t>
      </w:r>
    </w:p>
    <w:p w:rsidR="00FA2DC3" w:rsidRDefault="00D7436E">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la Ponencia que resolvió, consideró lo siguiente:</w:t>
      </w:r>
    </w:p>
    <w:p w:rsidR="00FA2DC3" w:rsidRDefault="00FA2DC3">
      <w:pPr>
        <w:widowControl w:val="0"/>
        <w:spacing w:after="0" w:line="240" w:lineRule="auto"/>
        <w:ind w:left="851" w:right="709"/>
        <w:jc w:val="both"/>
        <w:rPr>
          <w:rFonts w:ascii="Palatino Linotype" w:eastAsia="Palatino Linotype" w:hAnsi="Palatino Linotype" w:cs="Palatino Linotype"/>
        </w:rPr>
      </w:pPr>
    </w:p>
    <w:p w:rsidR="00FA2DC3" w:rsidRDefault="00D7436E">
      <w:pPr>
        <w:numPr>
          <w:ilvl w:val="0"/>
          <w:numId w:val="2"/>
        </w:numPr>
        <w:spacing w:after="0" w:line="240" w:lineRule="auto"/>
        <w:ind w:right="425"/>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Fotografía</w:t>
      </w:r>
    </w:p>
    <w:p w:rsidR="00FA2DC3" w:rsidRDefault="00FA2DC3">
      <w:pPr>
        <w:spacing w:after="0" w:line="240" w:lineRule="auto"/>
        <w:ind w:left="720" w:right="425"/>
        <w:jc w:val="both"/>
        <w:rPr>
          <w:rFonts w:ascii="Palatino Linotype" w:eastAsia="Palatino Linotype" w:hAnsi="Palatino Linotype" w:cs="Palatino Linotype"/>
          <w:b/>
          <w:i/>
          <w:color w:val="000000"/>
          <w:sz w:val="20"/>
          <w:szCs w:val="20"/>
        </w:rPr>
      </w:pPr>
    </w:p>
    <w:p w:rsidR="00FA2DC3" w:rsidRDefault="00D7436E">
      <w:pPr>
        <w:spacing w:after="0" w:line="240" w:lineRule="auto"/>
        <w:ind w:left="720" w:right="425"/>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FA2DC3" w:rsidRDefault="00FA2DC3">
      <w:pPr>
        <w:spacing w:after="0" w:line="240" w:lineRule="auto"/>
        <w:ind w:left="720" w:right="425"/>
        <w:jc w:val="both"/>
        <w:rPr>
          <w:rFonts w:ascii="Palatino Linotype" w:eastAsia="Palatino Linotype" w:hAnsi="Palatino Linotype" w:cs="Palatino Linotype"/>
          <w:i/>
          <w:color w:val="000000"/>
          <w:sz w:val="20"/>
          <w:szCs w:val="20"/>
        </w:rPr>
      </w:pPr>
    </w:p>
    <w:p w:rsidR="00FA2DC3" w:rsidRDefault="00D7436E">
      <w:pPr>
        <w:spacing w:after="0" w:line="240" w:lineRule="auto"/>
        <w:ind w:left="720" w:right="425"/>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FA2DC3" w:rsidRDefault="00FA2DC3">
      <w:pPr>
        <w:spacing w:after="0" w:line="240" w:lineRule="auto"/>
        <w:ind w:left="720" w:right="425"/>
        <w:jc w:val="both"/>
        <w:rPr>
          <w:rFonts w:ascii="Palatino Linotype" w:eastAsia="Palatino Linotype" w:hAnsi="Palatino Linotype" w:cs="Palatino Linotype"/>
          <w:i/>
          <w:color w:val="000000"/>
          <w:sz w:val="20"/>
          <w:szCs w:val="20"/>
        </w:rPr>
      </w:pPr>
    </w:p>
    <w:p w:rsidR="00FA2DC3" w:rsidRDefault="00D7436E">
      <w:pPr>
        <w:spacing w:after="0" w:line="240" w:lineRule="auto"/>
        <w:ind w:left="720" w:right="425"/>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FA2DC3" w:rsidRDefault="00FA2DC3">
      <w:pPr>
        <w:spacing w:after="0" w:line="240" w:lineRule="auto"/>
        <w:ind w:left="720" w:right="425"/>
        <w:jc w:val="both"/>
        <w:rPr>
          <w:rFonts w:ascii="Palatino Linotype" w:eastAsia="Palatino Linotype" w:hAnsi="Palatino Linotype" w:cs="Palatino Linotype"/>
          <w:i/>
          <w:sz w:val="20"/>
          <w:szCs w:val="20"/>
        </w:rPr>
      </w:pPr>
    </w:p>
    <w:p w:rsidR="00FA2DC3" w:rsidRDefault="00D7436E">
      <w:pPr>
        <w:spacing w:after="0" w:line="240" w:lineRule="auto"/>
        <w:ind w:left="720" w:right="425"/>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FA2DC3" w:rsidRDefault="00FA2DC3">
      <w:pPr>
        <w:spacing w:after="0" w:line="240" w:lineRule="auto"/>
        <w:ind w:left="720" w:right="425"/>
        <w:jc w:val="both"/>
        <w:rPr>
          <w:rFonts w:ascii="Palatino Linotype" w:eastAsia="Palatino Linotype" w:hAnsi="Palatino Linotype" w:cs="Palatino Linotype"/>
          <w:i/>
          <w:color w:val="000000"/>
          <w:sz w:val="20"/>
          <w:szCs w:val="20"/>
        </w:rPr>
      </w:pPr>
    </w:p>
    <w:p w:rsidR="00FA2DC3" w:rsidRDefault="00D7436E">
      <w:pPr>
        <w:spacing w:after="0" w:line="240" w:lineRule="auto"/>
        <w:ind w:left="720" w:right="425"/>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lastRenderedPageBreak/>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FA2DC3" w:rsidRDefault="00FA2DC3">
      <w:pPr>
        <w:spacing w:after="0" w:line="240" w:lineRule="auto"/>
        <w:ind w:left="720" w:right="425"/>
        <w:jc w:val="both"/>
        <w:rPr>
          <w:rFonts w:ascii="Palatino Linotype" w:eastAsia="Palatino Linotype" w:hAnsi="Palatino Linotype" w:cs="Palatino Linotype"/>
          <w:i/>
          <w:color w:val="000000"/>
          <w:sz w:val="20"/>
          <w:szCs w:val="20"/>
        </w:rPr>
      </w:pPr>
    </w:p>
    <w:p w:rsidR="00FA2DC3" w:rsidRDefault="00D7436E">
      <w:pPr>
        <w:spacing w:after="0" w:line="240" w:lineRule="auto"/>
        <w:ind w:left="720" w:right="425"/>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FA2DC3" w:rsidRDefault="00FA2DC3">
      <w:pPr>
        <w:spacing w:after="0" w:line="240" w:lineRule="auto"/>
        <w:ind w:left="720" w:right="425"/>
        <w:jc w:val="both"/>
        <w:rPr>
          <w:rFonts w:ascii="Palatino Linotype" w:eastAsia="Palatino Linotype" w:hAnsi="Palatino Linotype" w:cs="Palatino Linotype"/>
          <w:i/>
          <w:color w:val="000000"/>
          <w:sz w:val="20"/>
          <w:szCs w:val="20"/>
        </w:rPr>
      </w:pPr>
    </w:p>
    <w:p w:rsidR="00FA2DC3" w:rsidRDefault="00D7436E">
      <w:pPr>
        <w:spacing w:after="80" w:line="240" w:lineRule="auto"/>
        <w:ind w:left="720" w:right="425"/>
        <w:jc w:val="both"/>
        <w:rPr>
          <w:rFonts w:ascii="Palatino Linotype" w:eastAsia="Palatino Linotype" w:hAnsi="Palatino Linotype" w:cs="Palatino Linotype"/>
          <w:i/>
        </w:rPr>
      </w:pPr>
      <w:r>
        <w:rPr>
          <w:rFonts w:ascii="Palatino Linotype" w:eastAsia="Palatino Linotype" w:hAnsi="Palatino Linotype" w:cs="Palatino Linotype"/>
          <w:i/>
          <w:color w:val="000000"/>
          <w:sz w:val="20"/>
          <w:szCs w:val="20"/>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w:t>
      </w:r>
      <w:r>
        <w:rPr>
          <w:rFonts w:ascii="Palatino Linotype" w:eastAsia="Palatino Linotype" w:hAnsi="Palatino Linotype" w:cs="Palatino Linotype"/>
          <w:b/>
          <w:i/>
          <w:color w:val="000000"/>
          <w:sz w:val="20"/>
          <w:szCs w:val="20"/>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r>
        <w:rPr>
          <w:rFonts w:ascii="Palatino Linotype" w:eastAsia="Palatino Linotype" w:hAnsi="Palatino Linotype" w:cs="Palatino Linotype"/>
          <w:b/>
          <w:color w:val="000000"/>
        </w:rPr>
        <w:t>…</w:t>
      </w:r>
      <w:r>
        <w:rPr>
          <w:rFonts w:ascii="Palatino Linotype" w:eastAsia="Palatino Linotype" w:hAnsi="Palatino Linotype" w:cs="Palatino Linotype"/>
          <w:i/>
        </w:rPr>
        <w:t>”(Sic)</w:t>
      </w:r>
    </w:p>
    <w:p w:rsidR="00FA2DC3" w:rsidRDefault="00FA2DC3">
      <w:pPr>
        <w:spacing w:before="80" w:after="240" w:line="360" w:lineRule="auto"/>
        <w:jc w:val="both"/>
        <w:rPr>
          <w:rFonts w:ascii="Palatino Linotype" w:eastAsia="Palatino Linotype" w:hAnsi="Palatino Linotype" w:cs="Palatino Linotype"/>
        </w:rPr>
      </w:pPr>
      <w:bookmarkStart w:id="4" w:name="_heading=h.b4iiy4ij0zq" w:colFirst="0" w:colLast="0"/>
      <w:bookmarkEnd w:id="4"/>
    </w:p>
    <w:p w:rsidR="00FA2DC3" w:rsidRDefault="00D7436E">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Respecto a los argumentos antes referidos, no escapa de la óptica de la suscrita que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w:t>
      </w:r>
      <w:r>
        <w:rPr>
          <w:rFonts w:ascii="Palatino Linotype" w:eastAsia="Palatino Linotype" w:hAnsi="Palatino Linotype" w:cs="Palatino Linotype"/>
          <w:sz w:val="24"/>
          <w:szCs w:val="24"/>
        </w:rPr>
        <w:lastRenderedPageBreak/>
        <w:t>Transparencia y Acceso a la Información Pública del Estado de México y Municipios, en relación con el 4, fracción XI de La Ley de Protección de Datos Personales en Posesión de Sujetos Obligados del Estado de México y Municipios.</w:t>
      </w:r>
    </w:p>
    <w:p w:rsidR="00FA2DC3" w:rsidRDefault="00D7436E">
      <w:pPr>
        <w:spacing w:before="240" w:after="24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sz w:val="24"/>
          <w:szCs w:val="24"/>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FA2DC3" w:rsidRDefault="00D7436E">
      <w:pPr>
        <w:tabs>
          <w:tab w:val="left" w:pos="4962"/>
        </w:tabs>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Sin embargo, en la resolución se estipuló que </w:t>
      </w:r>
      <w:r>
        <w:rPr>
          <w:rFonts w:ascii="Palatino Linotype" w:eastAsia="Palatino Linotype" w:hAnsi="Palatino Linotype" w:cs="Palatino Linotype"/>
          <w:b/>
          <w:u w:val="single"/>
        </w:rPr>
        <w:t>las fotografías de servidores públicos, sin importar el nivel o rango, guardan la naturaleza de públicas</w:t>
      </w:r>
      <w:r>
        <w:rPr>
          <w:rFonts w:ascii="Palatino Linotype" w:eastAsia="Palatino Linotype" w:hAnsi="Palatino Linotype" w:cs="Palatino Linotype"/>
        </w:rPr>
        <w:t xml:space="preserve">, -con excepción del personal operativo en materia de seguridad-, </w:t>
      </w:r>
      <w:r>
        <w:rPr>
          <w:rFonts w:ascii="Palatino Linotype" w:eastAsia="Palatino Linotype" w:hAnsi="Palatino Linotype" w:cs="Palatino Linotype"/>
          <w:b/>
          <w:u w:val="single"/>
        </w:rPr>
        <w:t>por lo tanto, que no procede su clasificación</w:t>
      </w:r>
      <w:r>
        <w:rPr>
          <w:rFonts w:ascii="Palatino Linotype" w:eastAsia="Palatino Linotype" w:hAnsi="Palatino Linotype" w:cs="Palatino Linotype"/>
        </w:rPr>
        <w:t xml:space="preserve"> en términos del artículo 143, fracción I, de la Ley de Transparencia y Acceso a la Información Pública del Estado de México y Municipios, sin embargo,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ya que como se ha expresado con anterioridad, en algunos casos, el interés público de hacer pública la imagen de un servidor público puede justificar la limitación de su derecho a la privacidad, pero esto debe evaluarse cuidadosamente en cada caso y no ser la regla general.</w:t>
      </w:r>
    </w:p>
    <w:p w:rsidR="00FA2DC3" w:rsidRDefault="00D7436E">
      <w:pPr>
        <w:tabs>
          <w:tab w:val="left" w:pos="4962"/>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sz w:val="24"/>
          <w:szCs w:val="24"/>
        </w:rPr>
        <w:lastRenderedPageBreak/>
        <w:t>Correlativo a lo anterior, estimo que el acceso a los documentos que contengan el dato materia de análisis, aún clasificado, daría cuenta de lo que en realidad se pretende transparentar, como lo es, por ejemplo, la preparación académica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FA2DC3" w:rsidRDefault="00D7436E">
      <w:pPr>
        <w:tabs>
          <w:tab w:val="left" w:pos="4962"/>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FA2DC3" w:rsidRDefault="00D7436E">
      <w:pPr>
        <w:tabs>
          <w:tab w:val="left" w:pos="4962"/>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tengan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FA2DC3" w:rsidRDefault="00D7436E">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Certificado de no deudor alimentario moroso. </w:t>
      </w:r>
    </w:p>
    <w:p w:rsidR="00FA2DC3" w:rsidRDefault="00D7436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consideración de la suscrita en cuanto a los certificados de no deudor alimentario moroso este debe ser protegido mediante su clasificación como </w:t>
      </w:r>
      <w:r>
        <w:rPr>
          <w:rFonts w:ascii="Palatino Linotype" w:eastAsia="Palatino Linotype" w:hAnsi="Palatino Linotype" w:cs="Palatino Linotype"/>
          <w:b/>
        </w:rPr>
        <w:t>confidencial en su totalidad</w:t>
      </w:r>
      <w:r>
        <w:rPr>
          <w:rFonts w:ascii="Palatino Linotype" w:eastAsia="Palatino Linotype" w:hAnsi="Palatino Linotype" w:cs="Palatino Linotype"/>
        </w:rPr>
        <w:t xml:space="preserve">, ello </w:t>
      </w:r>
      <w:r>
        <w:rPr>
          <w:rFonts w:ascii="Palatino Linotype" w:eastAsia="Palatino Linotype" w:hAnsi="Palatino Linotype" w:cs="Palatino Linotype"/>
        </w:rPr>
        <w:lastRenderedPageBreak/>
        <w:t>derivado a que el estar inscrito en dicho registro tiene un impacto en la imagen de un servidor público y se trata de un tema estrictamente de carácter personal e incluso de tipo familiar.</w:t>
      </w:r>
    </w:p>
    <w:p w:rsidR="00FA2DC3" w:rsidRDefault="00D7436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Se considera que la información que se ordena, en efecto, da certeza que determinado servidor público cumplió con los requisitos señalados en el artículo 32 de la Ley Orgánica Municipal del Estado de México, pero también lo es que dar a conocer esta información podría vulnerar la vida privada de los servidores públicos. </w:t>
      </w:r>
    </w:p>
    <w:p w:rsidR="00FA2DC3" w:rsidRDefault="00D7436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Más aún cuando en el Proyecto de Decreto por el que se Reforman y Adicionan Diversas Disposiciones para crear el Registro de Deudores Alimentarios del Estado de México, disponible en la dirección electrónica </w:t>
      </w:r>
      <w:hyperlink r:id="rId8" w:anchor=":~:text=La%20inscripci%C3%B3n%20con%20el%20car%C3%A1cter,del%20Estado%20de%20M%C3%A9xico%20e">
        <w:r>
          <w:rPr>
            <w:rFonts w:ascii="Palatino Linotype" w:eastAsia="Palatino Linotype" w:hAnsi="Palatino Linotype" w:cs="Palatino Linotype"/>
            <w:color w:val="0000FF"/>
            <w:u w:val="single"/>
          </w:rPr>
          <w:t>https://www.ipomex.org.mx/recursos/ipo/files_ipo/2014/8/11/630bc7787b59af912a96a9e1bca1c770.pdf#:~:text=La%20inscripci%C3%B3n%20con%20el%20car%C3%A1cter,del%20Estado%20de%20M%C3%A9xico%20e</w:t>
        </w:r>
      </w:hyperlink>
      <w:r>
        <w:rPr>
          <w:rFonts w:ascii="Palatino Linotype" w:eastAsia="Palatino Linotype" w:hAnsi="Palatino Linotype" w:cs="Palatino Linotype"/>
        </w:rPr>
        <w:t xml:space="preserve">, pueden advertirse los objetivos de crear dicho registro: </w:t>
      </w:r>
    </w:p>
    <w:p w:rsidR="00FA2DC3" w:rsidRDefault="00FA2DC3">
      <w:pPr>
        <w:spacing w:after="0" w:line="360" w:lineRule="auto"/>
        <w:jc w:val="both"/>
        <w:rPr>
          <w:rFonts w:ascii="Palatino Linotype" w:eastAsia="Palatino Linotype" w:hAnsi="Palatino Linotype" w:cs="Palatino Linotype"/>
        </w:rPr>
      </w:pPr>
    </w:p>
    <w:p w:rsidR="00FA2DC3" w:rsidRDefault="00D7436E">
      <w:pPr>
        <w:spacing w:after="0" w:line="24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“El interés superior del menor debe prevalecer en cualquier controversia de derecho familiar, situación que obliga a las autoridades a establecer las medidas necesarias para asegurar el cumplimiento del pago de la pensión alimenticia decretada a su favor.</w:t>
      </w:r>
    </w:p>
    <w:p w:rsidR="00FA2DC3" w:rsidRDefault="00D7436E">
      <w:pPr>
        <w:spacing w:after="0" w:line="24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rsidR="00FA2DC3" w:rsidRDefault="00D7436E">
      <w:pPr>
        <w:spacing w:after="0" w:line="24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ocasiones los obligados a proporcionar alimentos eluden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rsidR="00FA2DC3" w:rsidRDefault="00D7436E">
      <w:pPr>
        <w:spacing w:after="0" w:line="24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Los alimentos tienen carácter preferente a favor de los hijos, sin que pueda eximirse el deudor alimentario de su cumplimiento cuando esté en posibilidades de hacerlo. En el Estado de México,</w:t>
      </w:r>
      <w:r>
        <w:rPr>
          <w:rFonts w:ascii="Palatino Linotype" w:eastAsia="Palatino Linotype" w:hAnsi="Palatino Linotype" w:cs="Palatino Linotype"/>
        </w:rPr>
        <w:t xml:space="preserve"> </w:t>
      </w:r>
      <w:r>
        <w:rPr>
          <w:rFonts w:ascii="Palatino Linotype" w:eastAsia="Palatino Linotype" w:hAnsi="Palatino Linotype" w:cs="Palatino Linotype"/>
          <w:i/>
        </w:rPr>
        <w:t>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rsidR="00FA2DC3" w:rsidRDefault="00D7436E">
      <w:pPr>
        <w:spacing w:after="0" w:line="24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Pr>
          <w:rFonts w:ascii="Palatino Linotype" w:eastAsia="Palatino Linotype" w:hAnsi="Palatino Linotype" w:cs="Palatino Linotype"/>
          <w:b/>
          <w:i/>
          <w:u w:val="single"/>
        </w:rPr>
        <w:t>con la finalidad de asegurar el cumplimiento de las obligaciones alimentarias que tienen los padres para con sus menores hijos.” (Sic)</w:t>
      </w:r>
    </w:p>
    <w:p w:rsidR="00FA2DC3" w:rsidRDefault="00FA2DC3">
      <w:pPr>
        <w:spacing w:after="0" w:line="360" w:lineRule="auto"/>
        <w:jc w:val="both"/>
        <w:rPr>
          <w:rFonts w:ascii="Palatino Linotype" w:eastAsia="Palatino Linotype" w:hAnsi="Palatino Linotype" w:cs="Palatino Linotype"/>
        </w:rPr>
      </w:pPr>
    </w:p>
    <w:p w:rsidR="00FA2DC3" w:rsidRDefault="00D7436E">
      <w:pPr>
        <w:spacing w:after="8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desprende que el registro de deudores alimentarios morosos no tiene por objeto su publicidad, sino por el contrario que sea un mecanismo para garantizar que los padres cumplan con su obligación de dar alimentos a los hijos en razón de su protección (interés superior del menor), en este sentido si bien dicho registro no es público, para el caso de proporcionar los que no están inscritos como deudores morosos y se clasifiquen los que sí se encuentran inscritos se puede arribar a la conclusión de quiénes sí se encuentran como deudores alimentarios morosos, por lo tanto, no es procedente entrega esta información ni de quienes están ni de quienes no están, por lo que resulta procedente clasificar la información solicitada de manera general como </w:t>
      </w:r>
      <w:r>
        <w:rPr>
          <w:rFonts w:ascii="Palatino Linotype" w:eastAsia="Palatino Linotype" w:hAnsi="Palatino Linotype" w:cs="Palatino Linotype"/>
          <w:b/>
        </w:rPr>
        <w:t>información confidencial en su totalidad</w:t>
      </w:r>
      <w:r>
        <w:rPr>
          <w:rFonts w:ascii="Palatino Linotype" w:eastAsia="Palatino Linotype" w:hAnsi="Palatino Linotype" w:cs="Palatino Linotype"/>
        </w:rPr>
        <w:t xml:space="preserve"> </w:t>
      </w:r>
      <w:r>
        <w:rPr>
          <w:rFonts w:ascii="Palatino Linotype" w:eastAsia="Palatino Linotype" w:hAnsi="Palatino Linotype" w:cs="Palatino Linotype"/>
        </w:rPr>
        <w:lastRenderedPageBreak/>
        <w:t xml:space="preserve">en términos del artículo 143, fracción I, de la Ley de Transparencia y Acceso a la Información Pública del Estado de México y Municipios. </w:t>
      </w:r>
    </w:p>
    <w:p w:rsidR="00FA2DC3" w:rsidRDefault="00D7436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otro lado, clasificar en su totalidad esa información de igual forma, da certeza del cumplimiento del requisito, toda vez que la clasificación y la inexistencia no pueden coexistir. A efecto de robustecer lo anterior, sirve de sustento el criterio orientador 29/10 emitido por el Instituto Nacional de Transparencia, Acceso a la Información y Protección de Datos Personales, INAI, el cual refiere lo siguiente: </w:t>
      </w:r>
    </w:p>
    <w:p w:rsidR="00FA2DC3" w:rsidRDefault="00D7436E">
      <w:pPr>
        <w:spacing w:before="240" w:after="0" w:line="240" w:lineRule="auto"/>
        <w:ind w:left="425" w:right="561"/>
        <w:jc w:val="both"/>
        <w:rPr>
          <w:rFonts w:ascii="Palatino Linotype" w:eastAsia="Palatino Linotype" w:hAnsi="Palatino Linotype" w:cs="Palatino Linotype"/>
          <w:i/>
        </w:rPr>
      </w:pPr>
      <w:r>
        <w:rPr>
          <w:rFonts w:ascii="Palatino Linotype" w:eastAsia="Palatino Linotype" w:hAnsi="Palatino Linotype" w:cs="Palatino Linotype"/>
          <w:i/>
        </w:rPr>
        <w:t xml:space="preserve">“La clasificación y la inexistencia de información son conceptos que no pueden coexistir.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w:t>
      </w:r>
    </w:p>
    <w:p w:rsidR="00FA2DC3" w:rsidRDefault="00D7436E">
      <w:pPr>
        <w:spacing w:after="0" w:line="240" w:lineRule="auto"/>
        <w:ind w:left="425" w:right="561"/>
        <w:jc w:val="both"/>
        <w:rPr>
          <w:rFonts w:ascii="Palatino Linotype" w:eastAsia="Palatino Linotype" w:hAnsi="Palatino Linotype" w:cs="Palatino Linotype"/>
          <w:i/>
        </w:rPr>
      </w:pPr>
      <w:r>
        <w:rPr>
          <w:rFonts w:ascii="Palatino Linotype" w:eastAsia="Palatino Linotype" w:hAnsi="Palatino Linotype" w:cs="Palatino Linotype"/>
          <w:i/>
        </w:rPr>
        <w:t xml:space="preserve">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(Énfasis añadido) </w:t>
      </w:r>
    </w:p>
    <w:p w:rsidR="00FA2DC3" w:rsidRDefault="00FA2DC3">
      <w:pPr>
        <w:tabs>
          <w:tab w:val="left" w:pos="4962"/>
        </w:tabs>
        <w:spacing w:after="0" w:line="360" w:lineRule="auto"/>
        <w:ind w:right="-3"/>
        <w:jc w:val="both"/>
        <w:rPr>
          <w:rFonts w:ascii="Palatino Linotype" w:eastAsia="Palatino Linotype" w:hAnsi="Palatino Linotype" w:cs="Palatino Linotype"/>
        </w:rPr>
      </w:pPr>
      <w:bookmarkStart w:id="5" w:name="_heading=h.1fob9te" w:colFirst="0" w:colLast="0"/>
      <w:bookmarkEnd w:id="5"/>
    </w:p>
    <w:bookmarkStart w:id="6" w:name="_heading=h.3znysh7" w:colFirst="0" w:colLast="0"/>
    <w:bookmarkEnd w:id="6"/>
    <w:p w:rsidR="00FA2DC3" w:rsidRDefault="00C72D46">
      <w:pPr>
        <w:tabs>
          <w:tab w:val="left" w:pos="4962"/>
        </w:tabs>
        <w:spacing w:after="0" w:line="360" w:lineRule="auto"/>
        <w:ind w:right="-3"/>
        <w:jc w:val="both"/>
        <w:rPr>
          <w:rFonts w:ascii="Palatino Linotype" w:eastAsia="Palatino Linotype" w:hAnsi="Palatino Linotype" w:cs="Palatino Linotype"/>
        </w:rPr>
        <w:sectPr w:rsidR="00FA2DC3">
          <w:headerReference w:type="even" r:id="rId9"/>
          <w:headerReference w:type="default" r:id="rId10"/>
          <w:footerReference w:type="default" r:id="rId11"/>
          <w:pgSz w:w="12240" w:h="15840"/>
          <w:pgMar w:top="1871" w:right="1327" w:bottom="2836" w:left="1985" w:header="709" w:footer="586" w:gutter="0"/>
          <w:pgNumType w:start="1"/>
          <w:cols w:space="720"/>
        </w:sectPr>
      </w:pPr>
      <w:r>
        <w:rPr>
          <w:rFonts w:ascii="Palatino Linotype" w:eastAsia="Palatino Linotype" w:hAnsi="Palatino Linotype" w:cs="Palatino Linotype"/>
          <w:noProof/>
          <w:lang w:val="es-MX"/>
        </w:rPr>
        <mc:AlternateContent>
          <mc:Choice Requires="wps">
            <w:drawing>
              <wp:anchor distT="0" distB="0" distL="114300" distR="114300" simplePos="0" relativeHeight="251659264" behindDoc="0" locked="0" layoutInCell="1" allowOverlap="1">
                <wp:simplePos x="0" y="0"/>
                <wp:positionH relativeFrom="column">
                  <wp:posOffset>69561</wp:posOffset>
                </wp:positionH>
                <wp:positionV relativeFrom="paragraph">
                  <wp:posOffset>320032</wp:posOffset>
                </wp:positionV>
                <wp:extent cx="5492338" cy="1864426"/>
                <wp:effectExtent l="38100" t="38100" r="70485" b="97790"/>
                <wp:wrapNone/>
                <wp:docPr id="1" name="Conector recto 1"/>
                <wp:cNvGraphicFramePr/>
                <a:graphic xmlns:a="http://schemas.openxmlformats.org/drawingml/2006/main">
                  <a:graphicData uri="http://schemas.microsoft.com/office/word/2010/wordprocessingShape">
                    <wps:wsp>
                      <wps:cNvCnPr/>
                      <wps:spPr>
                        <a:xfrm>
                          <a:off x="0" y="0"/>
                          <a:ext cx="5492338" cy="186442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079CA9"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25.2pt" to="437.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" strokecolor="black [3200]" strokeweight="2pt">
                <v:shadow on="t" color="black" opacity="24903f" origin=",.5" offset="0,.55556mm"/>
              </v:line>
            </w:pict>
          </mc:Fallback>
        </mc:AlternateContent>
      </w:r>
      <w:r w:rsidR="00D7436E">
        <w:rPr>
          <w:rFonts w:ascii="Palatino Linotype" w:eastAsia="Palatino Linotype" w:hAnsi="Palatino Linotype" w:cs="Palatino Linotype"/>
        </w:rPr>
        <w:t>Por las razones antes expuestas, se emite el presente Voto Particular.</w:t>
      </w:r>
    </w:p>
    <w:p w:rsidR="00FA2DC3" w:rsidRDefault="00FA2DC3">
      <w:pPr>
        <w:spacing w:before="240" w:after="240" w:line="360" w:lineRule="auto"/>
        <w:ind w:right="423"/>
        <w:jc w:val="both"/>
        <w:rPr>
          <w:rFonts w:ascii="Palatino Linotype" w:eastAsia="Palatino Linotype" w:hAnsi="Palatino Linotype" w:cs="Palatino Linotype"/>
        </w:rPr>
      </w:pPr>
    </w:p>
    <w:sectPr w:rsidR="00FA2DC3">
      <w:headerReference w:type="default" r:id="rId12"/>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36E" w:rsidRDefault="00D7436E">
      <w:pPr>
        <w:spacing w:after="0" w:line="240" w:lineRule="auto"/>
      </w:pPr>
      <w:r>
        <w:separator/>
      </w:r>
    </w:p>
  </w:endnote>
  <w:endnote w:type="continuationSeparator" w:id="0">
    <w:p w:rsidR="00D7436E" w:rsidRDefault="00D7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C3" w:rsidRDefault="00D7436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71383">
      <w:rPr>
        <w:rFonts w:ascii="Arial" w:eastAsia="Arial" w:hAnsi="Arial" w:cs="Arial"/>
        <w:b/>
        <w:noProof/>
        <w:color w:val="000000"/>
        <w:sz w:val="20"/>
        <w:szCs w:val="20"/>
      </w:rPr>
      <w:t>12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71383">
      <w:rPr>
        <w:rFonts w:ascii="Arial" w:eastAsia="Arial" w:hAnsi="Arial" w:cs="Arial"/>
        <w:b/>
        <w:noProof/>
        <w:color w:val="000000"/>
        <w:sz w:val="20"/>
        <w:szCs w:val="20"/>
      </w:rPr>
      <w:t>13</w:t>
    </w:r>
    <w:r>
      <w:rPr>
        <w:rFonts w:ascii="Arial" w:eastAsia="Arial" w:hAnsi="Arial" w:cs="Arial"/>
        <w:b/>
        <w:color w:val="000000"/>
        <w:sz w:val="20"/>
        <w:szCs w:val="20"/>
      </w:rPr>
      <w:fldChar w:fldCharType="end"/>
    </w:r>
  </w:p>
  <w:p w:rsidR="00FA2DC3" w:rsidRDefault="00FA2DC3">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36E" w:rsidRDefault="00D7436E">
      <w:pPr>
        <w:spacing w:after="0" w:line="240" w:lineRule="auto"/>
      </w:pPr>
      <w:r>
        <w:separator/>
      </w:r>
    </w:p>
  </w:footnote>
  <w:footnote w:type="continuationSeparator" w:id="0">
    <w:p w:rsidR="00D7436E" w:rsidRDefault="00D74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C3" w:rsidRDefault="00D7436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30143759" cy="30143759"/>
              <wp:effectExtent l="0" t="0" r="0" b="0"/>
              <wp:wrapNone/>
              <wp:docPr id="9" name="Rectángulo 9"/>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FA2DC3" w:rsidRDefault="00D7436E">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30143759" cy="30143759"/>
              <wp:effectExtent b="0" l="0" r="0" t="0"/>
              <wp:wrapNone/>
              <wp:docPr id="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0143759" cy="30143759"/>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C3" w:rsidRDefault="00D7436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-695322</wp:posOffset>
          </wp:positionH>
          <wp:positionV relativeFrom="paragraph">
            <wp:posOffset>-433065</wp:posOffset>
          </wp:positionV>
          <wp:extent cx="7510628" cy="988377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FA2DC3" w:rsidRDefault="00FA2DC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A2DC3" w:rsidRDefault="00FA2DC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A2DC3" w:rsidRDefault="00D7436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FA2DC3" w:rsidRDefault="00D7436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sz w:val="20"/>
        <w:szCs w:val="20"/>
      </w:rPr>
    </w:pPr>
    <w:r>
      <w:rPr>
        <w:rFonts w:ascii="Palatino Linotype" w:eastAsia="Palatino Linotype" w:hAnsi="Palatino Linotype" w:cs="Palatino Linotype"/>
        <w:b/>
        <w:color w:val="000000"/>
        <w:sz w:val="20"/>
        <w:szCs w:val="20"/>
      </w:rPr>
      <w:t xml:space="preserve">   RECURSOS DE REVISIÓN 01421/INFOEM/IP/RR/202</w:t>
    </w:r>
    <w:r>
      <w:rPr>
        <w:rFonts w:ascii="Palatino Linotype" w:eastAsia="Palatino Linotype" w:hAnsi="Palatino Linotype" w:cs="Palatino Linotype"/>
        <w:b/>
        <w:sz w:val="20"/>
        <w:szCs w:val="20"/>
      </w:rPr>
      <w:t>3</w:t>
    </w:r>
  </w:p>
  <w:p w:rsidR="00FA2DC3" w:rsidRDefault="00FA2DC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C3" w:rsidRDefault="00FA2DC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A2DC3" w:rsidRDefault="00FA2DC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A2DC3" w:rsidRDefault="00FA2DC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A2DC3" w:rsidRDefault="00FA2DC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D2242"/>
    <w:multiLevelType w:val="multilevel"/>
    <w:tmpl w:val="DA96692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153215"/>
    <w:multiLevelType w:val="multilevel"/>
    <w:tmpl w:val="0CBAA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3925D2"/>
    <w:multiLevelType w:val="multilevel"/>
    <w:tmpl w:val="384E5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C060C4"/>
    <w:multiLevelType w:val="multilevel"/>
    <w:tmpl w:val="F9FCF9D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C3"/>
    <w:rsid w:val="006C3579"/>
    <w:rsid w:val="00C72D46"/>
    <w:rsid w:val="00D7436E"/>
    <w:rsid w:val="00E71383"/>
    <w:rsid w:val="00FA2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2C434-D2CC-4374-9057-704162FA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8620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0AB"/>
  </w:style>
  <w:style w:type="paragraph" w:styleId="Encabezado">
    <w:name w:val="header"/>
    <w:basedOn w:val="Normal"/>
    <w:link w:val="EncabezadoCar"/>
    <w:uiPriority w:val="99"/>
    <w:unhideWhenUsed/>
    <w:rsid w:val="008620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0A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620AB"/>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620AB"/>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pomex.org.mx/recursos/ipo/files_ipo/2014/8/11/630bc7787b59af912a96a9e1bca1c77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aXHkbSG8mdafiWyIcOC6GaM6Og==">CgMxLjAyDmguNHMycWFwZmo2cWozMghoLmdqZGd4czIJaC4zMGowemxsMg1oLmI0aWl5NGlqMHpxMgloLjFmb2I5dGUyCWguM3pueXNoNzgAciExbWYteVB5UWg3T3ZXWjd2QWE1MjVPdS1ad1cxRE8tT0U=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3577</Words>
  <Characters>19677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3</cp:revision>
  <cp:lastPrinted>2024-03-05T15:41:00Z</cp:lastPrinted>
  <dcterms:created xsi:type="dcterms:W3CDTF">2024-02-29T18:49:00Z</dcterms:created>
  <dcterms:modified xsi:type="dcterms:W3CDTF">2024-03-05T15:44:00Z</dcterms:modified>
</cp:coreProperties>
</file>