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93" w:rsidRDefault="00F92293">
      <w:pPr>
        <w:spacing w:after="0" w:line="360" w:lineRule="auto"/>
        <w:jc w:val="both"/>
        <w:rPr>
          <w:rFonts w:ascii="Palatino Linotype" w:eastAsia="Palatino Linotype" w:hAnsi="Palatino Linotype" w:cs="Palatino Linotype"/>
          <w:b/>
        </w:rPr>
      </w:pPr>
      <w:bookmarkStart w:id="0" w:name="_heading=h.4s2qapfj6qj3" w:colFirst="0" w:colLast="0"/>
      <w:bookmarkEnd w:id="0"/>
    </w:p>
    <w:p w:rsidR="00F92293" w:rsidRDefault="00100BAE">
      <w:pPr>
        <w:spacing w:after="0" w:line="360" w:lineRule="auto"/>
        <w:jc w:val="both"/>
        <w:rPr>
          <w:rFonts w:ascii="Palatino Linotype" w:eastAsia="Palatino Linotype" w:hAnsi="Palatino Linotype" w:cs="Palatino Linotype"/>
          <w:b/>
        </w:rPr>
      </w:pPr>
      <w:bookmarkStart w:id="1" w:name="_heading=h.gjdgxs" w:colFirst="0" w:colLast="0"/>
      <w:bookmarkEnd w:id="1"/>
      <w:r>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rPr>
        <w:t>DÉCIMA SEXTA SESIÓN ORDINARIA DEL NUEVE DE MAYO DE DOS MIL VEINTICUATRO, EN EL RECURSO DE REVISIÓN 08399/INFOEM/IP/RR/2023.</w:t>
      </w:r>
    </w:p>
    <w:p w:rsidR="00F92293" w:rsidRDefault="00F92293">
      <w:pPr>
        <w:spacing w:after="0" w:line="360" w:lineRule="auto"/>
        <w:jc w:val="both"/>
        <w:rPr>
          <w:rFonts w:ascii="Palatino Linotype" w:eastAsia="Palatino Linotype" w:hAnsi="Palatino Linotype" w:cs="Palatino Linotype"/>
          <w:b/>
        </w:rPr>
      </w:pPr>
    </w:p>
    <w:p w:rsidR="00F92293" w:rsidRDefault="00100BA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fundamento en lo dispuesto por el artículo 14, fracciones X y XI, del Reglamento del Instituto de Transparencia, Acceso a la In</w:t>
      </w:r>
      <w:r>
        <w:rPr>
          <w:rFonts w:ascii="Palatino Linotype" w:eastAsia="Palatino Linotype" w:hAnsi="Palatino Linotype" w:cs="Palatino Linotype"/>
        </w:rPr>
        <w:t xml:space="preserve">formación Pública y Protección de Datos Personales del Estado de México, la suscrita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respecto a la resolución dictada en el recurso de revisión número </w:t>
      </w:r>
      <w:r>
        <w:rPr>
          <w:rFonts w:ascii="Palatino Linotype" w:eastAsia="Palatino Linotype" w:hAnsi="Palatino Linotype" w:cs="Palatino Linotype"/>
          <w:b/>
        </w:rPr>
        <w:t>08399/INFOEM/IP/RR/2023</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pronunciada por el Pleno de este Instituto ante el proyect</w:t>
      </w:r>
      <w:r>
        <w:rPr>
          <w:rFonts w:ascii="Palatino Linotype" w:eastAsia="Palatino Linotype" w:hAnsi="Palatino Linotype" w:cs="Palatino Linotype"/>
        </w:rPr>
        <w:t>o presentado por la suscrita, el cual es al tenor siguiente:</w:t>
      </w:r>
    </w:p>
    <w:p w:rsidR="00F92293" w:rsidRDefault="00F92293">
      <w:pPr>
        <w:spacing w:after="0" w:line="360" w:lineRule="auto"/>
        <w:jc w:val="both"/>
        <w:rPr>
          <w:rFonts w:ascii="Palatino Linotype" w:eastAsia="Palatino Linotype" w:hAnsi="Palatino Linotype" w:cs="Palatino Linotype"/>
        </w:rPr>
      </w:pPr>
    </w:p>
    <w:p w:rsidR="00F92293" w:rsidRDefault="00100BAE">
      <w:pPr>
        <w:numPr>
          <w:ilvl w:val="0"/>
          <w:numId w:val="2"/>
        </w:numPr>
        <w:spacing w:after="0" w:line="360" w:lineRule="auto"/>
        <w:ind w:left="567" w:hanging="141"/>
        <w:jc w:val="both"/>
        <w:rPr>
          <w:rFonts w:ascii="Palatino Linotype" w:eastAsia="Palatino Linotype" w:hAnsi="Palatino Linotype" w:cs="Palatino Linotype"/>
          <w:b/>
        </w:rPr>
      </w:pPr>
      <w:r>
        <w:rPr>
          <w:rFonts w:ascii="Palatino Linotype" w:eastAsia="Palatino Linotype" w:hAnsi="Palatino Linotype" w:cs="Palatino Linotype"/>
          <w:b/>
        </w:rPr>
        <w:t>Antecedentes.</w:t>
      </w:r>
    </w:p>
    <w:p w:rsidR="00F92293" w:rsidRDefault="00F92293">
      <w:pPr>
        <w:spacing w:after="0" w:line="360" w:lineRule="auto"/>
        <w:ind w:left="567"/>
        <w:jc w:val="both"/>
        <w:rPr>
          <w:rFonts w:ascii="Palatino Linotype" w:eastAsia="Palatino Linotype" w:hAnsi="Palatino Linotype" w:cs="Palatino Linotype"/>
          <w:b/>
        </w:rPr>
      </w:pPr>
    </w:p>
    <w:p w:rsidR="00F92293" w:rsidRDefault="00100BAE">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asunto que nos ocupa, la parte Recurrente solicitó a la Secretaría de Finanzas, en su carácter de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proporcionará la siguiente información: </w:t>
      </w:r>
    </w:p>
    <w:p w:rsidR="00E02AA4" w:rsidRPr="00E02AA4" w:rsidRDefault="00E02AA4" w:rsidP="00E02AA4">
      <w:pPr>
        <w:pStyle w:val="Prrafodelista"/>
        <w:numPr>
          <w:ilvl w:val="0"/>
          <w:numId w:val="4"/>
        </w:numPr>
        <w:spacing w:before="240" w:after="240" w:line="360" w:lineRule="auto"/>
        <w:contextualSpacing/>
        <w:jc w:val="both"/>
        <w:rPr>
          <w:rFonts w:ascii="Palatino Linotype" w:hAnsi="Palatino Linotype"/>
          <w:sz w:val="22"/>
          <w:szCs w:val="22"/>
        </w:rPr>
      </w:pPr>
      <w:r w:rsidRPr="00E02AA4">
        <w:rPr>
          <w:rFonts w:ascii="Palatino Linotype" w:hAnsi="Palatino Linotype"/>
          <w:sz w:val="22"/>
          <w:szCs w:val="22"/>
        </w:rPr>
        <w:t xml:space="preserve">Documento firmado por la Secretaría de Finanzas y del Subsecretario de Planeación y Presupuesto de la Secretaría de Finanzas, donde se informe si se tiene conocimiento de los actos de corrupción que desde el nombramiento de </w:t>
      </w:r>
      <w:r>
        <w:rPr>
          <w:rFonts w:ascii="Palatino Linotype" w:hAnsi="Palatino Linotype"/>
          <w:sz w:val="22"/>
          <w:szCs w:val="22"/>
        </w:rPr>
        <w:t>las personas señaladas en la solicitud,</w:t>
      </w:r>
      <w:r w:rsidRPr="00E02AA4">
        <w:rPr>
          <w:rFonts w:ascii="Palatino Linotype" w:hAnsi="Palatino Linotype"/>
          <w:sz w:val="22"/>
          <w:szCs w:val="22"/>
        </w:rPr>
        <w:t xml:space="preserve"> están generando al interior de la Dirección General de Evaluación del Desempeño Institucional de la Secretaría de Finanzas.</w:t>
      </w:r>
    </w:p>
    <w:p w:rsidR="00E02AA4" w:rsidRPr="00E02AA4" w:rsidRDefault="00E02AA4" w:rsidP="00E02AA4">
      <w:pPr>
        <w:pStyle w:val="Prrafodelista"/>
        <w:numPr>
          <w:ilvl w:val="0"/>
          <w:numId w:val="4"/>
        </w:numPr>
        <w:spacing w:before="240" w:after="240" w:line="360" w:lineRule="auto"/>
        <w:contextualSpacing/>
        <w:jc w:val="both"/>
        <w:rPr>
          <w:rFonts w:ascii="Palatino Linotype" w:hAnsi="Palatino Linotype"/>
          <w:sz w:val="22"/>
          <w:szCs w:val="22"/>
        </w:rPr>
      </w:pPr>
      <w:r w:rsidRPr="00E02AA4">
        <w:rPr>
          <w:rFonts w:ascii="Palatino Linotype" w:hAnsi="Palatino Linotype"/>
          <w:sz w:val="22"/>
          <w:szCs w:val="22"/>
        </w:rPr>
        <w:t>P</w:t>
      </w:r>
      <w:r>
        <w:rPr>
          <w:rFonts w:ascii="Palatino Linotype" w:hAnsi="Palatino Linotype"/>
          <w:sz w:val="22"/>
          <w:szCs w:val="22"/>
        </w:rPr>
        <w:t>roceso de contratación de las personas referidas en la solicitud,</w:t>
      </w:r>
      <w:r w:rsidRPr="00E02AA4">
        <w:rPr>
          <w:rFonts w:ascii="Palatino Linotype" w:hAnsi="Palatino Linotype"/>
          <w:sz w:val="22"/>
          <w:szCs w:val="22"/>
        </w:rPr>
        <w:t xml:space="preserve"> en dichas Unidades. </w:t>
      </w:r>
    </w:p>
    <w:p w:rsidR="00E02AA4" w:rsidRPr="00E02AA4" w:rsidRDefault="00E02AA4" w:rsidP="00E02AA4">
      <w:pPr>
        <w:pStyle w:val="Prrafodelista"/>
        <w:numPr>
          <w:ilvl w:val="0"/>
          <w:numId w:val="4"/>
        </w:numPr>
        <w:spacing w:before="240" w:after="240" w:line="360" w:lineRule="auto"/>
        <w:contextualSpacing/>
        <w:jc w:val="both"/>
        <w:rPr>
          <w:rFonts w:ascii="Palatino Linotype" w:hAnsi="Palatino Linotype"/>
          <w:sz w:val="22"/>
          <w:szCs w:val="22"/>
        </w:rPr>
      </w:pPr>
      <w:r w:rsidRPr="00E02AA4">
        <w:rPr>
          <w:rFonts w:ascii="Palatino Linotype" w:hAnsi="Palatino Linotype"/>
          <w:sz w:val="22"/>
          <w:szCs w:val="22"/>
        </w:rPr>
        <w:lastRenderedPageBreak/>
        <w:t xml:space="preserve">Documento firmado por la Secretaría de Finanzas, si dentro de las funciones de </w:t>
      </w:r>
      <w:r>
        <w:rPr>
          <w:rFonts w:ascii="Palatino Linotype" w:hAnsi="Palatino Linotype"/>
          <w:sz w:val="22"/>
          <w:szCs w:val="22"/>
        </w:rPr>
        <w:t>las personas referidas en la solicitud, la</w:t>
      </w:r>
      <w:r w:rsidRPr="00E02AA4">
        <w:rPr>
          <w:rFonts w:ascii="Palatino Linotype" w:hAnsi="Palatino Linotype"/>
          <w:sz w:val="22"/>
          <w:szCs w:val="22"/>
        </w:rPr>
        <w:t xml:space="preserve"> Directora General de Evaluación del Desempeño Institucional adscrita a la Subsecretaría de Planeación y Presupuesto, se encuentra la de intimidar, amedrentar y sobajar al personal de dicha Unidad, es necesario que se conteste de manera afirmativa o negativa, no es necesario que se remitan las funciones del Manual y el Reglamento, es necesario que se conteste de manera afirmativa o negativa a dicho requerimiento. </w:t>
      </w:r>
    </w:p>
    <w:p w:rsidR="00E02AA4" w:rsidRPr="00E02AA4" w:rsidRDefault="00E02AA4" w:rsidP="00E02AA4">
      <w:pPr>
        <w:pStyle w:val="Prrafodelista"/>
        <w:numPr>
          <w:ilvl w:val="0"/>
          <w:numId w:val="4"/>
        </w:numPr>
        <w:spacing w:before="240" w:after="240" w:line="360" w:lineRule="auto"/>
        <w:contextualSpacing/>
        <w:jc w:val="both"/>
        <w:rPr>
          <w:rFonts w:ascii="Palatino Linotype" w:hAnsi="Palatino Linotype"/>
          <w:sz w:val="22"/>
          <w:szCs w:val="22"/>
        </w:rPr>
      </w:pPr>
      <w:r w:rsidRPr="00E02AA4">
        <w:rPr>
          <w:rFonts w:ascii="Palatino Linotype" w:hAnsi="Palatino Linotype"/>
          <w:sz w:val="22"/>
          <w:szCs w:val="22"/>
        </w:rPr>
        <w:t xml:space="preserve">Conocer, el proceso de contratación de </w:t>
      </w:r>
      <w:r>
        <w:rPr>
          <w:rFonts w:ascii="Palatino Linotype" w:hAnsi="Palatino Linotype"/>
          <w:sz w:val="22"/>
          <w:szCs w:val="22"/>
        </w:rPr>
        <w:t>la persona referida en la solicitud</w:t>
      </w:r>
      <w:r w:rsidRPr="00E02AA4">
        <w:rPr>
          <w:rFonts w:ascii="Palatino Linotype" w:hAnsi="Palatino Linotype"/>
          <w:sz w:val="22"/>
          <w:szCs w:val="22"/>
        </w:rPr>
        <w:t>, por quien fue designada y cuál fue el proceso de contratación, así como el nombramiento de la misma, al igual que el expediente de contratación.</w:t>
      </w:r>
    </w:p>
    <w:p w:rsidR="00F92293" w:rsidRDefault="00100BA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Subsecretaría de Planeación y Presupuesto informó que la contratación</w:t>
      </w:r>
      <w:r>
        <w:rPr>
          <w:rFonts w:ascii="Palatino Linotype" w:eastAsia="Palatino Linotype" w:hAnsi="Palatino Linotype" w:cs="Palatino Linotype"/>
        </w:rPr>
        <w:t xml:space="preserve"> de las Servidoras Públicas referidas en la solicitud se realizó conforme a lo señalado por el artículo 8 de la Ley de Trabajo de los Servidores Públicos del Estado y Municipios y en el procedimiento de alta del Manual de Normas y Procedimientos de Desarro</w:t>
      </w:r>
      <w:r>
        <w:rPr>
          <w:rFonts w:ascii="Palatino Linotype" w:eastAsia="Palatino Linotype" w:hAnsi="Palatino Linotype" w:cs="Palatino Linotype"/>
        </w:rPr>
        <w:t>llo y Administración de Personal, normativas que pueden ser consultados en las siguientes ligas electrónicas:</w:t>
      </w:r>
    </w:p>
    <w:p w:rsidR="00F92293" w:rsidRDefault="00100BA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12130" cy="87439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874395"/>
                    </a:xfrm>
                    <a:prstGeom prst="rect">
                      <a:avLst/>
                    </a:prstGeom>
                    <a:ln/>
                  </pic:spPr>
                </pic:pic>
              </a:graphicData>
            </a:graphic>
          </wp:inline>
        </w:drawing>
      </w:r>
    </w:p>
    <w:p w:rsidR="00F92293" w:rsidRDefault="00100BA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cuanto al nombramiento y el expediente de contratación,</w:t>
      </w:r>
      <w:r w:rsidR="00E02AA4" w:rsidRPr="00E02AA4">
        <w:rPr>
          <w:rFonts w:ascii="Palatino Linotype" w:eastAsia="Palatino Linotype" w:hAnsi="Palatino Linotype" w:cs="Palatino Linotype"/>
        </w:rPr>
        <w:t xml:space="preserve"> señaló</w:t>
      </w:r>
      <w:r>
        <w:rPr>
          <w:rFonts w:ascii="Palatino Linotype" w:eastAsia="Palatino Linotype" w:hAnsi="Palatino Linotype" w:cs="Palatino Linotype"/>
        </w:rPr>
        <w:t xml:space="preserve"> de la persona referida en la solicitud de acceso a la información pública,</w:t>
      </w:r>
      <w:r w:rsidR="00E02AA4">
        <w:rPr>
          <w:rFonts w:ascii="Palatino Linotype" w:eastAsia="Palatino Linotype" w:hAnsi="Palatino Linotype" w:cs="Palatino Linotype"/>
        </w:rPr>
        <w:t xml:space="preserve"> </w:t>
      </w:r>
      <w:r>
        <w:rPr>
          <w:rFonts w:ascii="Palatino Linotype" w:eastAsia="Palatino Linotype" w:hAnsi="Palatino Linotype" w:cs="Palatino Linotype"/>
        </w:rPr>
        <w:t xml:space="preserve">que de la búsqueda en los archivos de la Unidad de Seguimiento de Programas y Apoyo Administrativo, no se encontró documento </w:t>
      </w:r>
      <w:r>
        <w:rPr>
          <w:rFonts w:ascii="Palatino Linotype" w:eastAsia="Palatino Linotype" w:hAnsi="Palatino Linotype" w:cs="Palatino Linotype"/>
        </w:rPr>
        <w:lastRenderedPageBreak/>
        <w:t xml:space="preserve">relacionado con dicho nombramiento ni tampoco se localizó algún documento denominado expediente de contratación. </w:t>
      </w:r>
    </w:p>
    <w:p w:rsidR="00F92293" w:rsidRDefault="00100BA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su part</w:t>
      </w:r>
      <w:r>
        <w:rPr>
          <w:rFonts w:ascii="Palatino Linotype" w:eastAsia="Palatino Linotype" w:hAnsi="Palatino Linotype" w:cs="Palatino Linotype"/>
        </w:rPr>
        <w:t xml:space="preserve">e la Dirección General de Personal de la Secretaría de Finanzas; que el procedimiento de alta o reingreso de servidores públicos y servidoras publicas generales y de confianza, </w:t>
      </w:r>
      <w:hyperlink r:id="rId9">
        <w:r>
          <w:rPr>
            <w:rFonts w:ascii="Palatino Linotype" w:eastAsia="Palatino Linotype" w:hAnsi="Palatino Linotype" w:cs="Palatino Linotype"/>
            <w:color w:val="0000FF"/>
            <w:u w:val="single"/>
          </w:rPr>
          <w:t>https://finanzas.edomex.gob.mx/sites/finanzas.edomes.gob.mx/files/files/Servidores%20Publicos/MANUAL/Procedimientos/021_2019.pdf</w:t>
        </w:r>
      </w:hyperlink>
      <w:r>
        <w:rPr>
          <w:rFonts w:ascii="Palatino Linotype" w:eastAsia="Palatino Linotype" w:hAnsi="Palatino Linotype" w:cs="Palatino Linotype"/>
        </w:rPr>
        <w:t>, del Manual de Normas y Procedimientos de Desarrollo y Adm</w:t>
      </w:r>
      <w:r>
        <w:rPr>
          <w:rFonts w:ascii="Palatino Linotype" w:eastAsia="Palatino Linotype" w:hAnsi="Palatino Linotype" w:cs="Palatino Linotype"/>
        </w:rPr>
        <w:t>inistración de Personal.</w:t>
      </w:r>
    </w:p>
    <w:p w:rsidR="00F92293" w:rsidRDefault="00100BA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Una vez conocida la respuesta la parte Recurrente se inconforma en lo medular por la negativa de la información solicitada</w:t>
      </w:r>
    </w:p>
    <w:p w:rsidR="00F92293" w:rsidRDefault="00100BAE">
      <w:pPr>
        <w:spacing w:after="0"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informe justificado, ratificó su respuesta inicial.</w:t>
      </w:r>
    </w:p>
    <w:p w:rsidR="00F92293" w:rsidRDefault="00F92293">
      <w:pPr>
        <w:spacing w:after="0" w:line="360" w:lineRule="auto"/>
        <w:jc w:val="both"/>
        <w:rPr>
          <w:rFonts w:ascii="Palatino Linotype" w:eastAsia="Palatino Linotype" w:hAnsi="Palatino Linotype" w:cs="Palatino Linotype"/>
        </w:rPr>
      </w:pPr>
    </w:p>
    <w:p w:rsidR="00F92293" w:rsidRDefault="00100BAE">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la ponencia Resolutora una vez analizadas las constancias que obran en el expediente electrónico del SAIMEX, determina que los motivos de inconformidad de la parte Recurrente son fundados, por lo que modifica la respuesta y ordena lo siguien</w:t>
      </w:r>
      <w:r>
        <w:rPr>
          <w:rFonts w:ascii="Palatino Linotype" w:eastAsia="Palatino Linotype" w:hAnsi="Palatino Linotype" w:cs="Palatino Linotype"/>
        </w:rPr>
        <w:t>te:</w:t>
      </w:r>
    </w:p>
    <w:p w:rsidR="00F92293" w:rsidRDefault="00100BAE">
      <w:pPr>
        <w:pBdr>
          <w:top w:val="nil"/>
          <w:left w:val="nil"/>
          <w:bottom w:val="nil"/>
          <w:right w:val="nil"/>
          <w:between w:val="nil"/>
        </w:pBdr>
        <w:spacing w:after="0" w:line="240" w:lineRule="auto"/>
        <w:ind w:left="567" w:right="564"/>
        <w:jc w:val="both"/>
        <w:rPr>
          <w:rFonts w:ascii="Palatino Linotype" w:eastAsia="Palatino Linotype" w:hAnsi="Palatino Linotype" w:cs="Palatino Linotype"/>
          <w:i/>
          <w:color w:val="000000"/>
        </w:rPr>
      </w:pP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Se</w:t>
      </w:r>
      <w:r>
        <w:rPr>
          <w:rFonts w:ascii="Palatino Linotype" w:eastAsia="Palatino Linotype" w:hAnsi="Palatino Linotype" w:cs="Palatino Linotype"/>
          <w:b/>
          <w:i/>
        </w:rPr>
        <w:t xml:space="preserve"> ORDENA </w:t>
      </w:r>
      <w:r>
        <w:rPr>
          <w:rFonts w:ascii="Palatino Linotype" w:eastAsia="Palatino Linotype" w:hAnsi="Palatino Linotype" w:cs="Palatino Linotype"/>
          <w:i/>
        </w:rPr>
        <w:t xml:space="preserve">a la </w:t>
      </w:r>
      <w:r>
        <w:rPr>
          <w:rFonts w:ascii="Palatino Linotype" w:eastAsia="Palatino Linotype" w:hAnsi="Palatino Linotype" w:cs="Palatino Linotype"/>
          <w:b/>
          <w:i/>
        </w:rPr>
        <w:t xml:space="preserve">Secretaría de Finanzas y a la Oficialía Mayor </w:t>
      </w:r>
      <w:r>
        <w:rPr>
          <w:rFonts w:ascii="Palatino Linotype" w:eastAsia="Palatino Linotype" w:hAnsi="Palatino Linotype" w:cs="Palatino Linotype"/>
          <w:i/>
        </w:rPr>
        <w:t xml:space="preserve">en términos del </w:t>
      </w:r>
      <w:r>
        <w:rPr>
          <w:rFonts w:ascii="Palatino Linotype" w:eastAsia="Palatino Linotype" w:hAnsi="Palatino Linotype" w:cs="Palatino Linotype"/>
          <w:b/>
          <w:i/>
        </w:rPr>
        <w:t>Acuerdo mediante el cual se determina que funjan como Sujetos Obligados con competencia concurrente</w:t>
      </w:r>
      <w:r>
        <w:rPr>
          <w:rFonts w:ascii="Palatino Linotype" w:eastAsia="Palatino Linotype" w:hAnsi="Palatino Linotype" w:cs="Palatino Linotype"/>
          <w:i/>
        </w:rPr>
        <w:t xml:space="preserve"> a que,</w:t>
      </w:r>
      <w:r>
        <w:rPr>
          <w:rFonts w:ascii="Palatino Linotype" w:eastAsia="Palatino Linotype" w:hAnsi="Palatino Linotype" w:cs="Palatino Linotype"/>
          <w:b/>
          <w:i/>
        </w:rPr>
        <w:t xml:space="preserve"> </w:t>
      </w:r>
      <w:r>
        <w:rPr>
          <w:rFonts w:ascii="Palatino Linotype" w:eastAsia="Palatino Linotype" w:hAnsi="Palatino Linotype" w:cs="Palatino Linotype"/>
          <w:i/>
        </w:rPr>
        <w:t xml:space="preserve">en términos del Considerando Cuarto y Quinto, haga entrega vía Sistema de Acceso a la Información Mexiquense (SAIMEX), en versión pública </w:t>
      </w:r>
      <w:r>
        <w:rPr>
          <w:rFonts w:ascii="Palatino Linotype" w:eastAsia="Palatino Linotype" w:hAnsi="Palatino Linotype" w:cs="Palatino Linotype"/>
          <w:i/>
          <w:highlight w:val="white"/>
        </w:rPr>
        <w:t xml:space="preserve">de lo siguiente: </w:t>
      </w:r>
    </w:p>
    <w:p w:rsidR="00F92293" w:rsidRDefault="00F92293">
      <w:pPr>
        <w:pBdr>
          <w:top w:val="nil"/>
          <w:left w:val="nil"/>
          <w:bottom w:val="nil"/>
          <w:right w:val="nil"/>
          <w:between w:val="nil"/>
        </w:pBdr>
        <w:spacing w:line="240" w:lineRule="auto"/>
        <w:ind w:left="567" w:right="564"/>
        <w:jc w:val="both"/>
        <w:rPr>
          <w:rFonts w:ascii="Palatino Linotype" w:eastAsia="Palatino Linotype" w:hAnsi="Palatino Linotype" w:cs="Palatino Linotype"/>
          <w:i/>
          <w:color w:val="000000"/>
        </w:rPr>
      </w:pPr>
    </w:p>
    <w:p w:rsidR="00F92293" w:rsidRDefault="00100BAE">
      <w:pPr>
        <w:numPr>
          <w:ilvl w:val="0"/>
          <w:numId w:val="1"/>
        </w:numPr>
        <w:pBdr>
          <w:top w:val="nil"/>
          <w:left w:val="nil"/>
          <w:bottom w:val="nil"/>
          <w:right w:val="nil"/>
          <w:between w:val="nil"/>
        </w:pBdr>
        <w:spacing w:after="0" w:line="240" w:lineRule="auto"/>
        <w:ind w:left="567" w:right="564"/>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Documentos que acrediten la relación laboral con el </w:t>
      </w:r>
      <w:r>
        <w:rPr>
          <w:rFonts w:ascii="Palatino Linotype" w:eastAsia="Palatino Linotype" w:hAnsi="Palatino Linotype" w:cs="Palatino Linotype"/>
          <w:b/>
          <w:i/>
          <w:color w:val="000000"/>
        </w:rPr>
        <w:t>SUJETO OBLIGADO</w:t>
      </w:r>
      <w:r>
        <w:rPr>
          <w:rFonts w:ascii="Palatino Linotype" w:eastAsia="Palatino Linotype" w:hAnsi="Palatino Linotype" w:cs="Palatino Linotype"/>
          <w:i/>
          <w:color w:val="000000"/>
        </w:rPr>
        <w:t xml:space="preserve">, de la persona referida en la solicitud de acceso a la información pública, vigente al tres de noviembre del año dos mil veintitrés (Contrato o Formato </w:t>
      </w:r>
      <w:r>
        <w:rPr>
          <w:rFonts w:ascii="Palatino Linotype" w:eastAsia="Palatino Linotype" w:hAnsi="Palatino Linotype" w:cs="Palatino Linotype"/>
          <w:i/>
          <w:smallCaps/>
          <w:color w:val="000000"/>
        </w:rPr>
        <w:t>Ú</w:t>
      </w:r>
      <w:r>
        <w:rPr>
          <w:rFonts w:ascii="Palatino Linotype" w:eastAsia="Palatino Linotype" w:hAnsi="Palatino Linotype" w:cs="Palatino Linotype"/>
          <w:i/>
          <w:color w:val="000000"/>
        </w:rPr>
        <w:t xml:space="preserve">nico de Movimientos de Personal) </w:t>
      </w:r>
    </w:p>
    <w:p w:rsidR="00F92293" w:rsidRDefault="00100BAE">
      <w:pPr>
        <w:numPr>
          <w:ilvl w:val="0"/>
          <w:numId w:val="1"/>
        </w:numPr>
        <w:pBdr>
          <w:top w:val="nil"/>
          <w:left w:val="nil"/>
          <w:bottom w:val="nil"/>
          <w:right w:val="nil"/>
          <w:between w:val="nil"/>
        </w:pBdr>
        <w:spacing w:after="0" w:line="240" w:lineRule="auto"/>
        <w:ind w:left="567" w:right="564"/>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Expediente generado, derivado del procedimiento de contratación de l</w:t>
      </w:r>
      <w:r>
        <w:rPr>
          <w:rFonts w:ascii="Palatino Linotype" w:eastAsia="Palatino Linotype" w:hAnsi="Palatino Linotype" w:cs="Palatino Linotype"/>
          <w:i/>
          <w:color w:val="000000"/>
        </w:rPr>
        <w:t xml:space="preserve">a persona referida en la solicitud de acceso a la información pública, al tres de noviembre del año dos mil veintitrés. </w:t>
      </w:r>
    </w:p>
    <w:p w:rsidR="00F92293" w:rsidRDefault="00F92293">
      <w:pPr>
        <w:pBdr>
          <w:top w:val="nil"/>
          <w:left w:val="nil"/>
          <w:bottom w:val="nil"/>
          <w:right w:val="nil"/>
          <w:between w:val="nil"/>
        </w:pBdr>
        <w:spacing w:after="0" w:line="240" w:lineRule="auto"/>
        <w:ind w:left="720" w:right="564"/>
        <w:jc w:val="both"/>
        <w:rPr>
          <w:rFonts w:ascii="Palatino Linotype" w:eastAsia="Palatino Linotype" w:hAnsi="Palatino Linotype" w:cs="Palatino Linotype"/>
          <w:i/>
        </w:rPr>
      </w:pPr>
    </w:p>
    <w:p w:rsidR="00F92293" w:rsidRDefault="00100BAE">
      <w:pPr>
        <w:pBdr>
          <w:top w:val="nil"/>
          <w:left w:val="nil"/>
          <w:bottom w:val="nil"/>
          <w:right w:val="nil"/>
          <w:between w:val="nil"/>
        </w:pBdr>
        <w:tabs>
          <w:tab w:val="left" w:pos="851"/>
        </w:tabs>
        <w:spacing w:after="0" w:line="240" w:lineRule="auto"/>
        <w:ind w:left="567" w:right="564"/>
        <w:jc w:val="both"/>
        <w:rPr>
          <w:rFonts w:ascii="Palatino Linotype" w:eastAsia="Palatino Linotype" w:hAnsi="Palatino Linotype" w:cs="Palatino Linotype"/>
          <w:i/>
          <w:color w:val="000000"/>
        </w:rPr>
      </w:pPr>
      <w:bookmarkStart w:id="2" w:name="_heading=h.tyjcwt" w:colFirst="0" w:colLast="0"/>
      <w:bookmarkEnd w:id="2"/>
      <w:r>
        <w:rPr>
          <w:rFonts w:ascii="Palatino Linotype" w:eastAsia="Palatino Linotype" w:hAnsi="Palatino Linotype" w:cs="Palatino Linotype"/>
          <w:i/>
          <w:color w:val="000000"/>
        </w:rPr>
        <w:t>Debiendo emitir el Acuerdo del Comité de Transparencia de conformidad con la Ley de Transparencia y Acceso a la Información Pública de</w:t>
      </w:r>
      <w:r>
        <w:rPr>
          <w:rFonts w:ascii="Palatino Linotype" w:eastAsia="Palatino Linotype" w:hAnsi="Palatino Linotype" w:cs="Palatino Linotype"/>
          <w:i/>
          <w:color w:val="000000"/>
        </w:rPr>
        <w:t>l Estado de México y Municipios, en el que funde y motive las razones sobre los datos que se supriman, eliminen o testen de los soportes documentales objeto de las versiones públicas que se formulen y de los documentos que se clasifiquen en su totalidad pr</w:t>
      </w:r>
      <w:r>
        <w:rPr>
          <w:rFonts w:ascii="Palatino Linotype" w:eastAsia="Palatino Linotype" w:hAnsi="Palatino Linotype" w:cs="Palatino Linotype"/>
          <w:i/>
          <w:color w:val="000000"/>
        </w:rPr>
        <w:t xml:space="preserve">ecisados en el considerando correspondiente, que forman parte del expediente; el que se deberá poner a disposición del </w:t>
      </w:r>
      <w:r>
        <w:rPr>
          <w:rFonts w:ascii="Palatino Linotype" w:eastAsia="Palatino Linotype" w:hAnsi="Palatino Linotype" w:cs="Palatino Linotype"/>
          <w:b/>
          <w:i/>
          <w:color w:val="000000"/>
        </w:rPr>
        <w:t>RECURRENTE</w:t>
      </w:r>
      <w:r>
        <w:rPr>
          <w:rFonts w:ascii="Palatino Linotype" w:eastAsia="Palatino Linotype" w:hAnsi="Palatino Linotype" w:cs="Palatino Linotype"/>
          <w:i/>
          <w:color w:val="000000"/>
        </w:rPr>
        <w:t>, mismo que igualmente hará de su conocimiento…”(Sic)</w:t>
      </w:r>
    </w:p>
    <w:p w:rsidR="00F92293" w:rsidRDefault="00F92293">
      <w:pPr>
        <w:pBdr>
          <w:top w:val="nil"/>
          <w:left w:val="nil"/>
          <w:bottom w:val="nil"/>
          <w:right w:val="nil"/>
          <w:between w:val="nil"/>
        </w:pBdr>
        <w:spacing w:after="0" w:line="360" w:lineRule="auto"/>
        <w:ind w:left="708"/>
        <w:jc w:val="both"/>
        <w:rPr>
          <w:rFonts w:ascii="Palatino Linotype" w:eastAsia="Palatino Linotype" w:hAnsi="Palatino Linotype" w:cs="Palatino Linotype"/>
          <w:color w:val="000000"/>
          <w:sz w:val="24"/>
          <w:szCs w:val="24"/>
        </w:rPr>
      </w:pPr>
    </w:p>
    <w:p w:rsidR="00F92293" w:rsidRDefault="00100BAE">
      <w:pPr>
        <w:numPr>
          <w:ilvl w:val="0"/>
          <w:numId w:val="2"/>
        </w:numPr>
        <w:spacing w:after="0" w:line="360" w:lineRule="auto"/>
        <w:ind w:left="567" w:hanging="283"/>
        <w:jc w:val="both"/>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 xml:space="preserve">Razones del Voto Particular. </w:t>
      </w:r>
    </w:p>
    <w:p w:rsidR="00F92293" w:rsidRDefault="00F92293">
      <w:pPr>
        <w:spacing w:after="0" w:line="360" w:lineRule="auto"/>
        <w:jc w:val="both"/>
        <w:rPr>
          <w:rFonts w:ascii="Palatino Linotype" w:eastAsia="Palatino Linotype" w:hAnsi="Palatino Linotype" w:cs="Palatino Linotype"/>
          <w:b/>
        </w:rPr>
      </w:pPr>
    </w:p>
    <w:p w:rsidR="00F92293" w:rsidRDefault="00100BAE">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orden de ideas, resulta importante señalar que coincido con los términos generales planteados en la Resolución, no así en cuanto a lo siguiente:</w:t>
      </w:r>
    </w:p>
    <w:p w:rsidR="00F92293" w:rsidRDefault="00F9229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F92293" w:rsidRDefault="00100BAE">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De la publicidad de la fotografía de servidores públicos. </w:t>
      </w:r>
    </w:p>
    <w:p w:rsidR="00F92293" w:rsidRDefault="00100BAE">
      <w:pPr>
        <w:spacing w:before="240" w:after="24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Derivado de lo anterior, es preciso señalar que se comparte el sentido de la resolución, ya que del análisis de las constancias que conforman el expediente electrónico, se desprendió que la información solicitada es susceptible de transparentarse pues se e</w:t>
      </w:r>
      <w:r>
        <w:rPr>
          <w:rFonts w:ascii="Palatino Linotype" w:eastAsia="Palatino Linotype" w:hAnsi="Palatino Linotype" w:cs="Palatino Linotype"/>
        </w:rPr>
        <w:t>ncuentra relacionada con la gestión pública y con su publicidad se favorece indudablemente a la rendición de cuentas.</w:t>
      </w:r>
    </w:p>
    <w:p w:rsidR="00F92293" w:rsidRDefault="00100BA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embargo, es preciso mencionar que, el presente voto se formula con relación con los argumentos señalados en la resolución, particularm</w:t>
      </w:r>
      <w:r>
        <w:rPr>
          <w:rFonts w:ascii="Palatino Linotype" w:eastAsia="Palatino Linotype" w:hAnsi="Palatino Linotype" w:cs="Palatino Linotype"/>
        </w:rPr>
        <w:t xml:space="preserve">ente por considerar que la fotografía de </w:t>
      </w:r>
      <w:r>
        <w:rPr>
          <w:rFonts w:ascii="Palatino Linotype" w:eastAsia="Palatino Linotype" w:hAnsi="Palatino Linotype" w:cs="Palatino Linotype"/>
        </w:rPr>
        <w:lastRenderedPageBreak/>
        <w:t xml:space="preserve">los servidores públicos sin importar el nivel o cargo y en cualquier documento que se encuentre vinculado con el cumplimiento de disposiciones legales debe ser pública. </w:t>
      </w:r>
    </w:p>
    <w:p w:rsidR="00F92293" w:rsidRDefault="00100BAE">
      <w:pPr>
        <w:spacing w:before="240"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la Ponencia que resolvió, conside</w:t>
      </w:r>
      <w:r>
        <w:rPr>
          <w:rFonts w:ascii="Palatino Linotype" w:eastAsia="Palatino Linotype" w:hAnsi="Palatino Linotype" w:cs="Palatino Linotype"/>
        </w:rPr>
        <w:t>ró lo siguiente:</w:t>
      </w:r>
    </w:p>
    <w:p w:rsidR="00F92293" w:rsidRDefault="00F92293">
      <w:pPr>
        <w:widowControl w:val="0"/>
        <w:spacing w:after="0" w:line="240" w:lineRule="auto"/>
        <w:ind w:left="851" w:right="709"/>
        <w:jc w:val="both"/>
        <w:rPr>
          <w:rFonts w:ascii="Palatino Linotype" w:eastAsia="Palatino Linotype" w:hAnsi="Palatino Linotype" w:cs="Palatino Linotype"/>
        </w:rPr>
      </w:pPr>
    </w:p>
    <w:p w:rsidR="00F92293" w:rsidRDefault="00F92293">
      <w:pPr>
        <w:widowControl w:val="0"/>
        <w:spacing w:after="0" w:line="240" w:lineRule="auto"/>
        <w:ind w:left="851" w:right="709"/>
        <w:jc w:val="both"/>
        <w:rPr>
          <w:rFonts w:ascii="Palatino Linotype" w:eastAsia="Palatino Linotype" w:hAnsi="Palatino Linotype" w:cs="Palatino Linotype"/>
          <w:b/>
          <w:i/>
          <w:color w:val="000000"/>
        </w:rPr>
      </w:pPr>
    </w:p>
    <w:p w:rsidR="00F92293" w:rsidRDefault="00100BAE">
      <w:pPr>
        <w:tabs>
          <w:tab w:val="left" w:pos="4962"/>
        </w:tabs>
        <w:spacing w:after="0" w:line="240" w:lineRule="auto"/>
        <w:ind w:left="851" w:right="709"/>
        <w:jc w:val="both"/>
        <w:rPr>
          <w:rFonts w:ascii="Palatino Linotype" w:eastAsia="Palatino Linotype" w:hAnsi="Palatino Linotype" w:cs="Palatino Linotype"/>
          <w:i/>
        </w:rPr>
      </w:pPr>
      <w:r>
        <w:rPr>
          <w:rFonts w:ascii="Palatino Linotype" w:eastAsia="Palatino Linotype" w:hAnsi="Palatino Linotype" w:cs="Palatino Linotype"/>
          <w:i/>
        </w:rPr>
        <w:t>“Por otra parte, resulta importante, tomar en consideración la información relativa a la fotografía y firma de los servidores públicos, como a continuación se detalla.</w:t>
      </w:r>
    </w:p>
    <w:p w:rsidR="00F92293" w:rsidRDefault="00F92293">
      <w:pPr>
        <w:tabs>
          <w:tab w:val="left" w:pos="4962"/>
        </w:tabs>
        <w:spacing w:after="0" w:line="240" w:lineRule="auto"/>
        <w:ind w:left="851" w:right="709"/>
        <w:jc w:val="both"/>
        <w:rPr>
          <w:rFonts w:ascii="Palatino Linotype" w:eastAsia="Palatino Linotype" w:hAnsi="Palatino Linotype" w:cs="Palatino Linotype"/>
          <w:i/>
        </w:rPr>
      </w:pPr>
    </w:p>
    <w:p w:rsidR="00F92293" w:rsidRDefault="00100BAE">
      <w:pPr>
        <w:tabs>
          <w:tab w:val="left" w:pos="4962"/>
        </w:tabs>
        <w:spacing w:after="0" w:line="240" w:lineRule="auto"/>
        <w:ind w:left="851" w:right="709"/>
        <w:jc w:val="both"/>
        <w:rPr>
          <w:rFonts w:ascii="Palatino Linotype" w:eastAsia="Palatino Linotype" w:hAnsi="Palatino Linotype" w:cs="Palatino Linotype"/>
          <w:i/>
        </w:rPr>
      </w:pPr>
      <w:r>
        <w:rPr>
          <w:rFonts w:ascii="Palatino Linotype" w:eastAsia="Palatino Linotype" w:hAnsi="Palatino Linotype" w:cs="Palatino Linotype"/>
          <w:b/>
          <w:i/>
        </w:rPr>
        <w:t>Fotografía de servidores públicos:</w:t>
      </w:r>
      <w:r>
        <w:rPr>
          <w:rFonts w:ascii="Palatino Linotype" w:eastAsia="Palatino Linotype" w:hAnsi="Palatino Linotype" w:cs="Palatino Linotype"/>
          <w:i/>
        </w:rPr>
        <w:t xml:space="preserve"> es preciso señalar que estas dan </w:t>
      </w:r>
      <w:r>
        <w:rPr>
          <w:rFonts w:ascii="Palatino Linotype" w:eastAsia="Palatino Linotype" w:hAnsi="Palatino Linotype" w:cs="Palatino Linotype"/>
          <w:i/>
        </w:rPr>
        <w:t>cuenta de las características físicas de los servidores públicos; por lo que, no debe perderse de vista que la imagen personal es la apariencia física, la cual puede ser captada en dibujo, pintura, escultura, fotografía, y video; la imagen así captada pued</w:t>
      </w:r>
      <w:r>
        <w:rPr>
          <w:rFonts w:ascii="Palatino Linotype" w:eastAsia="Palatino Linotype" w:hAnsi="Palatino Linotype" w:cs="Palatino Linotype"/>
          <w:i/>
        </w:rPr>
        <w:t>e ser reproducida, publicada y divulgada por diversos medios, desde volantes impresos de la forma más rudimentaria, hasta filmaciones y fotografías transmitidas por televisión cine, video, correo electrónico o Internet.</w:t>
      </w:r>
    </w:p>
    <w:p w:rsidR="00F92293" w:rsidRDefault="00100BAE">
      <w:pPr>
        <w:tabs>
          <w:tab w:val="left" w:pos="4962"/>
        </w:tabs>
        <w:spacing w:after="0" w:line="240" w:lineRule="auto"/>
        <w:ind w:left="851" w:right="709"/>
        <w:jc w:val="both"/>
        <w:rPr>
          <w:rFonts w:ascii="Palatino Linotype" w:eastAsia="Palatino Linotype" w:hAnsi="Palatino Linotype" w:cs="Palatino Linotype"/>
          <w:i/>
        </w:rPr>
      </w:pPr>
      <w:r>
        <w:rPr>
          <w:rFonts w:ascii="Palatino Linotype" w:eastAsia="Palatino Linotype" w:hAnsi="Palatino Linotype" w:cs="Palatino Linotype"/>
          <w:i/>
        </w:rPr>
        <w:t>Así, dichos datos constituyen la rep</w:t>
      </w:r>
      <w:r>
        <w:rPr>
          <w:rFonts w:ascii="Palatino Linotype" w:eastAsia="Palatino Linotype" w:hAnsi="Palatino Linotype" w:cs="Palatino Linotype"/>
          <w:i/>
        </w:rPr>
        <w:t xml:space="preserve">roducción fiel de las características físicas de una persona en un momento determinado, por lo que representan un instrumento de identificación, proyección exterior y factor imprescindible para su propio reconocimiento como sujeto individual; lo que en el </w:t>
      </w:r>
      <w:r>
        <w:rPr>
          <w:rFonts w:ascii="Palatino Linotype" w:eastAsia="Palatino Linotype" w:hAnsi="Palatino Linotype" w:cs="Palatino Linotype"/>
          <w:i/>
        </w:rPr>
        <w:t>presente caso, acreditaría e identificaría a una persona como servidor público, por lo que es posible advertir que existe cierto interés público, cuando la fotografía obra en documentos de servidores públicos vinculados con el cumplimiento de disposiciones</w:t>
      </w:r>
      <w:r>
        <w:rPr>
          <w:rFonts w:ascii="Palatino Linotype" w:eastAsia="Palatino Linotype" w:hAnsi="Palatino Linotype" w:cs="Palatino Linotype"/>
          <w:i/>
        </w:rPr>
        <w:t xml:space="preserve"> legales.</w:t>
      </w:r>
    </w:p>
    <w:p w:rsidR="00F92293" w:rsidRDefault="00F92293">
      <w:pPr>
        <w:tabs>
          <w:tab w:val="left" w:pos="4962"/>
        </w:tabs>
        <w:spacing w:after="0" w:line="240" w:lineRule="auto"/>
        <w:ind w:left="851" w:right="709"/>
        <w:jc w:val="both"/>
        <w:rPr>
          <w:rFonts w:ascii="Palatino Linotype" w:eastAsia="Palatino Linotype" w:hAnsi="Palatino Linotype" w:cs="Palatino Linotype"/>
          <w:i/>
        </w:rPr>
      </w:pPr>
    </w:p>
    <w:p w:rsidR="00F92293" w:rsidRDefault="00100BAE">
      <w:pPr>
        <w:tabs>
          <w:tab w:val="left" w:pos="4962"/>
        </w:tabs>
        <w:spacing w:after="0" w:line="240" w:lineRule="auto"/>
        <w:ind w:left="851" w:right="709"/>
        <w:jc w:val="both"/>
        <w:rPr>
          <w:rFonts w:ascii="Palatino Linotype" w:eastAsia="Palatino Linotype" w:hAnsi="Palatino Linotype" w:cs="Palatino Linotype"/>
          <w:i/>
        </w:rPr>
      </w:pPr>
      <w:r>
        <w:rPr>
          <w:rFonts w:ascii="Palatino Linotype" w:eastAsia="Palatino Linotype" w:hAnsi="Palatino Linotype" w:cs="Palatino Linotype"/>
          <w:i/>
        </w:rPr>
        <w:t xml:space="preserve">Además, existen documentos que contienen la fotografía con los cuales se permite identificar que una persona que se acredita como trabajador gubernamental, realmente tiene el cargo con el que se ostenta, otros documentos con los cuales se rinde </w:t>
      </w:r>
      <w:r>
        <w:rPr>
          <w:rFonts w:ascii="Palatino Linotype" w:eastAsia="Palatino Linotype" w:hAnsi="Palatino Linotype" w:cs="Palatino Linotype"/>
          <w:i/>
        </w:rPr>
        <w:t xml:space="preserve">cuentas a la ciudadanía, por ejemplo cuando se cubre el perfil de puesto; además cuando se brinda servicios a la ciudadanía, es de relevancia conocer e identificar a todos sus trabajadores, no importa el nivel o rango (con excepción del personal operativo </w:t>
      </w:r>
      <w:r>
        <w:rPr>
          <w:rFonts w:ascii="Palatino Linotype" w:eastAsia="Palatino Linotype" w:hAnsi="Palatino Linotype" w:cs="Palatino Linotype"/>
          <w:i/>
        </w:rPr>
        <w:t>en materia de seguridad, respecto del cual el Pleno de este Instituto ya se ha pronunciado en el sentido de que la información que los haga identificados o identificables debe clasificarse como reservada).</w:t>
      </w:r>
    </w:p>
    <w:p w:rsidR="00F92293" w:rsidRDefault="00F92293">
      <w:pPr>
        <w:tabs>
          <w:tab w:val="left" w:pos="4962"/>
        </w:tabs>
        <w:spacing w:after="0" w:line="240" w:lineRule="auto"/>
        <w:ind w:left="851" w:right="709"/>
        <w:jc w:val="both"/>
        <w:rPr>
          <w:rFonts w:ascii="Palatino Linotype" w:eastAsia="Palatino Linotype" w:hAnsi="Palatino Linotype" w:cs="Palatino Linotype"/>
          <w:i/>
        </w:rPr>
      </w:pPr>
    </w:p>
    <w:p w:rsidR="00F92293" w:rsidRDefault="00100BAE">
      <w:pPr>
        <w:tabs>
          <w:tab w:val="left" w:pos="4962"/>
        </w:tabs>
        <w:spacing w:after="0" w:line="240" w:lineRule="auto"/>
        <w:ind w:left="851" w:right="709"/>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En este sentido, resultan aplicables por analogía, los Criterios SO/015/2017 y SO/001/2013 del Instituto Nacional de Transparencia y Acceso a la Información Pública y Protección de Datos Personales, en los cuales se esgrimen argumentos, que, si bien no ref</w:t>
      </w:r>
      <w:r>
        <w:rPr>
          <w:rFonts w:ascii="Palatino Linotype" w:eastAsia="Palatino Linotype" w:hAnsi="Palatino Linotype" w:cs="Palatino Linotype"/>
          <w:i/>
        </w:rPr>
        <w:t>ieren de manera específica a fotografías de servidores públicos, sí establecen un criterio para que este dato personal pueda ser considerado como público, cuando se pretende acreditar que una persona es servidor público.</w:t>
      </w:r>
    </w:p>
    <w:p w:rsidR="00F92293" w:rsidRDefault="00F92293">
      <w:pPr>
        <w:tabs>
          <w:tab w:val="left" w:pos="4962"/>
        </w:tabs>
        <w:spacing w:after="0" w:line="240" w:lineRule="auto"/>
        <w:ind w:left="851" w:right="709"/>
        <w:jc w:val="both"/>
        <w:rPr>
          <w:rFonts w:ascii="Palatino Linotype" w:eastAsia="Palatino Linotype" w:hAnsi="Palatino Linotype" w:cs="Palatino Linotype"/>
          <w:i/>
        </w:rPr>
      </w:pPr>
    </w:p>
    <w:p w:rsidR="00F92293" w:rsidRDefault="00100BAE">
      <w:pPr>
        <w:tabs>
          <w:tab w:val="left" w:pos="4962"/>
        </w:tabs>
        <w:spacing w:after="0" w:line="240" w:lineRule="auto"/>
        <w:ind w:left="851" w:right="709"/>
        <w:jc w:val="both"/>
        <w:rPr>
          <w:rFonts w:ascii="Palatino Linotype" w:eastAsia="Palatino Linotype" w:hAnsi="Palatino Linotype" w:cs="Palatino Linotype"/>
          <w:i/>
        </w:rPr>
      </w:pPr>
      <w:r>
        <w:rPr>
          <w:rFonts w:ascii="Palatino Linotype" w:eastAsia="Palatino Linotype" w:hAnsi="Palatino Linotype" w:cs="Palatino Linotype"/>
          <w:i/>
        </w:rPr>
        <w:t>Debe tenerse presente que el actua</w:t>
      </w:r>
      <w:r>
        <w:rPr>
          <w:rFonts w:ascii="Palatino Linotype" w:eastAsia="Palatino Linotype" w:hAnsi="Palatino Linotype" w:cs="Palatino Linotype"/>
          <w:i/>
        </w:rPr>
        <w:t>r de los servidores públicos incide de manera específica en los derechos de los particulares, pues el acto de un servidor público en ejercicio de sus funciones, de manera directa genera derechos y obligaciones pues se considera un acto administrativo o act</w:t>
      </w:r>
      <w:r>
        <w:rPr>
          <w:rFonts w:ascii="Palatino Linotype" w:eastAsia="Palatino Linotype" w:hAnsi="Palatino Linotype" w:cs="Palatino Linotype"/>
          <w:i/>
        </w:rPr>
        <w:t>o de autoridad, por lo que es primordial, que estos trabajadores se identifiquen ante la ciudadanía, por lo que otorgar acceso a los documentos que obran en los archivos de los sujetos obligados y que además están directamente relacionados con el cumplimie</w:t>
      </w:r>
      <w:r>
        <w:rPr>
          <w:rFonts w:ascii="Palatino Linotype" w:eastAsia="Palatino Linotype" w:hAnsi="Palatino Linotype" w:cs="Palatino Linotype"/>
          <w:i/>
        </w:rPr>
        <w:t xml:space="preserve">nto de disposiciones normativas o el ejercicio de funciones revisten un interés público. </w:t>
      </w:r>
    </w:p>
    <w:p w:rsidR="00F92293" w:rsidRDefault="00F92293">
      <w:pPr>
        <w:tabs>
          <w:tab w:val="left" w:pos="4962"/>
        </w:tabs>
        <w:spacing w:after="0" w:line="240" w:lineRule="auto"/>
        <w:ind w:left="851" w:right="709"/>
        <w:jc w:val="both"/>
        <w:rPr>
          <w:rFonts w:ascii="Palatino Linotype" w:eastAsia="Palatino Linotype" w:hAnsi="Palatino Linotype" w:cs="Palatino Linotype"/>
          <w:i/>
        </w:rPr>
      </w:pPr>
    </w:p>
    <w:p w:rsidR="00F92293" w:rsidRDefault="00100BAE">
      <w:pPr>
        <w:tabs>
          <w:tab w:val="left" w:pos="4962"/>
        </w:tabs>
        <w:spacing w:after="0" w:line="240" w:lineRule="auto"/>
        <w:ind w:left="851" w:right="709"/>
        <w:jc w:val="both"/>
        <w:rPr>
          <w:rFonts w:ascii="Palatino Linotype" w:eastAsia="Palatino Linotype" w:hAnsi="Palatino Linotype" w:cs="Palatino Linotype"/>
          <w:i/>
        </w:rPr>
      </w:pPr>
      <w:r>
        <w:rPr>
          <w:rFonts w:ascii="Palatino Linotype" w:eastAsia="Palatino Linotype" w:hAnsi="Palatino Linotype" w:cs="Palatino Linotype"/>
          <w:i/>
        </w:rPr>
        <w:t>Por lo anterior, cuando las fotografías de los servidores públicos obran en documentos que dan cuenta del cumplimiento de funciones, requisitos legales o los acredit</w:t>
      </w:r>
      <w:r>
        <w:rPr>
          <w:rFonts w:ascii="Palatino Linotype" w:eastAsia="Palatino Linotype" w:hAnsi="Palatino Linotype" w:cs="Palatino Linotype"/>
          <w:i/>
        </w:rPr>
        <w:t>a como servidores públicos, deben ser consideradas un dato personal, que no puede ser clasificado como confidencial, pues en este caso, es superado por el interés público de conocer si en realidad, la persona que se ostenta en carácter de servidor público,</w:t>
      </w:r>
      <w:r>
        <w:rPr>
          <w:rFonts w:ascii="Palatino Linotype" w:eastAsia="Palatino Linotype" w:hAnsi="Palatino Linotype" w:cs="Palatino Linotype"/>
          <w:i/>
        </w:rPr>
        <w:t xml:space="preserve"> se encuentra en ese encargo, si realiza las funciones o si cumple con los requisitos legales; sin que se considere como factor diferenciador para determinar la publicidad o clasificación el cargo o nivel jerárquico en el que se desempeñe el servidor públi</w:t>
      </w:r>
      <w:r>
        <w:rPr>
          <w:rFonts w:ascii="Palatino Linotype" w:eastAsia="Palatino Linotype" w:hAnsi="Palatino Linotype" w:cs="Palatino Linotype"/>
          <w:i/>
        </w:rPr>
        <w:t>co.</w:t>
      </w:r>
    </w:p>
    <w:p w:rsidR="00F92293" w:rsidRDefault="00F92293">
      <w:pPr>
        <w:tabs>
          <w:tab w:val="left" w:pos="4962"/>
        </w:tabs>
        <w:spacing w:after="0" w:line="240" w:lineRule="auto"/>
        <w:ind w:left="851" w:right="709"/>
        <w:jc w:val="both"/>
        <w:rPr>
          <w:rFonts w:ascii="Palatino Linotype" w:eastAsia="Palatino Linotype" w:hAnsi="Palatino Linotype" w:cs="Palatino Linotype"/>
          <w:i/>
        </w:rPr>
      </w:pPr>
    </w:p>
    <w:p w:rsidR="00F92293" w:rsidRDefault="00100BAE">
      <w:pPr>
        <w:tabs>
          <w:tab w:val="left" w:pos="4962"/>
        </w:tabs>
        <w:spacing w:after="0" w:line="240" w:lineRule="auto"/>
        <w:ind w:left="851" w:right="709"/>
        <w:jc w:val="both"/>
        <w:rPr>
          <w:rFonts w:ascii="Palatino Linotype" w:eastAsia="Palatino Linotype" w:hAnsi="Palatino Linotype" w:cs="Palatino Linotype"/>
          <w:i/>
        </w:rPr>
      </w:pPr>
      <w:r>
        <w:rPr>
          <w:rFonts w:ascii="Palatino Linotype" w:eastAsia="Palatino Linotype" w:hAnsi="Palatino Linotype" w:cs="Palatino Linotype"/>
          <w:i/>
        </w:rPr>
        <w:t>De acuerdo con el argumento planteado, la determinación de esta resolución deja sin efectos el criterio adoptado anteriormente por el Pleno de este Instituto, con número 03/2019, en el que solo se consideraban como públicas las fotografías de mandos m</w:t>
      </w:r>
      <w:r>
        <w:rPr>
          <w:rFonts w:ascii="Palatino Linotype" w:eastAsia="Palatino Linotype" w:hAnsi="Palatino Linotype" w:cs="Palatino Linotype"/>
          <w:i/>
        </w:rPr>
        <w:t>edios y/o superiores.</w:t>
      </w:r>
    </w:p>
    <w:p w:rsidR="00F92293" w:rsidRDefault="00F92293">
      <w:pPr>
        <w:tabs>
          <w:tab w:val="left" w:pos="4962"/>
        </w:tabs>
        <w:spacing w:after="0" w:line="240" w:lineRule="auto"/>
        <w:ind w:left="851" w:right="709"/>
        <w:jc w:val="both"/>
        <w:rPr>
          <w:rFonts w:ascii="Palatino Linotype" w:eastAsia="Palatino Linotype" w:hAnsi="Palatino Linotype" w:cs="Palatino Linotype"/>
          <w:i/>
        </w:rPr>
      </w:pPr>
    </w:p>
    <w:p w:rsidR="00F92293" w:rsidRDefault="00100BAE">
      <w:pPr>
        <w:tabs>
          <w:tab w:val="left" w:pos="4962"/>
        </w:tabs>
        <w:spacing w:after="0" w:line="240" w:lineRule="auto"/>
        <w:ind w:left="851" w:right="709"/>
        <w:jc w:val="both"/>
        <w:rPr>
          <w:rFonts w:ascii="Palatino Linotype" w:eastAsia="Palatino Linotype" w:hAnsi="Palatino Linotype" w:cs="Palatino Linotype"/>
          <w:i/>
        </w:rPr>
      </w:pPr>
      <w:r>
        <w:rPr>
          <w:rFonts w:ascii="Palatino Linotype" w:eastAsia="Palatino Linotype" w:hAnsi="Palatino Linotype" w:cs="Palatino Linotype"/>
          <w:i/>
        </w:rPr>
        <w:t>Conforme a lo anterior, las fotografías de servidores públicos sin importar el nivel o rango guardan la naturaleza de públicas (con excepción del personal operativo en materia de seguridad) y no procede su clasificación, en términos del artículo 143, fracc</w:t>
      </w:r>
      <w:r>
        <w:rPr>
          <w:rFonts w:ascii="Palatino Linotype" w:eastAsia="Palatino Linotype" w:hAnsi="Palatino Linotype" w:cs="Palatino Linotype"/>
          <w:i/>
        </w:rPr>
        <w:t xml:space="preserve">ión I, de la Ley de Transparencia y Acceso a la Información Pública del Estado </w:t>
      </w:r>
      <w:r>
        <w:rPr>
          <w:rFonts w:ascii="Palatino Linotype" w:eastAsia="Palatino Linotype" w:hAnsi="Palatino Linotype" w:cs="Palatino Linotype"/>
          <w:i/>
        </w:rPr>
        <w:lastRenderedPageBreak/>
        <w:t>de México y Municipios, por lo que en las versiones públicas que</w:t>
      </w:r>
      <w:r>
        <w:rPr>
          <w:rFonts w:ascii="Palatino Linotype" w:eastAsia="Palatino Linotype" w:hAnsi="Palatino Linotype" w:cs="Palatino Linotype"/>
        </w:rPr>
        <w:t xml:space="preserve"> se ordenen, no podrá clasificarse esa información.</w:t>
      </w:r>
      <w:r>
        <w:rPr>
          <w:rFonts w:ascii="Palatino Linotype" w:eastAsia="Palatino Linotype" w:hAnsi="Palatino Linotype" w:cs="Palatino Linotype"/>
          <w:i/>
        </w:rPr>
        <w:t>”(Sic)</w:t>
      </w:r>
    </w:p>
    <w:p w:rsidR="00F92293" w:rsidRDefault="00100BAE">
      <w:pPr>
        <w:spacing w:before="240" w:after="24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No obstante, no escapa de la óptica de quien suscribe p</w:t>
      </w:r>
      <w:r>
        <w:rPr>
          <w:rFonts w:ascii="Palatino Linotype" w:eastAsia="Palatino Linotype" w:hAnsi="Palatino Linotype" w:cs="Palatino Linotype"/>
        </w:rPr>
        <w:t xml:space="preserve">or cuanto hace a la fotografía, constituye la reproducción fiel de las características físicas de una persona en un momento determinado, además, de que representa un instrumento de identificación, proyección exterior y factor imprescindible para su propio </w:t>
      </w:r>
      <w:r>
        <w:rPr>
          <w:rFonts w:ascii="Palatino Linotype" w:eastAsia="Palatino Linotype" w:hAnsi="Palatino Linotype" w:cs="Palatino Linotype"/>
        </w:rPr>
        <w:t>reconocimiento como sujeto individual; por tanto, es considerada por regla general, como  un dato personal confidencial que debe protegerse en los documentos que lo contengan, según lo dispuesto por los artículos 3, fracción IX, 143, fracción I de la Ley d</w:t>
      </w:r>
      <w:r>
        <w:rPr>
          <w:rFonts w:ascii="Palatino Linotype" w:eastAsia="Palatino Linotype" w:hAnsi="Palatino Linotype" w:cs="Palatino Linotype"/>
        </w:rPr>
        <w:t>e Transparencia y Acceso a la Información Pública del Estado de México y Municipios, en relación con el 4, fracción XI de La Ley de Protección de Datos Personales en Posesión de Sujetos Obligados del Estado de México y Municipios.</w:t>
      </w:r>
    </w:p>
    <w:p w:rsidR="00F92293" w:rsidRDefault="00100BAE">
      <w:pPr>
        <w:tabs>
          <w:tab w:val="left" w:pos="4962"/>
        </w:tabs>
        <w:spacing w:before="240"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en lo que res</w:t>
      </w:r>
      <w:r>
        <w:rPr>
          <w:rFonts w:ascii="Palatino Linotype" w:eastAsia="Palatino Linotype" w:hAnsi="Palatino Linotype" w:cs="Palatino Linotype"/>
        </w:rPr>
        <w:t>pecta a los servidores públicos existen funciones que por su naturaleza pueden ser de un mayor interés público, es decir, aquellas que tienen un impacto directo en la vida de las personas y en el funcionamiento de la sociedad o de las instituciones pública</w:t>
      </w:r>
      <w:r>
        <w:rPr>
          <w:rFonts w:ascii="Palatino Linotype" w:eastAsia="Palatino Linotype" w:hAnsi="Palatino Linotype" w:cs="Palatino Linotype"/>
        </w:rPr>
        <w:t>s, ejemplo de ello pueden ser los servidores públicos cuya función implica una posición de poder que deba estar sujeta a escrutinio y rendición de cuentas ante la sociedad; otros ejemplos son los servidores públicos responsables de la administración de rec</w:t>
      </w:r>
      <w:r>
        <w:rPr>
          <w:rFonts w:ascii="Palatino Linotype" w:eastAsia="Palatino Linotype" w:hAnsi="Palatino Linotype" w:cs="Palatino Linotype"/>
        </w:rPr>
        <w:t>ursos públicos, la implementación de políticas públicas, la prestación de servicios públicos, entre otros.</w:t>
      </w:r>
    </w:p>
    <w:p w:rsidR="00F92293" w:rsidRDefault="00100BAE">
      <w:pPr>
        <w:tabs>
          <w:tab w:val="left" w:pos="4962"/>
        </w:tabs>
        <w:spacing w:before="240"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Por lo que, dado el interés público que reviste a las funciones de las y los funcionarios que dan atención al público, así como aquellos que cuenten</w:t>
      </w:r>
      <w:r>
        <w:rPr>
          <w:rFonts w:ascii="Palatino Linotype" w:eastAsia="Palatino Linotype" w:hAnsi="Palatino Linotype" w:cs="Palatino Linotype"/>
        </w:rPr>
        <w:t xml:space="preserve"> con la calidad de mando medio y/o superior, la suscrita considero que se debe dejar visible su fotografía pues, hacer pública la imagen de éstos, puede contribuir a la transparencia y la rendición de cuentas, ya que permite </w:t>
      </w:r>
      <w:r>
        <w:rPr>
          <w:rFonts w:ascii="Palatino Linotype" w:eastAsia="Palatino Linotype" w:hAnsi="Palatino Linotype" w:cs="Palatino Linotype"/>
        </w:rPr>
        <w:lastRenderedPageBreak/>
        <w:t>a la ciudadanía identificar a l</w:t>
      </w:r>
      <w:r>
        <w:rPr>
          <w:rFonts w:ascii="Palatino Linotype" w:eastAsia="Palatino Linotype" w:hAnsi="Palatino Linotype" w:cs="Palatino Linotype"/>
        </w:rPr>
        <w:t>os funcionarios que toman decisiones importantes en su nombre.</w:t>
      </w:r>
    </w:p>
    <w:p w:rsidR="00F92293" w:rsidRDefault="00100BAE">
      <w:pPr>
        <w:tabs>
          <w:tab w:val="left" w:pos="4962"/>
        </w:tabs>
        <w:spacing w:before="240"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Sin embargo, en la resolución se estipuló que </w:t>
      </w:r>
      <w:r>
        <w:rPr>
          <w:rFonts w:ascii="Palatino Linotype" w:eastAsia="Palatino Linotype" w:hAnsi="Palatino Linotype" w:cs="Palatino Linotype"/>
          <w:b/>
          <w:u w:val="single"/>
        </w:rPr>
        <w:t>las fotografías de servidores públicos, sin importar el nivel o rango, guardan la naturaleza de públicas</w:t>
      </w:r>
      <w:r>
        <w:rPr>
          <w:rFonts w:ascii="Palatino Linotype" w:eastAsia="Palatino Linotype" w:hAnsi="Palatino Linotype" w:cs="Palatino Linotype"/>
        </w:rPr>
        <w:t>, -con excepción del personal operativo en</w:t>
      </w:r>
      <w:r>
        <w:rPr>
          <w:rFonts w:ascii="Palatino Linotype" w:eastAsia="Palatino Linotype" w:hAnsi="Palatino Linotype" w:cs="Palatino Linotype"/>
        </w:rPr>
        <w:t xml:space="preserve"> materia de seguridad-, </w:t>
      </w:r>
      <w:r>
        <w:rPr>
          <w:rFonts w:ascii="Palatino Linotype" w:eastAsia="Palatino Linotype" w:hAnsi="Palatino Linotype" w:cs="Palatino Linotype"/>
          <w:b/>
          <w:u w:val="single"/>
        </w:rPr>
        <w:t>por lo tanto, que no procede su clasificación</w:t>
      </w:r>
      <w:r>
        <w:rPr>
          <w:rFonts w:ascii="Palatino Linotype" w:eastAsia="Palatino Linotype" w:hAnsi="Palatino Linotype" w:cs="Palatino Linotype"/>
        </w:rPr>
        <w:t xml:space="preserve"> en términos del artículo 143, fracción I, de la Ley de Transparencia y Acceso a la Información Pública del Estado de México y Municipios, sin embargo, no comparto dicho argumento, ya que</w:t>
      </w:r>
      <w:r>
        <w:rPr>
          <w:rFonts w:ascii="Palatino Linotype" w:eastAsia="Palatino Linotype" w:hAnsi="Palatino Linotype" w:cs="Palatino Linotype"/>
        </w:rPr>
        <w:t xml:space="preserve"> desde mi punto de vista, la fotografía de aquellos servidores públicos que no ostentan un cargo de mando medio o superior, o no brindan atención al público, debe conservarse como información confidencial, pues se considera  importante equilibrar el interé</w:t>
      </w:r>
      <w:r>
        <w:rPr>
          <w:rFonts w:ascii="Palatino Linotype" w:eastAsia="Palatino Linotype" w:hAnsi="Palatino Linotype" w:cs="Palatino Linotype"/>
        </w:rPr>
        <w:t>s público con el derecho a la privacidad de las y los servidores públicos y ponderar si realmente es necesario y proporcional hacer pública su imagen, ya que como se ha expresado con anterioridad, en algunos casos, el interés público de hacer pública la im</w:t>
      </w:r>
      <w:r>
        <w:rPr>
          <w:rFonts w:ascii="Palatino Linotype" w:eastAsia="Palatino Linotype" w:hAnsi="Palatino Linotype" w:cs="Palatino Linotype"/>
        </w:rPr>
        <w:t>agen de un servidor público puede justificar la limitación de su derecho a la privacidad, pero esto debe evaluarse cuidadosamente en cada caso y no ser la regla general.</w:t>
      </w:r>
    </w:p>
    <w:p w:rsidR="00F92293" w:rsidRDefault="00100BAE">
      <w:pPr>
        <w:tabs>
          <w:tab w:val="left" w:pos="4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las razones antes expuestas que no comparto este punto del estudio de la resolución dictada, y, por ende se emite el presente </w:t>
      </w:r>
      <w:r>
        <w:rPr>
          <w:rFonts w:ascii="Palatino Linotype" w:eastAsia="Palatino Linotype" w:hAnsi="Palatino Linotype" w:cs="Palatino Linotype"/>
          <w:b/>
        </w:rPr>
        <w:t>Voto Particu</w:t>
      </w:r>
      <w:r>
        <w:rPr>
          <w:rFonts w:ascii="Palatino Linotype" w:eastAsia="Palatino Linotype" w:hAnsi="Palatino Linotype" w:cs="Palatino Linotype"/>
          <w:b/>
        </w:rPr>
        <w:t xml:space="preserve">lar pues considero que </w:t>
      </w:r>
      <w:r>
        <w:rPr>
          <w:rFonts w:ascii="Palatino Linotype" w:eastAsia="Palatino Linotype" w:hAnsi="Palatino Linotype" w:cs="Palatino Linotype"/>
          <w:b/>
          <w:u w:val="single"/>
        </w:rPr>
        <w:t>no se debe dejar visible la fotografía de las y los servidores públicos que NO cuenten con la calidad de mando medio y/o superior,</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o no tengan atención al público</w:t>
      </w:r>
      <w:r>
        <w:rPr>
          <w:rFonts w:ascii="Palatino Linotype" w:eastAsia="Palatino Linotype" w:hAnsi="Palatino Linotype" w:cs="Palatino Linotype"/>
        </w:rPr>
        <w:t>,  pues se estima que se actualiza la causal de clasificación estableci</w:t>
      </w:r>
      <w:r>
        <w:rPr>
          <w:rFonts w:ascii="Palatino Linotype" w:eastAsia="Palatino Linotype" w:hAnsi="Palatino Linotype" w:cs="Palatino Linotype"/>
        </w:rPr>
        <w:t>da en el artículo 143, fracción I, de la Ley de la Ley de Transparencia y Acceso a la Información Pública del Estado de México y Municipios.</w:t>
      </w:r>
    </w:p>
    <w:p w:rsidR="00F92293" w:rsidRDefault="00100BAE">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Certificado de  no  deudor alimentario moroso. </w:t>
      </w:r>
    </w:p>
    <w:p w:rsidR="00F92293" w:rsidRDefault="00100BA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 consideración de la suscrita en cuanto a los certificados de no deudor alimentario moroso este debe ser protegido mediante su clasificación como </w:t>
      </w:r>
      <w:r>
        <w:rPr>
          <w:rFonts w:ascii="Palatino Linotype" w:eastAsia="Palatino Linotype" w:hAnsi="Palatino Linotype" w:cs="Palatino Linotype"/>
          <w:b/>
        </w:rPr>
        <w:t>confidencial en su totalidad</w:t>
      </w:r>
      <w:r>
        <w:rPr>
          <w:rFonts w:ascii="Palatino Linotype" w:eastAsia="Palatino Linotype" w:hAnsi="Palatino Linotype" w:cs="Palatino Linotype"/>
        </w:rPr>
        <w:t xml:space="preserve">, ello derivado a que el estar inscrito en dicho registro tiene un impacto en la </w:t>
      </w:r>
      <w:r>
        <w:rPr>
          <w:rFonts w:ascii="Palatino Linotype" w:eastAsia="Palatino Linotype" w:hAnsi="Palatino Linotype" w:cs="Palatino Linotype"/>
        </w:rPr>
        <w:t>imagen de un servidor público y se trata de un tema estrictamente de carácter personal e incluso de tipo familiar.</w:t>
      </w:r>
    </w:p>
    <w:p w:rsidR="00F92293" w:rsidRDefault="00100BA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Se considera que la información que se ordena, en efecto, da certeza que determinado servidor público cumplió con los requisitos señalados en</w:t>
      </w:r>
      <w:r>
        <w:rPr>
          <w:rFonts w:ascii="Palatino Linotype" w:eastAsia="Palatino Linotype" w:hAnsi="Palatino Linotype" w:cs="Palatino Linotype"/>
        </w:rPr>
        <w:t xml:space="preserve"> el artículo 32 de la Ley Orgánica Municipal del Estado de México, pero también lo es que dar a conocer esta información podría vulnerar la vida privada de los servidores públicos. </w:t>
      </w:r>
    </w:p>
    <w:p w:rsidR="00F92293" w:rsidRDefault="00100BA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Robustece lo anterior, lo señalado en el Proyecto de Decreto por el que se</w:t>
      </w:r>
      <w:r>
        <w:rPr>
          <w:rFonts w:ascii="Palatino Linotype" w:eastAsia="Palatino Linotype" w:hAnsi="Palatino Linotype" w:cs="Palatino Linotype"/>
        </w:rPr>
        <w:t xml:space="preserve"> Reforman y Adicionan Diversas Disposiciones para crear el Registro de Deudores Alimentarios del Estado de México, disponible en la dirección electrónica </w:t>
      </w:r>
      <w:hyperlink r:id="rId10" w:anchor=":~:text=La%20inscripci%C3%B3n%20con%20el%20car%C3%A1cter,del%20Estado%20de%20M%C3%A9xico%20e">
        <w:r>
          <w:rPr>
            <w:rFonts w:ascii="Palatino Linotype" w:eastAsia="Palatino Linotype" w:hAnsi="Palatino Linotype" w:cs="Palatino Linotype"/>
            <w:color w:val="0000FF"/>
            <w:u w:val="single"/>
          </w:rPr>
          <w:t>https://www.ipomex.org.mx/recursos/ipo/files_ipo/2014/8/11/630bc7787b59af912a96a9e1bca1c770.pdf#:~:text=La%20inscripci%C3%B3n%20con%20el%20car%C3</w:t>
        </w:r>
        <w:r>
          <w:rPr>
            <w:rFonts w:ascii="Palatino Linotype" w:eastAsia="Palatino Linotype" w:hAnsi="Palatino Linotype" w:cs="Palatino Linotype"/>
            <w:color w:val="0000FF"/>
            <w:u w:val="single"/>
          </w:rPr>
          <w:t>%A1cter,del%20Estado%20de%20M%C3%A9xico%20e</w:t>
        </w:r>
      </w:hyperlink>
      <w:r>
        <w:rPr>
          <w:rFonts w:ascii="Palatino Linotype" w:eastAsia="Palatino Linotype" w:hAnsi="Palatino Linotype" w:cs="Palatino Linotype"/>
        </w:rPr>
        <w:t xml:space="preserve">, pueden advertirse los objetivos de crear dicho registro: </w:t>
      </w:r>
    </w:p>
    <w:p w:rsidR="00F92293" w:rsidRDefault="00100BAE">
      <w:pPr>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“El interés superior del menor debe prevalecer en cualquier controversia de derecho familiar, situación que obliga a las autoridades a establecer las medidas necesarias para asegurar el cumplimiento del pago de la pensión alimenticia decretada a su favor.</w:t>
      </w:r>
    </w:p>
    <w:p w:rsidR="00F92293" w:rsidRDefault="00100BAE">
      <w:pPr>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De acuerdo a nuestra legislación, el derecho a los alimentos no sólo se comprende el acceso a los productos para la nutrición y alimentación sino también lo relativo a la educación, vivienda, vestido, asistencia médica, recreación, entre otros; aspectos to</w:t>
      </w:r>
      <w:r>
        <w:rPr>
          <w:rFonts w:ascii="Palatino Linotype" w:eastAsia="Palatino Linotype" w:hAnsi="Palatino Linotype" w:cs="Palatino Linotype"/>
          <w:i/>
        </w:rPr>
        <w:t>dos que permiten o posibilitan el desarrollo integral de las personas.</w:t>
      </w:r>
    </w:p>
    <w:p w:rsidR="00F92293" w:rsidRDefault="00100BAE">
      <w:pPr>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En nuestra Entidad, las demandas de alimentos son presentadas en su gran mayoría por mujeres madres de familia que demandan, por su propio derecho y/o en representación de sus menores h</w:t>
      </w:r>
      <w:r>
        <w:rPr>
          <w:rFonts w:ascii="Palatino Linotype" w:eastAsia="Palatino Linotype" w:hAnsi="Palatino Linotype" w:cs="Palatino Linotype"/>
          <w:i/>
        </w:rPr>
        <w:t xml:space="preserve">ijos, de su cónyuge, concubino o ex pareja el cumplimiento de esta obligación. Esto debido a que en ocasiones los obligados a proporcionar alimentos eluden su responsabilidad, con la errónea idea de que será en perjuicio de su pareja o ex pareja, </w:t>
      </w:r>
      <w:r>
        <w:rPr>
          <w:rFonts w:ascii="Palatino Linotype" w:eastAsia="Palatino Linotype" w:hAnsi="Palatino Linotype" w:cs="Palatino Linotype"/>
          <w:i/>
        </w:rPr>
        <w:lastRenderedPageBreak/>
        <w:t>sin enten</w:t>
      </w:r>
      <w:r>
        <w:rPr>
          <w:rFonts w:ascii="Palatino Linotype" w:eastAsia="Palatino Linotype" w:hAnsi="Palatino Linotype" w:cs="Palatino Linotype"/>
          <w:i/>
        </w:rPr>
        <w:t>der que son los menores hijos los que resultan más afectados. Así que, al acudir al sistema de justicia se pretende que la pensión alimenticia correspondiente quede fijada definitivamente y se garantice el cumplimiento de la obligación alimentaria.</w:t>
      </w:r>
    </w:p>
    <w:p w:rsidR="00F92293" w:rsidRDefault="00100BAE">
      <w:pPr>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Los ali</w:t>
      </w:r>
      <w:r>
        <w:rPr>
          <w:rFonts w:ascii="Palatino Linotype" w:eastAsia="Palatino Linotype" w:hAnsi="Palatino Linotype" w:cs="Palatino Linotype"/>
          <w:i/>
        </w:rPr>
        <w:t>mentos tienen carácter preferente a favor de los hijos, sin que pueda eximirse el deudor alimentario de su cumplimiento cuando esté en posibilidades de hacerlo. En el Estado de México,</w:t>
      </w:r>
      <w:r>
        <w:rPr>
          <w:rFonts w:ascii="Palatino Linotype" w:eastAsia="Palatino Linotype" w:hAnsi="Palatino Linotype" w:cs="Palatino Linotype"/>
        </w:rPr>
        <w:t xml:space="preserve"> </w:t>
      </w:r>
      <w:r>
        <w:rPr>
          <w:rFonts w:ascii="Palatino Linotype" w:eastAsia="Palatino Linotype" w:hAnsi="Palatino Linotype" w:cs="Palatino Linotype"/>
          <w:i/>
        </w:rPr>
        <w:t>diversos son los instrumentos legales que se tienen para obligar al deu</w:t>
      </w:r>
      <w:r>
        <w:rPr>
          <w:rFonts w:ascii="Palatino Linotype" w:eastAsia="Palatino Linotype" w:hAnsi="Palatino Linotype" w:cs="Palatino Linotype"/>
          <w:i/>
        </w:rPr>
        <w:t>dor al pago de alimentos, cuando éstos no se enteran de manera voluntaria, como debe ser el ideal, entre los que destacan: el embargo de bienes, incluyendo, la del salario, así como la pérdida de la patria potestad, contempladas en la legislación civil, su</w:t>
      </w:r>
      <w:r>
        <w:rPr>
          <w:rFonts w:ascii="Palatino Linotype" w:eastAsia="Palatino Linotype" w:hAnsi="Palatino Linotype" w:cs="Palatino Linotype"/>
          <w:i/>
        </w:rPr>
        <w:t xml:space="preserve">stantiva y adjetiva. También podemos citar, la imposición de la pena de prisión hasta por siete años, por el delito de incumplimiento de obligaciones, previsto en las fracciones II y III, del artículo 217, del Código Penal del Estado de México. Pese a los </w:t>
      </w:r>
      <w:r>
        <w:rPr>
          <w:rFonts w:ascii="Palatino Linotype" w:eastAsia="Palatino Linotype" w:hAnsi="Palatino Linotype" w:cs="Palatino Linotype"/>
          <w:i/>
        </w:rPr>
        <w:t>alcances de estas medidas legales, éstas no han sido suficientes para hacer cumplir a los deudores con sus obligaciones alimentarias.</w:t>
      </w:r>
    </w:p>
    <w:p w:rsidR="00F92293" w:rsidRDefault="00100BAE">
      <w:pPr>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Por ello, creemos necesario establecer nuevos y diferentes mecanismos que aseguren el pago de los alimentos, para que sean</w:t>
      </w:r>
      <w:r>
        <w:rPr>
          <w:rFonts w:ascii="Palatino Linotype" w:eastAsia="Palatino Linotype" w:hAnsi="Palatino Linotype" w:cs="Palatino Linotype"/>
          <w:i/>
        </w:rPr>
        <w:t xml:space="preserve"> satisfechas las necesidades más básicas, principalmente de los menores, que no pueden allegarse por sí mismos los recursos económicos para la subsistencia. Lo anterior, porque cuando una persona ha logrado satisfacer sus necesidades básicas, entonces está</w:t>
      </w:r>
      <w:r>
        <w:rPr>
          <w:rFonts w:ascii="Palatino Linotype" w:eastAsia="Palatino Linotype" w:hAnsi="Palatino Linotype" w:cs="Palatino Linotype"/>
          <w:i/>
        </w:rPr>
        <w:t xml:space="preserve"> en mejores condiciones para crecer y superarse. En ese sentido, el presente Proyecto de Decreto propone la creación del Registro de Deudores Alimentarios del Estado de México (REDAEM), </w:t>
      </w:r>
      <w:r>
        <w:rPr>
          <w:rFonts w:ascii="Palatino Linotype" w:eastAsia="Palatino Linotype" w:hAnsi="Palatino Linotype" w:cs="Palatino Linotype"/>
          <w:b/>
          <w:i/>
          <w:u w:val="single"/>
        </w:rPr>
        <w:t>con la finalidad de asegurar el cumplimiento de las obligaciones alime</w:t>
      </w:r>
      <w:r>
        <w:rPr>
          <w:rFonts w:ascii="Palatino Linotype" w:eastAsia="Palatino Linotype" w:hAnsi="Palatino Linotype" w:cs="Palatino Linotype"/>
          <w:b/>
          <w:i/>
          <w:u w:val="single"/>
        </w:rPr>
        <w:t>ntarias que tienen los padres para con sus menores hijos.” (Sic)</w:t>
      </w:r>
    </w:p>
    <w:p w:rsidR="00F92293" w:rsidRDefault="00F92293">
      <w:pPr>
        <w:spacing w:after="0" w:line="360" w:lineRule="auto"/>
        <w:jc w:val="both"/>
        <w:rPr>
          <w:rFonts w:ascii="Palatino Linotype" w:eastAsia="Palatino Linotype" w:hAnsi="Palatino Linotype" w:cs="Palatino Linotype"/>
        </w:rPr>
      </w:pPr>
    </w:p>
    <w:p w:rsidR="00F92293" w:rsidRDefault="00100BAE">
      <w:pPr>
        <w:spacing w:after="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el registro de deudores alimentarios morosos no tiene por objeto su publicidad, sino por el contrario que sea un mecanismo para garantizar que los padres cump</w:t>
      </w:r>
      <w:r>
        <w:rPr>
          <w:rFonts w:ascii="Palatino Linotype" w:eastAsia="Palatino Linotype" w:hAnsi="Palatino Linotype" w:cs="Palatino Linotype"/>
        </w:rPr>
        <w:t>lan con su obligación de dar alimentos a los hijos en razón de su pr</w:t>
      </w:r>
      <w:bookmarkStart w:id="5" w:name="_GoBack"/>
      <w:bookmarkEnd w:id="5"/>
      <w:r>
        <w:rPr>
          <w:rFonts w:ascii="Palatino Linotype" w:eastAsia="Palatino Linotype" w:hAnsi="Palatino Linotype" w:cs="Palatino Linotype"/>
        </w:rPr>
        <w:t xml:space="preserve">otección (interés superior del menor), en este sentido si bien dicho registro no es público, para el caso de proporcionar los que no están inscritos como deudores morosos y se clasifiquen </w:t>
      </w:r>
      <w:r>
        <w:rPr>
          <w:rFonts w:ascii="Palatino Linotype" w:eastAsia="Palatino Linotype" w:hAnsi="Palatino Linotype" w:cs="Palatino Linotype"/>
        </w:rPr>
        <w:t>los que sí se encuentran inscritos se puede arribar a la conclusión de quiénes sí se encuentran como deudores alimentarios morosos, por lo tanto, no es procedente entrega esta información ni de quienes están ni de quienes no están, por lo que resulta proce</w:t>
      </w:r>
      <w:r>
        <w:rPr>
          <w:rFonts w:ascii="Palatino Linotype" w:eastAsia="Palatino Linotype" w:hAnsi="Palatino Linotype" w:cs="Palatino Linotype"/>
        </w:rPr>
        <w:t xml:space="preserve">dente clasificar la </w:t>
      </w:r>
      <w:r>
        <w:rPr>
          <w:rFonts w:ascii="Palatino Linotype" w:eastAsia="Palatino Linotype" w:hAnsi="Palatino Linotype" w:cs="Palatino Linotype"/>
        </w:rPr>
        <w:lastRenderedPageBreak/>
        <w:t xml:space="preserve">información solicitada de manera general como </w:t>
      </w:r>
      <w:r>
        <w:rPr>
          <w:rFonts w:ascii="Palatino Linotype" w:eastAsia="Palatino Linotype" w:hAnsi="Palatino Linotype" w:cs="Palatino Linotype"/>
          <w:b/>
        </w:rPr>
        <w:t>información confidencial en su totalidad</w:t>
      </w:r>
      <w:r>
        <w:rPr>
          <w:rFonts w:ascii="Palatino Linotype" w:eastAsia="Palatino Linotype" w:hAnsi="Palatino Linotype" w:cs="Palatino Linotype"/>
        </w:rPr>
        <w:t xml:space="preserve"> en términos del artículo 143, fracción I, de la Ley de Transparencia y Acceso a la Información Pública del Estado de México y Municipios. </w:t>
      </w:r>
    </w:p>
    <w:p w:rsidR="00F92293" w:rsidRDefault="00100BA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w:t>
      </w:r>
      <w:r>
        <w:rPr>
          <w:rFonts w:ascii="Palatino Linotype" w:eastAsia="Palatino Linotype" w:hAnsi="Palatino Linotype" w:cs="Palatino Linotype"/>
        </w:rPr>
        <w:t>ado, clasificar en su totalidad esa información de igual forma, da certeza del cumplimiento del requisito, toda vez que la clasificación y la inexistencia no pueden coexistir. A efecto de robustecer lo anterior, sirve de sustento el criterio orientador 29/</w:t>
      </w:r>
      <w:r>
        <w:rPr>
          <w:rFonts w:ascii="Palatino Linotype" w:eastAsia="Palatino Linotype" w:hAnsi="Palatino Linotype" w:cs="Palatino Linotype"/>
        </w:rPr>
        <w:t xml:space="preserve">10 emitido por el Instituto Nacional de Transparencia, Acceso a la Información y Protección de Datos Personales, INAI, el cual refiere lo siguiente: </w:t>
      </w:r>
    </w:p>
    <w:p w:rsidR="00F92293" w:rsidRDefault="00100BAE">
      <w:pPr>
        <w:spacing w:before="240" w:after="0" w:line="240" w:lineRule="auto"/>
        <w:ind w:left="425" w:right="561"/>
        <w:jc w:val="both"/>
        <w:rPr>
          <w:rFonts w:ascii="Palatino Linotype" w:eastAsia="Palatino Linotype" w:hAnsi="Palatino Linotype" w:cs="Palatino Linotype"/>
          <w:i/>
        </w:rPr>
      </w:pPr>
      <w:r>
        <w:rPr>
          <w:rFonts w:ascii="Palatino Linotype" w:eastAsia="Palatino Linotype" w:hAnsi="Palatino Linotype" w:cs="Palatino Linotype"/>
          <w:i/>
        </w:rPr>
        <w:t xml:space="preserve">“La clasificación y la inexistencia de información son conceptos que no pueden coexistir. La inexistencia </w:t>
      </w:r>
      <w:r>
        <w:rPr>
          <w:rFonts w:ascii="Palatino Linotype" w:eastAsia="Palatino Linotype" w:hAnsi="Palatino Linotype" w:cs="Palatino Linotype"/>
          <w:i/>
        </w:rPr>
        <w:t>implica necesariamente que la información no se encuentra en los archivos de la autoridad, no obstante que la dependencia o entidad cuente con facultades para poseer dicha información. En este sentido, la inexistencia es una calidad que se atribuye a la in</w:t>
      </w:r>
      <w:r>
        <w:rPr>
          <w:rFonts w:ascii="Palatino Linotype" w:eastAsia="Palatino Linotype" w:hAnsi="Palatino Linotype" w:cs="Palatino Linotype"/>
          <w:i/>
        </w:rPr>
        <w:t>formación solicitada. Por su parte, la clasificación es una característica que adquiere la información concreta contenida en un documento específico, siempre que se encuentre en los supuestos establecidos en los artículos 13 y 14 de la Ley Federal de Trans</w:t>
      </w:r>
      <w:r>
        <w:rPr>
          <w:rFonts w:ascii="Palatino Linotype" w:eastAsia="Palatino Linotype" w:hAnsi="Palatino Linotype" w:cs="Palatino Linotype"/>
          <w:i/>
        </w:rPr>
        <w:t xml:space="preserve">parencia y Acceso a la Información Pública Gubernamental, para el caso de la información reservada, y 18 del mismo ordenamiento, para el caso de la información confidencial. </w:t>
      </w:r>
    </w:p>
    <w:p w:rsidR="00F92293" w:rsidRDefault="00100BAE">
      <w:pPr>
        <w:spacing w:after="0" w:line="240" w:lineRule="auto"/>
        <w:ind w:left="425" w:right="561"/>
        <w:jc w:val="both"/>
        <w:rPr>
          <w:rFonts w:ascii="Palatino Linotype" w:eastAsia="Palatino Linotype" w:hAnsi="Palatino Linotype" w:cs="Palatino Linotype"/>
          <w:i/>
        </w:rPr>
      </w:pPr>
      <w:r>
        <w:rPr>
          <w:rFonts w:ascii="Palatino Linotype" w:eastAsia="Palatino Linotype" w:hAnsi="Palatino Linotype" w:cs="Palatino Linotype"/>
          <w:i/>
        </w:rPr>
        <w:t>Por lo anterior, la clasificación y la inexistencia no coexisten entre sí, en vir</w:t>
      </w:r>
      <w:r>
        <w:rPr>
          <w:rFonts w:ascii="Palatino Linotype" w:eastAsia="Palatino Linotype" w:hAnsi="Palatino Linotype" w:cs="Palatino Linotype"/>
          <w:i/>
        </w:rPr>
        <w:t xml:space="preserve">tud de que la clasificación de información implica invariablemente la existencia de un documento o documentos determinados mientras que la inexistencia conlleva la ausencia de los mismos en los archivos de la dependencia o entidad de que se trate." </w:t>
      </w:r>
    </w:p>
    <w:p w:rsidR="00F92293" w:rsidRDefault="00F92293">
      <w:pPr>
        <w:tabs>
          <w:tab w:val="left" w:pos="4962"/>
        </w:tabs>
        <w:spacing w:after="0" w:line="360" w:lineRule="auto"/>
        <w:ind w:right="-3"/>
        <w:jc w:val="both"/>
        <w:rPr>
          <w:rFonts w:ascii="Palatino Linotype" w:eastAsia="Palatino Linotype" w:hAnsi="Palatino Linotype" w:cs="Palatino Linotype"/>
        </w:rPr>
      </w:pPr>
      <w:bookmarkStart w:id="6" w:name="_heading=h.1fob9te" w:colFirst="0" w:colLast="0"/>
      <w:bookmarkEnd w:id="6"/>
    </w:p>
    <w:p w:rsidR="00F92293" w:rsidRDefault="00100BAE">
      <w:pPr>
        <w:tabs>
          <w:tab w:val="left" w:pos="4962"/>
        </w:tabs>
        <w:spacing w:after="0" w:line="360" w:lineRule="auto"/>
        <w:ind w:right="-3"/>
        <w:jc w:val="both"/>
        <w:rPr>
          <w:rFonts w:ascii="Palatino Linotype" w:eastAsia="Palatino Linotype" w:hAnsi="Palatino Linotype" w:cs="Palatino Linotype"/>
        </w:rPr>
        <w:sectPr w:rsidR="00F92293">
          <w:headerReference w:type="even" r:id="rId11"/>
          <w:headerReference w:type="default" r:id="rId12"/>
          <w:footerReference w:type="default" r:id="rId13"/>
          <w:pgSz w:w="12240" w:h="15840"/>
          <w:pgMar w:top="1871" w:right="1327" w:bottom="2836" w:left="1985" w:header="709" w:footer="586" w:gutter="0"/>
          <w:pgNumType w:start="1"/>
          <w:cols w:space="720"/>
        </w:sectPr>
      </w:pPr>
      <w:bookmarkStart w:id="7" w:name="_heading=h.3znysh7" w:colFirst="0" w:colLast="0"/>
      <w:bookmarkEnd w:id="7"/>
      <w:r>
        <w:rPr>
          <w:rFonts w:ascii="Palatino Linotype" w:eastAsia="Palatino Linotype" w:hAnsi="Palatino Linotype" w:cs="Palatino Linotype"/>
        </w:rPr>
        <w:t>Por las razones antes expuestas, se emite el presente Voto Particular.</w:t>
      </w:r>
    </w:p>
    <w:p w:rsidR="00F92293" w:rsidRDefault="00F92293">
      <w:pPr>
        <w:spacing w:before="240" w:after="240" w:line="360" w:lineRule="auto"/>
        <w:ind w:right="423"/>
        <w:jc w:val="both"/>
        <w:rPr>
          <w:rFonts w:ascii="Palatino Linotype" w:eastAsia="Palatino Linotype" w:hAnsi="Palatino Linotype" w:cs="Palatino Linotype"/>
        </w:rPr>
      </w:pPr>
    </w:p>
    <w:sectPr w:rsidR="00F92293">
      <w:headerReference w:type="default" r:id="rId14"/>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00BAE">
      <w:pPr>
        <w:spacing w:after="0" w:line="240" w:lineRule="auto"/>
      </w:pPr>
      <w:r>
        <w:separator/>
      </w:r>
    </w:p>
  </w:endnote>
  <w:endnote w:type="continuationSeparator" w:id="0">
    <w:p w:rsidR="00000000" w:rsidRDefault="0010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93" w:rsidRDefault="00100BA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E02AA4">
      <w:rPr>
        <w:rFonts w:ascii="Arial" w:eastAsia="Arial" w:hAnsi="Arial" w:cs="Arial"/>
        <w:b/>
        <w:color w:val="000000"/>
        <w:sz w:val="20"/>
        <w:szCs w:val="20"/>
      </w:rPr>
      <w:fldChar w:fldCharType="separate"/>
    </w:r>
    <w:r>
      <w:rPr>
        <w:rFonts w:ascii="Arial" w:eastAsia="Arial" w:hAnsi="Arial" w:cs="Arial"/>
        <w:b/>
        <w:noProof/>
        <w:color w:val="000000"/>
        <w:sz w:val="20"/>
        <w:szCs w:val="20"/>
      </w:rPr>
      <w:t>10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E02AA4">
      <w:rPr>
        <w:rFonts w:ascii="Arial" w:eastAsia="Arial" w:hAnsi="Arial" w:cs="Arial"/>
        <w:b/>
        <w:color w:val="000000"/>
        <w:sz w:val="20"/>
        <w:szCs w:val="20"/>
      </w:rPr>
      <w:fldChar w:fldCharType="separate"/>
    </w:r>
    <w:r>
      <w:rPr>
        <w:rFonts w:ascii="Arial" w:eastAsia="Arial" w:hAnsi="Arial" w:cs="Arial"/>
        <w:b/>
        <w:noProof/>
        <w:color w:val="000000"/>
        <w:sz w:val="20"/>
        <w:szCs w:val="20"/>
      </w:rPr>
      <w:t>12</w:t>
    </w:r>
    <w:r>
      <w:rPr>
        <w:rFonts w:ascii="Arial" w:eastAsia="Arial" w:hAnsi="Arial" w:cs="Arial"/>
        <w:b/>
        <w:color w:val="000000"/>
        <w:sz w:val="20"/>
        <w:szCs w:val="20"/>
      </w:rPr>
      <w:fldChar w:fldCharType="end"/>
    </w:r>
  </w:p>
  <w:p w:rsidR="00F92293" w:rsidRDefault="00F9229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00BAE">
      <w:pPr>
        <w:spacing w:after="0" w:line="240" w:lineRule="auto"/>
      </w:pPr>
      <w:r>
        <w:separator/>
      </w:r>
    </w:p>
  </w:footnote>
  <w:footnote w:type="continuationSeparator" w:id="0">
    <w:p w:rsidR="00000000" w:rsidRDefault="00100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93" w:rsidRDefault="00100BA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s">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30143759" cy="30143759"/>
              <wp:effectExtent l="0" t="0" r="0" b="0"/>
              <wp:wrapNone/>
              <wp:docPr id="9" name=""/>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F92293" w:rsidRDefault="00100BAE">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w:pict>
            <v:rect id="_x0000_s1026" style="position:absolute;margin-left:0;margin-top:0;width:2373.5pt;height:2373.5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" filled="f" stroked="f">
              <v:textbox inset="2.53958mm,2.53958mm,2.53958mm,2.53958mm">
                <w:txbxContent>
                  <w:p w:rsidR="00F92293" w:rsidRDefault="00100BAE">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93" w:rsidRDefault="00100BA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-695322</wp:posOffset>
          </wp:positionH>
          <wp:positionV relativeFrom="paragraph">
            <wp:posOffset>-433065</wp:posOffset>
          </wp:positionV>
          <wp:extent cx="7510628" cy="9883775"/>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F92293" w:rsidRDefault="00F9229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92293" w:rsidRDefault="00F9229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92293" w:rsidRDefault="00100BA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F92293" w:rsidRDefault="00100BA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sz w:val="20"/>
        <w:szCs w:val="20"/>
      </w:rPr>
    </w:pPr>
    <w:r>
      <w:rPr>
        <w:rFonts w:ascii="Palatino Linotype" w:eastAsia="Palatino Linotype" w:hAnsi="Palatino Linotype" w:cs="Palatino Linotype"/>
        <w:b/>
        <w:color w:val="000000"/>
        <w:sz w:val="20"/>
        <w:szCs w:val="20"/>
      </w:rPr>
      <w:t xml:space="preserve">   RECURSOS DE REVISIÓN 08399/INFOEM/IP/RR/202</w:t>
    </w:r>
    <w:r>
      <w:rPr>
        <w:rFonts w:ascii="Palatino Linotype" w:eastAsia="Palatino Linotype" w:hAnsi="Palatino Linotype" w:cs="Palatino Linotype"/>
        <w:b/>
        <w:sz w:val="20"/>
        <w:szCs w:val="20"/>
      </w:rPr>
      <w:t>3</w:t>
    </w:r>
  </w:p>
  <w:p w:rsidR="00F92293" w:rsidRDefault="00F9229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93" w:rsidRDefault="00F9229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92293" w:rsidRDefault="00F9229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92293" w:rsidRDefault="00F9229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92293" w:rsidRDefault="00F9229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5647"/>
    <w:multiLevelType w:val="multilevel"/>
    <w:tmpl w:val="548E45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E91434"/>
    <w:multiLevelType w:val="multilevel"/>
    <w:tmpl w:val="AB603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6E285F"/>
    <w:multiLevelType w:val="multilevel"/>
    <w:tmpl w:val="EE0E1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497611"/>
    <w:multiLevelType w:val="hybridMultilevel"/>
    <w:tmpl w:val="7A0EE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93"/>
    <w:rsid w:val="00100BAE"/>
    <w:rsid w:val="00E02AA4"/>
    <w:rsid w:val="00F922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6331F-A3BB-43E9-B435-E6C28169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8620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0AB"/>
  </w:style>
  <w:style w:type="paragraph" w:styleId="Encabezado">
    <w:name w:val="header"/>
    <w:basedOn w:val="Normal"/>
    <w:link w:val="EncabezadoCar"/>
    <w:uiPriority w:val="99"/>
    <w:unhideWhenUsed/>
    <w:rsid w:val="008620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0A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20AB"/>
    <w:pPr>
      <w:spacing w:after="0" w:line="240" w:lineRule="auto"/>
      <w:ind w:left="708"/>
    </w:pPr>
    <w:rPr>
      <w:rFonts w:ascii="Times New Roman" w:eastAsia="Times New Roman" w:hAnsi="Times New Roman" w:cs="Times New Roman"/>
      <w:sz w:val="24"/>
      <w:szCs w:val="24"/>
      <w:lang w:val="es-MX"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20AB"/>
    <w:rPr>
      <w:rFonts w:ascii="Times New Roman" w:eastAsia="Times New Roman" w:hAnsi="Times New Roman" w:cs="Times New Roman"/>
      <w:sz w:val="24"/>
      <w:szCs w:val="24"/>
      <w:lang w:val="es-MX" w:eastAsia="es-ES"/>
    </w:rPr>
  </w:style>
  <w:style w:type="character" w:styleId="Hipervnculo">
    <w:name w:val="Hyperlink"/>
    <w:basedOn w:val="Fuentedeprrafopredeter"/>
    <w:uiPriority w:val="99"/>
    <w:unhideWhenUsed/>
    <w:rsid w:val="00DF60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pomex.org.mx/recursos/ipo/files_ipo/2014/8/11/630bc7787b59af912a96a9e1bca1c770.pdf" TargetMode="External"/><Relationship Id="rId4" Type="http://schemas.openxmlformats.org/officeDocument/2006/relationships/settings" Target="settings.xml"/><Relationship Id="rId9" Type="http://schemas.openxmlformats.org/officeDocument/2006/relationships/hyperlink" Target="https://finanzas.edomex.gob.mx/sites/finanzas.edomes.gob.mx/files/files/Servidores%20Publicos/MANUAL/Procedimientos/021_2019.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CipXGEmcQjA8yTzQrA9mnERKTg==">CgMxLjAyDmguNHMycWFwZmo2cWozMghoLmdqZGd4czIIaC50eWpjd3QyCWguMzBqMHpsbDIJaC4yZXQ5MnAwMgloLjFmb2I5dGUyCWguM3pueXNoNzgAciExNW4wbU53aTh6MlBfUUlOTnlUclh1M0NYZnB1Z0I3M0k=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3304</Words>
  <Characters>18178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INFOEM406</cp:lastModifiedBy>
  <cp:revision>3</cp:revision>
  <cp:lastPrinted>2024-05-14T20:48:00Z</cp:lastPrinted>
  <dcterms:created xsi:type="dcterms:W3CDTF">2024-05-14T20:48:00Z</dcterms:created>
  <dcterms:modified xsi:type="dcterms:W3CDTF">2024-05-14T20:50:00Z</dcterms:modified>
</cp:coreProperties>
</file>