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01" w:rsidRDefault="009F4D73">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PRIMERA SESIÓN ORDINARIA DEL TRES DE ABRIL DE DOS MIL VEINTICUATRO, EN EL RECURSO DE REVISIÓN 02459/INFOEM/IP/RR/2023.</w:t>
      </w:r>
    </w:p>
    <w:p w:rsidR="00A02B01" w:rsidRDefault="00A02B01">
      <w:pPr>
        <w:spacing w:after="0" w:line="360" w:lineRule="auto"/>
        <w:jc w:val="both"/>
        <w:rPr>
          <w:rFonts w:ascii="Palatino Linotype" w:eastAsia="Palatino Linotype" w:hAnsi="Palatino Linotype" w:cs="Palatino Linotype"/>
          <w:b/>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w:t>
      </w:r>
      <w:r>
        <w:rPr>
          <w:rFonts w:ascii="Palatino Linotype" w:eastAsia="Palatino Linotype" w:hAnsi="Palatino Linotype" w:cs="Palatino Linotype"/>
        </w:rPr>
        <w:t xml:space="preserve">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02459/INFOEM/IP/RR/2023</w:t>
      </w:r>
      <w:r>
        <w:rPr>
          <w:rFonts w:ascii="Palatino Linotype" w:eastAsia="Palatino Linotype" w:hAnsi="Palatino Linotype" w:cs="Palatino Linotype"/>
        </w:rPr>
        <w:t>, pronunciada por el Pleno de este Instituto ante el proye</w:t>
      </w:r>
      <w:r>
        <w:rPr>
          <w:rFonts w:ascii="Palatino Linotype" w:eastAsia="Palatino Linotype" w:hAnsi="Palatino Linotype" w:cs="Palatino Linotype"/>
        </w:rPr>
        <w:t xml:space="preserve">cto presentado por la suscrita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engrosado conforme al criterio mayoritario del Pleno, el cual es al tenor siguiente:</w:t>
      </w: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A02B01" w:rsidRDefault="009F4D73">
      <w:pPr>
        <w:numPr>
          <w:ilvl w:val="0"/>
          <w:numId w:val="1"/>
        </w:numPr>
        <w:tabs>
          <w:tab w:val="left" w:pos="567"/>
        </w:tabs>
        <w:spacing w:after="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A02B01" w:rsidRDefault="00A02B01">
      <w:pPr>
        <w:tabs>
          <w:tab w:val="left" w:pos="567"/>
        </w:tabs>
        <w:spacing w:after="0" w:line="360" w:lineRule="auto"/>
        <w:ind w:left="284"/>
        <w:jc w:val="both"/>
        <w:rPr>
          <w:rFonts w:ascii="Palatino Linotype" w:eastAsia="Palatino Linotype" w:hAnsi="Palatino Linotype" w:cs="Palatino Linotype"/>
          <w:b/>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Ayuntamiento de Valle de Br</w:t>
      </w:r>
      <w:r>
        <w:rPr>
          <w:rFonts w:ascii="Palatino Linotype" w:eastAsia="Palatino Linotype" w:hAnsi="Palatino Linotype" w:cs="Palatino Linotype"/>
          <w:b/>
        </w:rPr>
        <w:t>avo</w:t>
      </w:r>
      <w:r>
        <w:rPr>
          <w:rFonts w:ascii="Palatino Linotype" w:eastAsia="Palatino Linotype" w:hAnsi="Palatino Linotype" w:cs="Palatino Linotype"/>
        </w:rPr>
        <w:t xml:space="preserve">,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la siguiente información: </w:t>
      </w:r>
    </w:p>
    <w:p w:rsidR="00A02B01" w:rsidRDefault="009F4D73">
      <w:pPr>
        <w:spacing w:before="240" w:after="240" w:line="240" w:lineRule="auto"/>
        <w:ind w:left="567" w:right="902"/>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i/>
        </w:rPr>
        <w:t xml:space="preserve">“solicito las certificaciones que exige la Ley Orgánica en sus artículos </w:t>
      </w:r>
      <w:proofErr w:type="spellStart"/>
      <w:r>
        <w:rPr>
          <w:rFonts w:ascii="Palatino Linotype" w:eastAsia="Palatino Linotype" w:hAnsi="Palatino Linotype" w:cs="Palatino Linotype"/>
          <w:i/>
        </w:rPr>
        <w:t>artículos</w:t>
      </w:r>
      <w:proofErr w:type="spellEnd"/>
      <w:r>
        <w:rPr>
          <w:rFonts w:ascii="Palatino Linotype" w:eastAsia="Palatino Linotype" w:hAnsi="Palatino Linotype" w:cs="Palatino Linotype"/>
          <w:i/>
        </w:rPr>
        <w:t xml:space="preserve"> 15, 32, 81 Bis, 85 </w:t>
      </w:r>
      <w:proofErr w:type="spellStart"/>
      <w:r>
        <w:rPr>
          <w:rFonts w:ascii="Palatino Linotype" w:eastAsia="Palatino Linotype" w:hAnsi="Palatino Linotype" w:cs="Palatino Linotype"/>
          <w:i/>
        </w:rPr>
        <w:t>Sexies</w:t>
      </w:r>
      <w:proofErr w:type="spellEnd"/>
      <w:r>
        <w:rPr>
          <w:rFonts w:ascii="Palatino Linotype" w:eastAsia="Palatino Linotype" w:hAnsi="Palatino Linotype" w:cs="Palatino Linotype"/>
          <w:i/>
        </w:rPr>
        <w:t xml:space="preserve">, 92, 96, 96 Bis, 96 </w:t>
      </w:r>
      <w:proofErr w:type="spellStart"/>
      <w:r>
        <w:rPr>
          <w:rFonts w:ascii="Palatino Linotype" w:eastAsia="Palatino Linotype" w:hAnsi="Palatino Linotype" w:cs="Palatino Linotype"/>
          <w:i/>
        </w:rPr>
        <w:t>Quintus</w:t>
      </w:r>
      <w:proofErr w:type="spellEnd"/>
      <w:r>
        <w:rPr>
          <w:rFonts w:ascii="Palatino Linotype" w:eastAsia="Palatino Linotype" w:hAnsi="Palatino Linotype" w:cs="Palatino Linotype"/>
          <w:i/>
        </w:rPr>
        <w:t xml:space="preserve">, 96 </w:t>
      </w:r>
      <w:proofErr w:type="spellStart"/>
      <w:r>
        <w:rPr>
          <w:rFonts w:ascii="Palatino Linotype" w:eastAsia="Palatino Linotype" w:hAnsi="Palatino Linotype" w:cs="Palatino Linotype"/>
          <w:i/>
        </w:rPr>
        <w:t>Septies</w:t>
      </w:r>
      <w:proofErr w:type="spellEnd"/>
      <w:r>
        <w:rPr>
          <w:rFonts w:ascii="Palatino Linotype" w:eastAsia="Palatino Linotype" w:hAnsi="Palatino Linotype" w:cs="Palatino Linotype"/>
          <w:i/>
        </w:rPr>
        <w:t xml:space="preserve">, 96 </w:t>
      </w:r>
      <w:proofErr w:type="spellStart"/>
      <w:r>
        <w:rPr>
          <w:rFonts w:ascii="Palatino Linotype" w:eastAsia="Palatino Linotype" w:hAnsi="Palatino Linotype" w:cs="Palatino Linotype"/>
          <w:i/>
        </w:rPr>
        <w:t>Nonies</w:t>
      </w:r>
      <w:proofErr w:type="spellEnd"/>
      <w:r>
        <w:rPr>
          <w:rFonts w:ascii="Palatino Linotype" w:eastAsia="Palatino Linotype" w:hAnsi="Palatino Linotype" w:cs="Palatino Linotype"/>
          <w:i/>
        </w:rPr>
        <w:t xml:space="preserve">, 96 </w:t>
      </w:r>
      <w:proofErr w:type="spellStart"/>
      <w:r>
        <w:rPr>
          <w:rFonts w:ascii="Palatino Linotype" w:eastAsia="Palatino Linotype" w:hAnsi="Palatino Linotype" w:cs="Palatino Linotype"/>
          <w:i/>
        </w:rPr>
        <w:t>Undecies</w:t>
      </w:r>
      <w:proofErr w:type="spellEnd"/>
      <w:r>
        <w:rPr>
          <w:rFonts w:ascii="Palatino Linotype" w:eastAsia="Palatino Linotype" w:hAnsi="Palatino Linotype" w:cs="Palatino Linotype"/>
          <w:i/>
        </w:rPr>
        <w:t xml:space="preserve">, 96 </w:t>
      </w:r>
      <w:proofErr w:type="spellStart"/>
      <w:r>
        <w:rPr>
          <w:rFonts w:ascii="Palatino Linotype" w:eastAsia="Palatino Linotype" w:hAnsi="Palatino Linotype" w:cs="Palatino Linotype"/>
          <w:i/>
        </w:rPr>
        <w:t>Terdecies</w:t>
      </w:r>
      <w:proofErr w:type="spellEnd"/>
      <w:r>
        <w:rPr>
          <w:rFonts w:ascii="Palatino Linotype" w:eastAsia="Palatino Linotype" w:hAnsi="Palatino Linotype" w:cs="Palatino Linotype"/>
          <w:i/>
        </w:rPr>
        <w:t xml:space="preserve">, 96 </w:t>
      </w:r>
      <w:proofErr w:type="spellStart"/>
      <w:r>
        <w:rPr>
          <w:rFonts w:ascii="Palatino Linotype" w:eastAsia="Palatino Linotype" w:hAnsi="Palatino Linotype" w:cs="Palatino Linotype"/>
          <w:i/>
        </w:rPr>
        <w:t>Quindecies</w:t>
      </w:r>
      <w:proofErr w:type="spellEnd"/>
      <w:r>
        <w:rPr>
          <w:rFonts w:ascii="Palatino Linotype" w:eastAsia="Palatino Linotype" w:hAnsi="Palatino Linotype" w:cs="Palatino Linotype"/>
          <w:i/>
        </w:rPr>
        <w:t xml:space="preserve">, 113, 123 Bis, 124 </w:t>
      </w:r>
      <w:proofErr w:type="spellStart"/>
      <w:r>
        <w:rPr>
          <w:rFonts w:ascii="Palatino Linotype" w:eastAsia="Palatino Linotype" w:hAnsi="Palatino Linotype" w:cs="Palatino Linotype"/>
          <w:i/>
        </w:rPr>
        <w:t>Quater</w:t>
      </w:r>
      <w:proofErr w:type="spellEnd"/>
      <w:r>
        <w:rPr>
          <w:rFonts w:ascii="Palatino Linotype" w:eastAsia="Palatino Linotype" w:hAnsi="Palatino Linotype" w:cs="Palatino Linotype"/>
          <w:i/>
        </w:rPr>
        <w:t xml:space="preserve"> y 147 I” (Sic) </w:t>
      </w: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remitió los siguientes archivos electrónicos:</w:t>
      </w:r>
    </w:p>
    <w:p w:rsidR="00A02B01" w:rsidRDefault="009F4D73">
      <w:pPr>
        <w:spacing w:before="240" w:after="24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lastRenderedPageBreak/>
        <w:t xml:space="preserve">“9extra.pdf”: </w:t>
      </w:r>
      <w:r>
        <w:rPr>
          <w:rFonts w:ascii="Palatino Linotype" w:eastAsia="Palatino Linotype" w:hAnsi="Palatino Linotype" w:cs="Palatino Linotype"/>
          <w:sz w:val="24"/>
          <w:szCs w:val="24"/>
        </w:rPr>
        <w:t>Acta de la Novena Sesión Extraordinaria del Comité Municipal de Transparencia del Ayuntami</w:t>
      </w:r>
      <w:r>
        <w:rPr>
          <w:rFonts w:ascii="Palatino Linotype" w:eastAsia="Palatino Linotype" w:hAnsi="Palatino Linotype" w:cs="Palatino Linotype"/>
          <w:sz w:val="24"/>
          <w:szCs w:val="24"/>
        </w:rPr>
        <w:t>ento de Valle de Bravo, mediante la cual se aprueba la propuesta de clasificación de información como confidencial de la solicitud 00083/VABRAVO/IP/2023, la cual no guarda relación con la solicitud de información del recurso de revisión que nos ocupa.</w:t>
      </w:r>
    </w:p>
    <w:p w:rsidR="00A02B01" w:rsidRDefault="009F4D73">
      <w:pPr>
        <w:spacing w:before="240" w:after="24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“82 </w:t>
      </w:r>
      <w:r>
        <w:rPr>
          <w:rFonts w:ascii="Palatino Linotype" w:eastAsia="Palatino Linotype" w:hAnsi="Palatino Linotype" w:cs="Palatino Linotype"/>
          <w:b/>
          <w:i/>
        </w:rPr>
        <w:t xml:space="preserve">admonT.pdf”: </w:t>
      </w:r>
      <w:r>
        <w:rPr>
          <w:rFonts w:ascii="Palatino Linotype" w:eastAsia="Palatino Linotype" w:hAnsi="Palatino Linotype" w:cs="Palatino Linotype"/>
          <w:sz w:val="24"/>
          <w:szCs w:val="24"/>
        </w:rPr>
        <w:t>Oficio DA/0406/MAYO/2023, suscrito por el Director de Administración, quien señala que conforme a lo dispuesto por el artículo 32 de la Ley Orgánica Municipal, agrega las certificaciones de la Dirección de Bienestar, Contraloría, Mejora Regula</w:t>
      </w:r>
      <w:r>
        <w:rPr>
          <w:rFonts w:ascii="Palatino Linotype" w:eastAsia="Palatino Linotype" w:hAnsi="Palatino Linotype" w:cs="Palatino Linotype"/>
          <w:sz w:val="24"/>
          <w:szCs w:val="24"/>
        </w:rPr>
        <w:t>toria, Secretario del Ayuntamiento, Tesorera Municipal, Obras Públicas y Desarrollo Urbano.</w:t>
      </w:r>
    </w:p>
    <w:p w:rsidR="00A02B01" w:rsidRDefault="009F4D73">
      <w:pPr>
        <w:spacing w:before="240" w:after="24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refiere que actualmente no cuenta con una Dirección de Ecología, pero si con una Coordinación que se encuentra dentro de la Dirección de Seguridad Pública</w:t>
      </w:r>
      <w:r>
        <w:rPr>
          <w:rFonts w:ascii="Palatino Linotype" w:eastAsia="Palatino Linotype" w:hAnsi="Palatino Linotype" w:cs="Palatino Linotype"/>
          <w:sz w:val="24"/>
          <w:szCs w:val="24"/>
        </w:rPr>
        <w:t xml:space="preserve">, no se cuenta con una Dirección de Desarrollo Social pero el área equivalente es la Dirección de Bienestar, así también la Dirección de Obras Públicas se encuentra fusionada con </w:t>
      </w:r>
      <w:proofErr w:type="gramStart"/>
      <w:r>
        <w:rPr>
          <w:rFonts w:ascii="Palatino Linotype" w:eastAsia="Palatino Linotype" w:hAnsi="Palatino Linotype" w:cs="Palatino Linotype"/>
          <w:sz w:val="24"/>
          <w:szCs w:val="24"/>
        </w:rPr>
        <w:t>la</w:t>
      </w:r>
      <w:proofErr w:type="gramEnd"/>
      <w:r>
        <w:rPr>
          <w:rFonts w:ascii="Palatino Linotype" w:eastAsia="Palatino Linotype" w:hAnsi="Palatino Linotype" w:cs="Palatino Linotype"/>
          <w:sz w:val="24"/>
          <w:szCs w:val="24"/>
        </w:rPr>
        <w:t xml:space="preserve"> Dirección de Desarrollo Urbano, cabe mencionar también que las certificaci</w:t>
      </w:r>
      <w:r>
        <w:rPr>
          <w:rFonts w:ascii="Palatino Linotype" w:eastAsia="Palatino Linotype" w:hAnsi="Palatino Linotype" w:cs="Palatino Linotype"/>
          <w:sz w:val="24"/>
          <w:szCs w:val="24"/>
        </w:rPr>
        <w:t>ones de las diferentes áreas que se solicitan se encuentran en proceso conforme al artículo 32 fracción IV de la Ley Orgánica Municipal.</w:t>
      </w:r>
    </w:p>
    <w:p w:rsidR="00A02B01" w:rsidRDefault="009F4D73">
      <w:pPr>
        <w:spacing w:after="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rPr>
        <w:lastRenderedPageBreak/>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expresando las siguientes consideraciones</w:t>
      </w:r>
      <w:r>
        <w:rPr>
          <w:rFonts w:ascii="Palatino Linotype" w:eastAsia="Palatino Linotype" w:hAnsi="Palatino Linotype" w:cs="Palatino Linotype"/>
          <w:smallCaps/>
        </w:rPr>
        <w:t xml:space="preserve">: </w:t>
      </w:r>
    </w:p>
    <w:p w:rsidR="00A02B01" w:rsidRDefault="009F4D73">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A02B01" w:rsidRDefault="009F4D73">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“la respuesta” (Sic)</w:t>
      </w:r>
    </w:p>
    <w:p w:rsidR="00A02B01" w:rsidRDefault="009F4D73">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A02B01" w:rsidRDefault="009F4D73">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“no entregan todo, no justifican ni fundamentan </w:t>
      </w:r>
      <w:proofErr w:type="spellStart"/>
      <w:r>
        <w:rPr>
          <w:rFonts w:ascii="Palatino Linotype" w:eastAsia="Palatino Linotype" w:hAnsi="Palatino Linotype" w:cs="Palatino Linotype"/>
          <w:i/>
        </w:rPr>
        <w:t>el porque</w:t>
      </w:r>
      <w:proofErr w:type="spellEnd"/>
      <w:r>
        <w:rPr>
          <w:rFonts w:ascii="Palatino Linotype" w:eastAsia="Palatino Linotype" w:hAnsi="Palatino Linotype" w:cs="Palatino Linotype"/>
          <w:i/>
        </w:rPr>
        <w:t xml:space="preserve"> no se entregan las </w:t>
      </w:r>
      <w:proofErr w:type="spellStart"/>
      <w:r>
        <w:rPr>
          <w:rFonts w:ascii="Palatino Linotype" w:eastAsia="Palatino Linotype" w:hAnsi="Palatino Linotype" w:cs="Palatino Linotype"/>
          <w:i/>
        </w:rPr>
        <w:t>demas</w:t>
      </w:r>
      <w:proofErr w:type="spellEnd"/>
      <w:r>
        <w:rPr>
          <w:rFonts w:ascii="Palatino Linotype" w:eastAsia="Palatino Linotype" w:hAnsi="Palatino Linotype" w:cs="Palatino Linotype"/>
          <w:i/>
        </w:rPr>
        <w:t xml:space="preserve"> </w:t>
      </w:r>
      <w:proofErr w:type="spellStart"/>
      <w:r>
        <w:rPr>
          <w:rFonts w:ascii="Palatino Linotype" w:eastAsia="Palatino Linotype" w:hAnsi="Palatino Linotype" w:cs="Palatino Linotype"/>
          <w:i/>
        </w:rPr>
        <w:t>certifiaciones</w:t>
      </w:r>
      <w:proofErr w:type="spellEnd"/>
      <w:r>
        <w:rPr>
          <w:rFonts w:ascii="Palatino Linotype" w:eastAsia="Palatino Linotype" w:hAnsi="Palatino Linotype" w:cs="Palatino Linotype"/>
          <w:i/>
        </w:rPr>
        <w:t xml:space="preserve"> solicitadas, no dan acuerdo de inexistencia, quitan las fotos de las </w:t>
      </w:r>
      <w:proofErr w:type="spellStart"/>
      <w:r>
        <w:rPr>
          <w:rFonts w:ascii="Palatino Linotype" w:eastAsia="Palatino Linotype" w:hAnsi="Palatino Linotype" w:cs="Palatino Linotype"/>
          <w:i/>
        </w:rPr>
        <w:t>certifiaciones</w:t>
      </w:r>
      <w:proofErr w:type="spellEnd"/>
      <w:r>
        <w:rPr>
          <w:rFonts w:ascii="Palatino Linotype" w:eastAsia="Palatino Linotype" w:hAnsi="Palatino Linotype" w:cs="Palatino Linotype"/>
          <w:i/>
        </w:rPr>
        <w:t>, todo mal con</w:t>
      </w:r>
      <w:r>
        <w:rPr>
          <w:rFonts w:ascii="Palatino Linotype" w:eastAsia="Palatino Linotype" w:hAnsi="Palatino Linotype" w:cs="Palatino Linotype"/>
          <w:i/>
        </w:rPr>
        <w:t xml:space="preserve"> esta unidad de transparencia.” (Sic)</w:t>
      </w:r>
    </w:p>
    <w:p w:rsidR="00A02B01" w:rsidRDefault="00A02B01">
      <w:pPr>
        <w:spacing w:after="0" w:line="360" w:lineRule="auto"/>
        <w:jc w:val="both"/>
        <w:rPr>
          <w:rFonts w:ascii="Palatino Linotype" w:eastAsia="Palatino Linotype" w:hAnsi="Palatino Linotype" w:cs="Palatino Linotype"/>
          <w:b/>
          <w:sz w:val="24"/>
          <w:szCs w:val="24"/>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presentara sus manifestaciones o alegatos, teniendo así </w:t>
      </w:r>
      <w:r>
        <w:rPr>
          <w:rFonts w:ascii="Palatino Linotype" w:eastAsia="Palatino Linotype" w:hAnsi="Palatino Linotype" w:cs="Palatino Linotype"/>
        </w:rPr>
        <w:t xml:space="preserve">que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no remitió documento alguno, mientras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las siguientes documentales:</w:t>
      </w:r>
    </w:p>
    <w:p w:rsidR="00A02B01" w:rsidRDefault="00A02B01">
      <w:pPr>
        <w:spacing w:after="0" w:line="360" w:lineRule="auto"/>
        <w:jc w:val="both"/>
        <w:rPr>
          <w:rFonts w:ascii="Palatino Linotype" w:eastAsia="Palatino Linotype" w:hAnsi="Palatino Linotype" w:cs="Palatino Linotype"/>
        </w:rPr>
      </w:pP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“82AdmonRR.pdf”: </w:t>
      </w:r>
      <w:r>
        <w:rPr>
          <w:rFonts w:ascii="Palatino Linotype" w:eastAsia="Palatino Linotype" w:hAnsi="Palatino Linotype" w:cs="Palatino Linotype"/>
          <w:color w:val="000000"/>
        </w:rPr>
        <w:t>Oficio DA/0441/MAYO/2023, por el cual, el Director de Administración señala que entregó certificaciones que únicamente s</w:t>
      </w:r>
      <w:r>
        <w:rPr>
          <w:rFonts w:ascii="Palatino Linotype" w:eastAsia="Palatino Linotype" w:hAnsi="Palatino Linotype" w:cs="Palatino Linotype"/>
          <w:color w:val="000000"/>
        </w:rPr>
        <w:t>e encuentran en los expedientes de servidores públicos, precisando que conforme a los artículos citados por la parte Recurrente, se hicieron entrega de los certificados con los que cuenta.</w:t>
      </w:r>
    </w:p>
    <w:p w:rsidR="00A02B01" w:rsidRDefault="00A02B01">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p>
    <w:p w:rsidR="00A02B01" w:rsidRDefault="009F4D73">
      <w:pPr>
        <w:pBdr>
          <w:top w:val="nil"/>
          <w:left w:val="nil"/>
          <w:bottom w:val="nil"/>
          <w:right w:val="nil"/>
          <w:between w:val="nil"/>
        </w:pBdr>
        <w:tabs>
          <w:tab w:val="left" w:pos="284"/>
          <w:tab w:val="left" w:pos="720"/>
          <w:tab w:val="left" w:pos="1440"/>
          <w:tab w:val="left" w:pos="2160"/>
          <w:tab w:val="left" w:pos="2880"/>
          <w:tab w:val="left" w:pos="3722"/>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“82RR.pdf”: </w:t>
      </w:r>
      <w:r>
        <w:rPr>
          <w:rFonts w:ascii="Palatino Linotype" w:eastAsia="Palatino Linotype" w:hAnsi="Palatino Linotype" w:cs="Palatino Linotype"/>
          <w:color w:val="000000"/>
        </w:rPr>
        <w:t xml:space="preserve">Oficio UIPPE/007/MAYO/2023, signado por el Titular de la UIPPE, quien señala que de acuerdo al artículo 32, fracción IV de la Ley </w:t>
      </w:r>
      <w:r>
        <w:rPr>
          <w:rFonts w:ascii="Palatino Linotype" w:eastAsia="Palatino Linotype" w:hAnsi="Palatino Linotype" w:cs="Palatino Linotype"/>
          <w:color w:val="000000"/>
        </w:rPr>
        <w:lastRenderedPageBreak/>
        <w:t xml:space="preserve">Orgánica Municipal del Estado de México, el requisito de la certificación de competencia laboral deberá acreditarse dentro de </w:t>
      </w:r>
      <w:r>
        <w:rPr>
          <w:rFonts w:ascii="Palatino Linotype" w:eastAsia="Palatino Linotype" w:hAnsi="Palatino Linotype" w:cs="Palatino Linotype"/>
          <w:color w:val="000000"/>
        </w:rPr>
        <w:t>los 6 meses siguientes a la fecha en la que inicie funciones, por lo que teniendo en cuenta que inició funciones el 21 de diciembre de 2022, aún no se puede proporcionar dicha documentación.</w:t>
      </w:r>
    </w:p>
    <w:p w:rsidR="00A02B01" w:rsidRDefault="00A02B01">
      <w:pPr>
        <w:pBdr>
          <w:top w:val="nil"/>
          <w:left w:val="nil"/>
          <w:bottom w:val="nil"/>
          <w:right w:val="nil"/>
          <w:between w:val="nil"/>
        </w:pBdr>
        <w:tabs>
          <w:tab w:val="left" w:pos="284"/>
          <w:tab w:val="left" w:pos="720"/>
          <w:tab w:val="left" w:pos="1440"/>
          <w:tab w:val="left" w:pos="2160"/>
          <w:tab w:val="left" w:pos="2880"/>
          <w:tab w:val="left" w:pos="3722"/>
        </w:tabs>
        <w:spacing w:after="0" w:line="360" w:lineRule="auto"/>
        <w:ind w:left="567" w:right="900"/>
        <w:jc w:val="both"/>
        <w:rPr>
          <w:rFonts w:ascii="Palatino Linotype" w:eastAsia="Palatino Linotype" w:hAnsi="Palatino Linotype" w:cs="Palatino Linotype"/>
          <w:color w:val="000000"/>
        </w:rPr>
      </w:pPr>
    </w:p>
    <w:p w:rsidR="00A02B01" w:rsidRDefault="009F4D73">
      <w:pPr>
        <w:pBdr>
          <w:top w:val="nil"/>
          <w:left w:val="nil"/>
          <w:bottom w:val="nil"/>
          <w:right w:val="nil"/>
          <w:between w:val="nil"/>
        </w:pBdr>
        <w:tabs>
          <w:tab w:val="left" w:pos="284"/>
          <w:tab w:val="left" w:pos="720"/>
          <w:tab w:val="left" w:pos="1440"/>
          <w:tab w:val="left" w:pos="2160"/>
          <w:tab w:val="left" w:pos="2880"/>
          <w:tab w:val="left" w:pos="3722"/>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DDE/260/MAYO/2023, signado por la Directora de Desarrollo</w:t>
      </w:r>
      <w:r>
        <w:rPr>
          <w:rFonts w:ascii="Palatino Linotype" w:eastAsia="Palatino Linotype" w:hAnsi="Palatino Linotype" w:cs="Palatino Linotype"/>
          <w:color w:val="000000"/>
        </w:rPr>
        <w:t xml:space="preserve"> Económico, quien señaló que de acuerdo al artículo 32, fracción IV de la Ley Orgánica Municipal del Estado de México, el requisito de la certificación de competencia laboral deberá acreditarse dentro de los 6 meses siguientes a la fecha en la que inicie f</w:t>
      </w:r>
      <w:r>
        <w:rPr>
          <w:rFonts w:ascii="Palatino Linotype" w:eastAsia="Palatino Linotype" w:hAnsi="Palatino Linotype" w:cs="Palatino Linotype"/>
          <w:color w:val="000000"/>
        </w:rPr>
        <w:t>unciones, por lo que teniendo en cuenta que inició funciones el 19 de abril de 2023, aún no se puede proporcionar dicha documentación.</w:t>
      </w:r>
    </w:p>
    <w:p w:rsidR="00A02B01" w:rsidRDefault="00A02B01">
      <w:pPr>
        <w:pBdr>
          <w:top w:val="nil"/>
          <w:left w:val="nil"/>
          <w:bottom w:val="nil"/>
          <w:right w:val="nil"/>
          <w:between w:val="nil"/>
        </w:pBdr>
        <w:tabs>
          <w:tab w:val="left" w:pos="284"/>
          <w:tab w:val="left" w:pos="720"/>
          <w:tab w:val="left" w:pos="1440"/>
          <w:tab w:val="left" w:pos="2160"/>
          <w:tab w:val="left" w:pos="2880"/>
          <w:tab w:val="left" w:pos="3722"/>
        </w:tabs>
        <w:spacing w:after="0" w:line="360" w:lineRule="auto"/>
        <w:ind w:left="567" w:right="900"/>
        <w:jc w:val="both"/>
        <w:rPr>
          <w:rFonts w:ascii="Palatino Linotype" w:eastAsia="Palatino Linotype" w:hAnsi="Palatino Linotype" w:cs="Palatino Linotype"/>
          <w:color w:val="000000"/>
        </w:rPr>
      </w:pP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“13Extra86.pdf”: </w:t>
      </w:r>
      <w:r>
        <w:rPr>
          <w:rFonts w:ascii="Palatino Linotype" w:eastAsia="Palatino Linotype" w:hAnsi="Palatino Linotype" w:cs="Palatino Linotype"/>
          <w:color w:val="000000"/>
        </w:rPr>
        <w:t xml:space="preserve">Acta de la Treceava Sesión Extraordinaria del Comité Municipal de Transparencia de Valle de Bravo por el que se aprueba la propuesta de clasificación de la información como confidencial para dar sustento a las versiones públicas de las certificaciones del </w:t>
      </w:r>
      <w:r>
        <w:rPr>
          <w:rFonts w:ascii="Palatino Linotype" w:eastAsia="Palatino Linotype" w:hAnsi="Palatino Linotype" w:cs="Palatino Linotype"/>
          <w:color w:val="000000"/>
        </w:rPr>
        <w:t xml:space="preserve">Recurso de Revisión 02459/INFOEM/IP/RR/2023. </w:t>
      </w:r>
    </w:p>
    <w:p w:rsidR="00A02B01" w:rsidRDefault="00A02B01">
      <w:pPr>
        <w:pBdr>
          <w:top w:val="nil"/>
          <w:left w:val="nil"/>
          <w:bottom w:val="nil"/>
          <w:right w:val="nil"/>
          <w:between w:val="nil"/>
        </w:pBdr>
        <w:tabs>
          <w:tab w:val="left" w:pos="284"/>
        </w:tabs>
        <w:spacing w:after="0" w:line="360" w:lineRule="auto"/>
        <w:ind w:right="900"/>
        <w:jc w:val="both"/>
        <w:rPr>
          <w:rFonts w:ascii="Palatino Linotype" w:eastAsia="Palatino Linotype" w:hAnsi="Palatino Linotype" w:cs="Palatino Linotype"/>
          <w:color w:val="000000"/>
        </w:rPr>
      </w:pP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“82-areas1T.pdf“: </w:t>
      </w:r>
      <w:r>
        <w:rPr>
          <w:rFonts w:ascii="Palatino Linotype" w:eastAsia="Palatino Linotype" w:hAnsi="Palatino Linotype" w:cs="Palatino Linotype"/>
          <w:color w:val="000000"/>
        </w:rPr>
        <w:t>Versión pública de las certificaciones de competencia laboral de la Titular de la Dirección del Bienestar, Secretario del Ayuntamiento, Tesorera Municipal y Diploma expedido a favor de la Titular de la Coordinación Municipal de Mejora Regulatoria.</w:t>
      </w:r>
    </w:p>
    <w:p w:rsidR="00A02B01" w:rsidRDefault="009F4D73">
      <w:pPr>
        <w:pBdr>
          <w:top w:val="nil"/>
          <w:left w:val="nil"/>
          <w:bottom w:val="nil"/>
          <w:right w:val="nil"/>
          <w:between w:val="nil"/>
        </w:pBdr>
        <w:tabs>
          <w:tab w:val="left" w:pos="284"/>
        </w:tabs>
        <w:spacing w:after="0" w:line="360" w:lineRule="auto"/>
        <w:ind w:left="567" w:right="4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ab/>
      </w: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“82-ar</w:t>
      </w:r>
      <w:r>
        <w:rPr>
          <w:rFonts w:ascii="Palatino Linotype" w:eastAsia="Palatino Linotype" w:hAnsi="Palatino Linotype" w:cs="Palatino Linotype"/>
          <w:b/>
          <w:i/>
          <w:color w:val="000000"/>
        </w:rPr>
        <w:t>easT.pdf</w:t>
      </w:r>
      <w:r>
        <w:rPr>
          <w:rFonts w:ascii="Palatino Linotype" w:eastAsia="Palatino Linotype" w:hAnsi="Palatino Linotype" w:cs="Palatino Linotype"/>
          <w:b/>
          <w:i/>
          <w:color w:val="000000"/>
        </w:rPr>
        <w:tab/>
        <w:t xml:space="preserve">“: </w:t>
      </w:r>
      <w:r>
        <w:rPr>
          <w:rFonts w:ascii="Palatino Linotype" w:eastAsia="Palatino Linotype" w:hAnsi="Palatino Linotype" w:cs="Palatino Linotype"/>
          <w:color w:val="000000"/>
        </w:rPr>
        <w:t xml:space="preserve">Documento de dieciséis fojas en el que se aprecian diversas certificaciones, sin embargo, no se puso a la vista de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en virtud de que en la página 9 se advirtió un número telefónico del que no se tiene certeza si es un número </w:t>
      </w:r>
      <w:r>
        <w:rPr>
          <w:rFonts w:ascii="Palatino Linotype" w:eastAsia="Palatino Linotype" w:hAnsi="Palatino Linotype" w:cs="Palatino Linotype"/>
          <w:color w:val="000000"/>
        </w:rPr>
        <w:t xml:space="preserve">telefónico oficial. </w:t>
      </w: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ab/>
      </w: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“82 Turismo RR.pdf”:</w:t>
      </w:r>
      <w:r>
        <w:rPr>
          <w:rFonts w:ascii="Palatino Linotype" w:eastAsia="Palatino Linotype" w:hAnsi="Palatino Linotype" w:cs="Palatino Linotype"/>
          <w:b/>
          <w:i/>
          <w:color w:val="000000"/>
        </w:rPr>
        <w:tab/>
        <w:t xml:space="preserve"> </w:t>
      </w:r>
      <w:r>
        <w:rPr>
          <w:rFonts w:ascii="Palatino Linotype" w:eastAsia="Palatino Linotype" w:hAnsi="Palatino Linotype" w:cs="Palatino Linotype"/>
          <w:color w:val="000000"/>
        </w:rPr>
        <w:t xml:space="preserve">Oficio DT/162/MAYOL/2023, suscrito por el Director de Turismo, Cultura y Asuntos Internacionales, quien manifiesta que realizó la reevaluación de la certificación de competencia laboral en materia de turismo el </w:t>
      </w:r>
      <w:r>
        <w:rPr>
          <w:rFonts w:ascii="Palatino Linotype" w:eastAsia="Palatino Linotype" w:hAnsi="Palatino Linotype" w:cs="Palatino Linotype"/>
          <w:color w:val="000000"/>
        </w:rPr>
        <w:t>11 de mayo de 2023, determinándole como fecha de examen final el 24 de mayo de 2023.</w:t>
      </w:r>
    </w:p>
    <w:p w:rsidR="00A02B01" w:rsidRDefault="00A02B01">
      <w:pPr>
        <w:pBdr>
          <w:top w:val="nil"/>
          <w:left w:val="nil"/>
          <w:bottom w:val="nil"/>
          <w:right w:val="nil"/>
          <w:between w:val="nil"/>
        </w:pBdr>
        <w:tabs>
          <w:tab w:val="left" w:pos="284"/>
        </w:tabs>
        <w:spacing w:after="0" w:line="360" w:lineRule="auto"/>
        <w:ind w:right="900"/>
        <w:jc w:val="both"/>
        <w:rPr>
          <w:rFonts w:ascii="Palatino Linotype" w:eastAsia="Palatino Linotype" w:hAnsi="Palatino Linotype" w:cs="Palatino Linotype"/>
          <w:b/>
          <w:i/>
          <w:color w:val="000000"/>
        </w:rPr>
      </w:pPr>
    </w:p>
    <w:p w:rsidR="00A02B01" w:rsidRDefault="009F4D73">
      <w:pPr>
        <w:pBdr>
          <w:top w:val="nil"/>
          <w:left w:val="nil"/>
          <w:bottom w:val="nil"/>
          <w:right w:val="nil"/>
          <w:between w:val="nil"/>
        </w:pBdr>
        <w:tabs>
          <w:tab w:val="left" w:pos="284"/>
        </w:tabs>
        <w:spacing w:after="0" w:line="360" w:lineRule="auto"/>
        <w:ind w:left="567" w:right="90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 xml:space="preserve">“RR82- otras.pdf”: </w:t>
      </w:r>
      <w:r>
        <w:rPr>
          <w:rFonts w:ascii="Palatino Linotype" w:eastAsia="Palatino Linotype" w:hAnsi="Palatino Linotype" w:cs="Palatino Linotype"/>
          <w:color w:val="000000"/>
        </w:rPr>
        <w:t>Oficio signado por el Coordinador Municipal, quien remite la certificación de competencia laboral y Oficios suscritos por los Titulares del DIF y OPDAP</w:t>
      </w:r>
      <w:r>
        <w:rPr>
          <w:rFonts w:ascii="Palatino Linotype" w:eastAsia="Palatino Linotype" w:hAnsi="Palatino Linotype" w:cs="Palatino Linotype"/>
          <w:color w:val="000000"/>
        </w:rPr>
        <w:t>AS, quienes medularmente señalan que la Ley Orgánica Municipal y la Ley que crea los Organismos Públicos Descentralizados de Asistencia Social, de Carácter Municipal, denominados "Sistemas Municipales Para El Desarrollo Integral De La Familia", no contempl</w:t>
      </w:r>
      <w:r>
        <w:rPr>
          <w:rFonts w:ascii="Palatino Linotype" w:eastAsia="Palatino Linotype" w:hAnsi="Palatino Linotype" w:cs="Palatino Linotype"/>
          <w:color w:val="000000"/>
        </w:rPr>
        <w:t>an que deban contar con una certificación.</w:t>
      </w:r>
    </w:p>
    <w:p w:rsidR="00A02B01" w:rsidRDefault="00A02B01">
      <w:pPr>
        <w:spacing w:after="0" w:line="360" w:lineRule="auto"/>
        <w:jc w:val="both"/>
        <w:rPr>
          <w:rFonts w:ascii="Palatino Linotype" w:eastAsia="Palatino Linotype" w:hAnsi="Palatino Linotype" w:cs="Palatino Linotype"/>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del análisis de las constancias que integran el expediente,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haciendo entrega de la siguiente información:</w:t>
      </w:r>
    </w:p>
    <w:p w:rsidR="00A02B01" w:rsidRDefault="00A02B01">
      <w:pPr>
        <w:spacing w:after="0" w:line="276" w:lineRule="auto"/>
        <w:ind w:left="567" w:right="706"/>
        <w:jc w:val="both"/>
        <w:rPr>
          <w:rFonts w:ascii="Palatino Linotype" w:eastAsia="Palatino Linotype" w:hAnsi="Palatino Linotype" w:cs="Palatino Linotype"/>
          <w:i/>
        </w:rPr>
      </w:pP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“Primero. Resultan fundadas las razones o motivos de inconformidad hechos valer por la parte Recurrente en el recurso de revisión 02459/INFOEM/IP/RR/2023; por lo que, en términos del Considerand</w:t>
      </w:r>
      <w:r>
        <w:rPr>
          <w:rFonts w:ascii="Palatino Linotype" w:eastAsia="Palatino Linotype" w:hAnsi="Palatino Linotype" w:cs="Palatino Linotype"/>
          <w:i/>
        </w:rPr>
        <w:t xml:space="preserve">o Cuarto de esta resolución, se MODIFICA la respuesta emitida por el Sujeto Obligado. </w:t>
      </w:r>
    </w:p>
    <w:p w:rsidR="00A02B01" w:rsidRDefault="00A02B01">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Sujeto Obligado haga entrega, de ser el caso en versión pública correcta a la parte Recurrente, vía SAIMEX, en términos del Considerando Cuarto de</w:t>
      </w:r>
      <w:r>
        <w:rPr>
          <w:rFonts w:ascii="Palatino Linotype" w:eastAsia="Palatino Linotype" w:hAnsi="Palatino Linotype" w:cs="Palatino Linotype"/>
          <w:i/>
        </w:rPr>
        <w:t xml:space="preserve"> la presente resolución, lo siguiente: </w:t>
      </w:r>
    </w:p>
    <w:p w:rsidR="00A02B01" w:rsidRDefault="00A02B01">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r>
        <w:rPr>
          <w:rFonts w:ascii="Palatino Linotype" w:eastAsia="Palatino Linotype" w:hAnsi="Palatino Linotype" w:cs="Palatino Linotype"/>
          <w:b/>
          <w:i/>
        </w:rPr>
        <w:t>Las certificaciones de competencia laboral de los titulares de las siguientes áreas remitidas en respuesta e informe justificado:</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Coordinación de Protección Civil y Bomberos</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2. Coordinación General Municipal de Mejora Regulatoria</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3. Secretario del Ayuntamiento</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4. Tesorería Municipal</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5. Director de Obras Públicas y Desarrollo Urbano</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6. Coordinación de Ecología</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7. Dirección del Bienestar</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8. Coordinación de la Mujer</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9. Contralorí</w:t>
      </w:r>
      <w:r>
        <w:rPr>
          <w:rFonts w:ascii="Palatino Linotype" w:eastAsia="Palatino Linotype" w:hAnsi="Palatino Linotype" w:cs="Palatino Linotype"/>
          <w:i/>
        </w:rPr>
        <w:t>a Municipal</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10. Dirección del Instituto de Cultura Física y Deporte de Valle de Bravo</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11. Coordinación de Bienestar Animal </w:t>
      </w: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12. Defensoría Municipal de Derechos Humanos</w:t>
      </w:r>
    </w:p>
    <w:p w:rsidR="00A02B01" w:rsidRDefault="00A02B01">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A02B01" w:rsidRDefault="009F4D73">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Deberá emitir el Acuerdo del Comité de Transparencia en términos de la Ley de Transparencia y Acceso a la Información Pública del Estado de México y Municipios, en el que funde y motive las razones sobre los datos que se supriman o eliminen y se ponga a di</w:t>
      </w:r>
      <w:r>
        <w:rPr>
          <w:rFonts w:ascii="Palatino Linotype" w:eastAsia="Palatino Linotype" w:hAnsi="Palatino Linotype" w:cs="Palatino Linotype"/>
          <w:i/>
        </w:rPr>
        <w:t>sposición de la parte Recurrente.”</w:t>
      </w:r>
    </w:p>
    <w:p w:rsidR="00A02B01" w:rsidRDefault="00A02B01">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A02B01" w:rsidRDefault="00A02B01">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p>
    <w:p w:rsidR="00A02B01" w:rsidRDefault="009F4D73">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II. Razones del Voto Particular.</w:t>
      </w:r>
    </w:p>
    <w:p w:rsidR="00A02B01" w:rsidRDefault="00A02B01">
      <w:pPr>
        <w:spacing w:after="0" w:line="360" w:lineRule="auto"/>
        <w:jc w:val="both"/>
        <w:rPr>
          <w:rFonts w:ascii="Palatino Linotype" w:eastAsia="Palatino Linotype" w:hAnsi="Palatino Linotype" w:cs="Palatino Linotype"/>
          <w:b/>
        </w:rPr>
      </w:pPr>
      <w:bookmarkStart w:id="2" w:name="_heading=h.1fob9te" w:colFirst="0" w:colLast="0"/>
      <w:bookmarkEnd w:id="2"/>
    </w:p>
    <w:p w:rsidR="00A02B01" w:rsidRDefault="009F4D7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w:t>
      </w:r>
      <w:r>
        <w:rPr>
          <w:rFonts w:ascii="Palatino Linotype" w:eastAsia="Palatino Linotype" w:hAnsi="Palatino Linotype" w:cs="Palatino Linotype"/>
        </w:rPr>
        <w:t xml:space="preserve"> relacionada con la gestión pública y con su publicidad se favorece indudablemente a la rendición de cuentas. </w:t>
      </w:r>
    </w:p>
    <w:p w:rsidR="00A02B01" w:rsidRDefault="00A02B01">
      <w:pPr>
        <w:spacing w:after="0" w:line="360" w:lineRule="auto"/>
        <w:ind w:right="49"/>
        <w:jc w:val="both"/>
        <w:rPr>
          <w:rFonts w:ascii="Palatino Linotype" w:eastAsia="Palatino Linotype" w:hAnsi="Palatino Linotype" w:cs="Palatino Linotype"/>
        </w:rPr>
      </w:pPr>
    </w:p>
    <w:p w:rsidR="00A02B01" w:rsidRDefault="009F4D7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con relación a la fotografía toda vez que </w:t>
      </w:r>
      <w:r>
        <w:rPr>
          <w:rFonts w:ascii="Palatino Linotype" w:eastAsia="Palatino Linotype" w:hAnsi="Palatino Linotype" w:cs="Palatino Linotype"/>
          <w:b/>
        </w:rPr>
        <w:t>no</w:t>
      </w:r>
      <w:r>
        <w:rPr>
          <w:rFonts w:ascii="Palatino Linotype" w:eastAsia="Palatino Linotype" w:hAnsi="Palatino Linotype" w:cs="Palatino Linotype"/>
        </w:rPr>
        <w:t xml:space="preserve"> se coincide con los argumentos s</w:t>
      </w:r>
      <w:r>
        <w:rPr>
          <w:rFonts w:ascii="Palatino Linotype" w:eastAsia="Palatino Linotype" w:hAnsi="Palatino Linotype" w:cs="Palatino Linotype"/>
        </w:rPr>
        <w:t>eñalados en la resolución, particularmente por considerar que la fotografía de los servidores públicos sin importar el nivel o cargo y en cualquier documento que se encuentre vinculado con el cumplimiento de disposiciones legales debe ser pública, conforme</w:t>
      </w:r>
      <w:r>
        <w:rPr>
          <w:rFonts w:ascii="Palatino Linotype" w:eastAsia="Palatino Linotype" w:hAnsi="Palatino Linotype" w:cs="Palatino Linotype"/>
        </w:rPr>
        <w:t xml:space="preserve"> a lo siguiente:</w:t>
      </w:r>
    </w:p>
    <w:p w:rsidR="00A02B01" w:rsidRDefault="00A02B01">
      <w:pPr>
        <w:spacing w:after="0" w:line="360" w:lineRule="auto"/>
        <w:jc w:val="both"/>
        <w:rPr>
          <w:rFonts w:ascii="Palatino Linotype" w:eastAsia="Palatino Linotype" w:hAnsi="Palatino Linotype" w:cs="Palatino Linotype"/>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w:t>
      </w:r>
      <w:r>
        <w:rPr>
          <w:rFonts w:ascii="Palatino Linotype" w:eastAsia="Palatino Linotype" w:hAnsi="Palatino Linotype" w:cs="Palatino Linotype"/>
          <w:i/>
        </w:rPr>
        <w:t xml:space="preserve"> captada en dibujo, pintura, escultura, fotografía, y video; la imagen así captada puede ser reproducida, publicada y divulgada por diversos medios, desde volantes impresos de la forma más rudimentaria, hasta filmaciones y fotografías transmitidas por tele</w:t>
      </w:r>
      <w:r>
        <w:rPr>
          <w:rFonts w:ascii="Palatino Linotype" w:eastAsia="Palatino Linotype" w:hAnsi="Palatino Linotype" w:cs="Palatino Linotype"/>
          <w:i/>
        </w:rPr>
        <w:t xml:space="preserve">visión cine, video, correo electrónico o Internet. </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Así, se considera que dichos datos constituyen la reproducción fiel de las características físicas de una persona en un momento determinado, por lo que representan un instrumento de identificación, proye</w:t>
      </w:r>
      <w:r>
        <w:rPr>
          <w:rFonts w:ascii="Palatino Linotype" w:eastAsia="Palatino Linotype" w:hAnsi="Palatino Linotype" w:cs="Palatino Linotype"/>
          <w:i/>
        </w:rPr>
        <w:t xml:space="preserve">cción exterior y factor imprescindible para su propio reconocimiento como sujeto individual. En el presente </w:t>
      </w:r>
      <w:r>
        <w:rPr>
          <w:rFonts w:ascii="Palatino Linotype" w:eastAsia="Palatino Linotype" w:hAnsi="Palatino Linotype" w:cs="Palatino Linotype"/>
          <w:i/>
        </w:rPr>
        <w:lastRenderedPageBreak/>
        <w:t>caso, acreditaría e identificaría a una persona como servidor público, razón por la cual es posible advertir que existe cierto interés público, cuan</w:t>
      </w:r>
      <w:r>
        <w:rPr>
          <w:rFonts w:ascii="Palatino Linotype" w:eastAsia="Palatino Linotype" w:hAnsi="Palatino Linotype" w:cs="Palatino Linotype"/>
          <w:i/>
        </w:rPr>
        <w:t>do la fotografía obra en documentos de servidores públicos vinculados con el cumplimiento de disposiciones legales.</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Además cuando se brinda servicios a la ciudadanía, es de relevancia conocer e identificar a todos sus trabajadores, no importa el nivel o r</w:t>
      </w:r>
      <w:r>
        <w:rPr>
          <w:rFonts w:ascii="Palatino Linotype" w:eastAsia="Palatino Linotype" w:hAnsi="Palatino Linotype" w:cs="Palatino Linotype"/>
          <w:i/>
        </w:rPr>
        <w:t xml:space="preserve">ango (con excepción del personal operativo en materia de seguridad, respecto del cual el Pleno de este Instituto ya se ha pronunciado en el sentido de que la información que los haga identificados o identificables debe clasificarse como reservada). </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es</w:t>
      </w:r>
      <w:r>
        <w:rPr>
          <w:rFonts w:ascii="Palatino Linotype" w:eastAsia="Palatino Linotype" w:hAnsi="Palatino Linotype" w:cs="Palatino Linotype"/>
          <w:i/>
        </w:rPr>
        <w:t>te sentido, resultan aplicables por analogía, los Criterios de interpretación con clave de control SO/015/2017 y SO/001/2013 emitidos por el Instituto Nacional de Transparencia y Acceso a la Información Pública y Protección de Datos Personales, INAI, en lo</w:t>
      </w:r>
      <w:r>
        <w:rPr>
          <w:rFonts w:ascii="Palatino Linotype" w:eastAsia="Palatino Linotype" w:hAnsi="Palatino Linotype" w:cs="Palatino Linotype"/>
          <w:i/>
        </w:rPr>
        <w:t>s cuales se esgrimen argumentos, que, si bien no se refieren de manera específica a fotografías de servidores públicos, sí establecen un criterio para que este dato personal pueda ser considerado como público, cuando se pretende acreditar que una persona e</w:t>
      </w:r>
      <w:r>
        <w:rPr>
          <w:rFonts w:ascii="Palatino Linotype" w:eastAsia="Palatino Linotype" w:hAnsi="Palatino Linotype" w:cs="Palatino Linotype"/>
          <w:i/>
        </w:rPr>
        <w:t xml:space="preserve">s servidor público. </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Lo anterior es así, pues debe tenerse presente que el actuar de los servidores públicos incide de manera específica en los derechos de los particulares, toda vez que el acto de un servidor público en ejercicio de sus funciones, de man</w:t>
      </w:r>
      <w:r>
        <w:rPr>
          <w:rFonts w:ascii="Palatino Linotype" w:eastAsia="Palatino Linotype" w:hAnsi="Palatino Linotype" w:cs="Palatino Linotype"/>
          <w:i/>
        </w:rPr>
        <w:t xml:space="preserve">era directa genera derechos y obligaciones al considerarse un acto administrativo o acto de autoridad, siendo primordial que estos trabajadores se identifiquen ante la ciudadanía, por lo que otorgar acceso a los documentos que obran en los archivos de los </w:t>
      </w:r>
      <w:r>
        <w:rPr>
          <w:rFonts w:ascii="Palatino Linotype" w:eastAsia="Palatino Linotype" w:hAnsi="Palatino Linotype" w:cs="Palatino Linotype"/>
          <w:i/>
        </w:rPr>
        <w:t xml:space="preserve">Sujetos Obligados y que además están directamente relacionados con el cumplimiento de disposiciones normativas o el ejercicio de funciones, reviste un interés público. </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razón de lo anterior, cuando las fotografías de los servidores públicos obran en do</w:t>
      </w:r>
      <w:r>
        <w:rPr>
          <w:rFonts w:ascii="Palatino Linotype" w:eastAsia="Palatino Linotype" w:hAnsi="Palatino Linotype" w:cs="Palatino Linotype"/>
          <w:i/>
        </w:rPr>
        <w:t xml:space="preserve">cumentos que los acredita como servidores públicos, deben ser consideradas un dato personal que no puede ser clasificado como confidencial, pues en este caso, es </w:t>
      </w:r>
      <w:r>
        <w:rPr>
          <w:rFonts w:ascii="Palatino Linotype" w:eastAsia="Palatino Linotype" w:hAnsi="Palatino Linotype" w:cs="Palatino Linotype"/>
          <w:i/>
        </w:rPr>
        <w:lastRenderedPageBreak/>
        <w:t>superado por el interés público de conocer si en realidad, la persona que se ostenta en caráct</w:t>
      </w:r>
      <w:r>
        <w:rPr>
          <w:rFonts w:ascii="Palatino Linotype" w:eastAsia="Palatino Linotype" w:hAnsi="Palatino Linotype" w:cs="Palatino Linotype"/>
          <w:i/>
        </w:rPr>
        <w:t>er de servidor público se encuentra en ese encargo, si realiza las funciones o si cumple con los requisitos legales; sin que se considere como factor diferenciador para determinar la publicidad o clasificación el cargo o nivel jerárquico en el que se desem</w:t>
      </w:r>
      <w:r>
        <w:rPr>
          <w:rFonts w:ascii="Palatino Linotype" w:eastAsia="Palatino Linotype" w:hAnsi="Palatino Linotype" w:cs="Palatino Linotype"/>
          <w:i/>
        </w:rPr>
        <w:t xml:space="preserve">peñe el servidor público. </w:t>
      </w:r>
    </w:p>
    <w:p w:rsidR="00A02B01" w:rsidRDefault="00A02B01">
      <w:pPr>
        <w:spacing w:after="0" w:line="276" w:lineRule="auto"/>
        <w:ind w:left="567" w:right="900"/>
        <w:jc w:val="both"/>
        <w:rPr>
          <w:rFonts w:ascii="Palatino Linotype" w:eastAsia="Palatino Linotype" w:hAnsi="Palatino Linotype" w:cs="Palatino Linotype"/>
          <w:i/>
        </w:rPr>
      </w:pPr>
    </w:p>
    <w:p w:rsidR="00A02B01" w:rsidRDefault="009F4D73">
      <w:pPr>
        <w:spacing w:after="0" w:line="276" w:lineRule="auto"/>
        <w:ind w:left="567" w:right="900"/>
        <w:jc w:val="both"/>
        <w:rPr>
          <w:rFonts w:ascii="Palatino Linotype" w:eastAsia="Palatino Linotype" w:hAnsi="Palatino Linotype" w:cs="Palatino Linotype"/>
          <w:b/>
          <w:i/>
          <w:u w:val="single"/>
        </w:rPr>
      </w:pPr>
      <w:r>
        <w:rPr>
          <w:rFonts w:ascii="Palatino Linotype" w:eastAsia="Palatino Linotype" w:hAnsi="Palatino Linotype" w:cs="Palatino Linotype"/>
          <w:i/>
        </w:rPr>
        <w:t>Conforme a lo anterior, resulta necesario señalar que el Pleno de este Instituto emitió el Criterio de interpretación 03/19 cuyo rubro dispone lo siguiente: “Servidores públicos con categoría de mando medio y superior. La fotogr</w:t>
      </w:r>
      <w:r>
        <w:rPr>
          <w:rFonts w:ascii="Palatino Linotype" w:eastAsia="Palatino Linotype" w:hAnsi="Palatino Linotype" w:cs="Palatino Linotype"/>
          <w:i/>
        </w:rPr>
        <w:t>afía de aquellos es de carácter público”; no obstante, dicho criterio fue interrumpido en términos del artículo 9, fracción XXVII del Reglamento Interior del Instituto de Transparencia, Acceso a la Información Pública y Protección de Datos Personales del E</w:t>
      </w:r>
      <w:r>
        <w:rPr>
          <w:rFonts w:ascii="Palatino Linotype" w:eastAsia="Palatino Linotype" w:hAnsi="Palatino Linotype" w:cs="Palatino Linotype"/>
          <w:i/>
        </w:rPr>
        <w:t xml:space="preserve">stado de México y Municipios, por lo tanto, </w:t>
      </w:r>
      <w:r>
        <w:rPr>
          <w:rFonts w:ascii="Palatino Linotype" w:eastAsia="Palatino Linotype" w:hAnsi="Palatino Linotype" w:cs="Palatino Linotype"/>
          <w:b/>
          <w:i/>
          <w:u w:val="single"/>
        </w:rPr>
        <w:t>las fotografías de servidores públicos, sin importar el nivel o rango guardan la naturaleza de públicas (con excepción del personal operativo en materia de seguridad) y no procede su clasificación, en términos de</w:t>
      </w:r>
      <w:r>
        <w:rPr>
          <w:rFonts w:ascii="Palatino Linotype" w:eastAsia="Palatino Linotype" w:hAnsi="Palatino Linotype" w:cs="Palatino Linotype"/>
          <w:b/>
          <w:i/>
          <w:u w:val="single"/>
        </w:rPr>
        <w:t xml:space="preserve">l artículo 143, fracción I, de la Ley de Transparencia y Acceso a la Información Pública del Estado de México y Municipios, toda vez que se relaciona con la imagen de una persona que ejerce actos de autoridad.” </w:t>
      </w:r>
    </w:p>
    <w:p w:rsidR="00A02B01" w:rsidRDefault="00A02B01">
      <w:pPr>
        <w:spacing w:after="0" w:line="276" w:lineRule="auto"/>
        <w:ind w:left="567" w:right="616"/>
        <w:jc w:val="both"/>
        <w:rPr>
          <w:rFonts w:ascii="Palatino Linotype" w:eastAsia="Palatino Linotype" w:hAnsi="Palatino Linotype" w:cs="Palatino Linotype"/>
          <w:i/>
        </w:rPr>
      </w:pPr>
    </w:p>
    <w:p w:rsidR="00A02B01" w:rsidRDefault="009F4D7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anterior se advierte que de manera general se señala que las fotografías de servidores públicos no son susceptibles de clasificarse, ello </w:t>
      </w:r>
      <w:r>
        <w:rPr>
          <w:rFonts w:ascii="Palatino Linotype" w:eastAsia="Palatino Linotype" w:hAnsi="Palatino Linotype" w:cs="Palatino Linotype"/>
        </w:rPr>
        <w:t>de conformidad con el criterio mayoritario adoptado por los integrantes del pleno, sin embargo, para la suscrita</w:t>
      </w:r>
      <w:r>
        <w:rPr>
          <w:rFonts w:ascii="Palatino Linotype" w:eastAsia="Palatino Linotype" w:hAnsi="Palatino Linotype" w:cs="Palatino Linotype"/>
        </w:rPr>
        <w:t>, la justificación de la publicidad de la fotografía no es una regla general, por las siguientes consideraciones.</w:t>
      </w:r>
    </w:p>
    <w:p w:rsidR="00A02B01" w:rsidRDefault="009F4D7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cuanto a  la fotografía, se tiene que esta constituye la reproducción fiel de las características físicas de una persona en un momento dete</w:t>
      </w:r>
      <w:r>
        <w:rPr>
          <w:rFonts w:ascii="Palatino Linotype" w:eastAsia="Palatino Linotype" w:hAnsi="Palatino Linotype" w:cs="Palatino Linotype"/>
        </w:rPr>
        <w:t xml:space="preserve">rminado, además, de que representa un instrumento de identificación, proyección exterior y factor imprescindible </w:t>
      </w:r>
      <w:r>
        <w:rPr>
          <w:rFonts w:ascii="Palatino Linotype" w:eastAsia="Palatino Linotype" w:hAnsi="Palatino Linotype" w:cs="Palatino Linotype"/>
        </w:rPr>
        <w:lastRenderedPageBreak/>
        <w:t xml:space="preserve">para su propio reconocimiento como sujeto individual; por tanto, es un dato personal confidencial que debe protegerse en los documentos que lo </w:t>
      </w:r>
      <w:r>
        <w:rPr>
          <w:rFonts w:ascii="Palatino Linotype" w:eastAsia="Palatino Linotype" w:hAnsi="Palatino Linotype" w:cs="Palatino Linotype"/>
        </w:rPr>
        <w:t>contengan, según lo dispuesto por los artículos 3, fracción IX, 143, fracción I de la Ley de Transparencia y Acceso a la Información Pública del Estado de México y Municipios, en relación con el 4, fracción XI de La Ley de Protección de Datos Personales en</w:t>
      </w:r>
      <w:r>
        <w:rPr>
          <w:rFonts w:ascii="Palatino Linotype" w:eastAsia="Palatino Linotype" w:hAnsi="Palatino Linotype" w:cs="Palatino Linotype"/>
        </w:rPr>
        <w:t xml:space="preserve"> Posesión de Sujetos Obligados del Estado de México y Municipios.</w:t>
      </w:r>
    </w:p>
    <w:p w:rsidR="00A02B01" w:rsidRDefault="00A02B01">
      <w:pPr>
        <w:spacing w:before="240" w:after="0" w:line="360" w:lineRule="auto"/>
        <w:jc w:val="both"/>
        <w:rPr>
          <w:rFonts w:ascii="Palatino Linotype" w:eastAsia="Palatino Linotype" w:hAnsi="Palatino Linotype" w:cs="Palatino Linotype"/>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lo que respecta a los servidores públicos existen funciones que por su naturaleza pueden ser de un mayor interés público, es decir, aquellas que tienen un impacto directo en la vida de las personas y en el funcionamiento de la sociedad o de </w:t>
      </w:r>
      <w:r>
        <w:rPr>
          <w:rFonts w:ascii="Palatino Linotype" w:eastAsia="Palatino Linotype" w:hAnsi="Palatino Linotype" w:cs="Palatino Linotype"/>
        </w:rPr>
        <w:t>las instituciones públicas, ejemplo de ello pueden ser los servidores públicos cuya función implica una posición de poder que deba estar sujeta a escrutinio y rendición de cuentas ante la sociedad; otros ejemplos son los servidores públicos responsables de</w:t>
      </w:r>
      <w:r>
        <w:rPr>
          <w:rFonts w:ascii="Palatino Linotype" w:eastAsia="Palatino Linotype" w:hAnsi="Palatino Linotype" w:cs="Palatino Linotype"/>
        </w:rPr>
        <w:t xml:space="preserve"> la administración de recursos públicos, la implementación de políticas públicas, la prestación de servicios públicos, entre otros.</w:t>
      </w:r>
    </w:p>
    <w:p w:rsidR="00A02B01" w:rsidRDefault="00A02B01">
      <w:pPr>
        <w:spacing w:after="0" w:line="360" w:lineRule="auto"/>
        <w:jc w:val="both"/>
        <w:rPr>
          <w:rFonts w:ascii="Palatino Linotype" w:eastAsia="Palatino Linotype" w:hAnsi="Palatino Linotype" w:cs="Palatino Linotype"/>
        </w:rPr>
      </w:pPr>
    </w:p>
    <w:p w:rsidR="00A02B01" w:rsidRDefault="009F4D7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 a las funciones de las y los funcionarios que dan atención al público, así </w:t>
      </w:r>
      <w:r>
        <w:rPr>
          <w:rFonts w:ascii="Palatino Linotype" w:eastAsia="Palatino Linotype" w:hAnsi="Palatino Linotype" w:cs="Palatino Linotype"/>
        </w:rPr>
        <w:t>como aquellos que cuenten con la calidad de mando medio y/o superior, la suscrita considera que se debe dejar visible su fotografía pues, hacer pública la imagen de éstos, puede contribuir a la transparencia y la rendición de cuentas, ya que permite a la c</w:t>
      </w:r>
      <w:r>
        <w:rPr>
          <w:rFonts w:ascii="Palatino Linotype" w:eastAsia="Palatino Linotype" w:hAnsi="Palatino Linotype" w:cs="Palatino Linotype"/>
        </w:rPr>
        <w:t>iudadanía identificar a los funcionarios que toman decisiones importantes en su nombre.</w:t>
      </w:r>
    </w:p>
    <w:p w:rsidR="00A02B01" w:rsidRDefault="009F4D7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para el caso que de la fotografía de servidoras y servidores públicos que laboran para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w:t>
      </w:r>
      <w:r>
        <w:rPr>
          <w:rFonts w:ascii="Palatino Linotype" w:eastAsia="Palatino Linotype" w:hAnsi="Palatino Linotype" w:cs="Palatino Linotype"/>
          <w:u w:val="single"/>
        </w:rPr>
        <w:t>que no son mandos medios ni superiores</w:t>
      </w:r>
      <w:r>
        <w:rPr>
          <w:rFonts w:ascii="Palatino Linotype" w:eastAsia="Palatino Linotype" w:hAnsi="Palatino Linotype" w:cs="Palatino Linotype"/>
        </w:rPr>
        <w:t xml:space="preserve"> y/o que ta</w:t>
      </w:r>
      <w:r>
        <w:rPr>
          <w:rFonts w:ascii="Palatino Linotype" w:eastAsia="Palatino Linotype" w:hAnsi="Palatino Linotype" w:cs="Palatino Linotype"/>
        </w:rPr>
        <w:t>mpoco tienen funciones de atención al público deberían ser entregados en versión pública testando la fotografía.</w:t>
      </w:r>
    </w:p>
    <w:p w:rsidR="00A02B01" w:rsidRDefault="00A02B01">
      <w:pPr>
        <w:spacing w:after="0" w:line="360" w:lineRule="auto"/>
        <w:jc w:val="both"/>
        <w:rPr>
          <w:rFonts w:ascii="Palatino Linotype" w:eastAsia="Palatino Linotype" w:hAnsi="Palatino Linotype" w:cs="Palatino Linotype"/>
        </w:rPr>
      </w:pPr>
    </w:p>
    <w:p w:rsidR="00A02B01" w:rsidRDefault="009F4D73">
      <w:pPr>
        <w:tabs>
          <w:tab w:val="left" w:pos="4962"/>
        </w:tabs>
        <w:spacing w:after="0" w:line="360" w:lineRule="auto"/>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 xml:space="preserve">Lo anterior se estima así, dado que el acceso a documentos que contengan el dato materia de análisis, aun clasificado, daría cuenta de lo que </w:t>
      </w:r>
      <w:r>
        <w:rPr>
          <w:rFonts w:ascii="Palatino Linotype" w:eastAsia="Palatino Linotype" w:hAnsi="Palatino Linotype" w:cs="Palatino Linotype"/>
        </w:rPr>
        <w:t>en realidad se pretende transparentar, como lo es, por ejemplo, el cumplimiento de los requisitos establecidos en la ley, pues el hecho de clasificar la fotografía no les resta validez a los documentos para los fines señalados.</w:t>
      </w:r>
    </w:p>
    <w:p w:rsidR="00A02B01" w:rsidRDefault="00A02B01">
      <w:pPr>
        <w:tabs>
          <w:tab w:val="left" w:pos="4962"/>
        </w:tabs>
        <w:spacing w:after="0" w:line="360" w:lineRule="auto"/>
        <w:jc w:val="both"/>
        <w:rPr>
          <w:rFonts w:ascii="Palatino Linotype" w:eastAsia="Palatino Linotype" w:hAnsi="Palatino Linotype" w:cs="Palatino Linotype"/>
        </w:rPr>
      </w:pPr>
    </w:p>
    <w:p w:rsidR="00A02B01" w:rsidRDefault="009F4D73">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importante señalar que l</w:t>
      </w:r>
      <w:r>
        <w:rPr>
          <w:rFonts w:ascii="Palatino Linotype" w:eastAsia="Palatino Linotype" w:hAnsi="Palatino Linotype" w:cs="Palatino Linotype"/>
        </w:rPr>
        <w:t>os objetivos de la transparencia se alcanzan al momento de permitir el acceso a los documentos ordenados, no siendo indispensable o determinante dar a conocer la fotografía para dar cuenta de la idoneidad de las personas servidoras públicas para ocupar sus</w:t>
      </w:r>
      <w:r>
        <w:rPr>
          <w:rFonts w:ascii="Palatino Linotype" w:eastAsia="Palatino Linotype" w:hAnsi="Palatino Linotype" w:cs="Palatino Linotype"/>
        </w:rPr>
        <w:t xml:space="preserve"> puestos o para acreditar que cumplieron con determinados requisitos, lo que da cuenta de ello es el propio documento, pues considero  importante equilibrar el interés público con el derecho a la privacidad de las y los servidores públicos y ponderar si re</w:t>
      </w:r>
      <w:r>
        <w:rPr>
          <w:rFonts w:ascii="Palatino Linotype" w:eastAsia="Palatino Linotype" w:hAnsi="Palatino Linotype" w:cs="Palatino Linotype"/>
        </w:rPr>
        <w:t>almente es necesario y proporcional hacer pública su imagen, pues, como ya lo hemos expresado con anterioridad, en algunos casos, el interés público de hacer pública la imagen de un servidor público puede justificar la limitación de su derecho a la privaci</w:t>
      </w:r>
      <w:r>
        <w:rPr>
          <w:rFonts w:ascii="Palatino Linotype" w:eastAsia="Palatino Linotype" w:hAnsi="Palatino Linotype" w:cs="Palatino Linotype"/>
        </w:rPr>
        <w:t>dad, pero esto debe evaluarse cuidadosamente en cada caso y no ser la regla general.</w:t>
      </w:r>
    </w:p>
    <w:p w:rsidR="00A02B01" w:rsidRDefault="009F4D73">
      <w:pPr>
        <w:tabs>
          <w:tab w:val="left" w:pos="4962"/>
        </w:tabs>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anteriormente señalado, para el caso de aquellos servidores públicos que no ostentan la calidad de mandos medios y superiores y/o que no brindan atención </w:t>
      </w:r>
      <w:r>
        <w:rPr>
          <w:rFonts w:ascii="Palatino Linotype" w:eastAsia="Palatino Linotype" w:hAnsi="Palatino Linotype" w:cs="Palatino Linotype"/>
        </w:rPr>
        <w:t xml:space="preserve">al </w:t>
      </w:r>
      <w:r>
        <w:rPr>
          <w:rFonts w:ascii="Palatino Linotype" w:eastAsia="Palatino Linotype" w:hAnsi="Palatino Linotype" w:cs="Palatino Linotype"/>
        </w:rPr>
        <w:lastRenderedPageBreak/>
        <w:t xml:space="preserve">público, eliminar su fotografía de los documentos solicitados, no impedirá conocer el cumplimiento de los requisitos  para ocupar un cargo. </w:t>
      </w:r>
    </w:p>
    <w:p w:rsidR="00A02B01" w:rsidRDefault="00A02B01">
      <w:pPr>
        <w:tabs>
          <w:tab w:val="left" w:pos="4962"/>
        </w:tabs>
        <w:spacing w:before="240" w:after="0" w:line="360" w:lineRule="auto"/>
        <w:jc w:val="both"/>
        <w:rPr>
          <w:rFonts w:ascii="Palatino Linotype" w:eastAsia="Palatino Linotype" w:hAnsi="Palatino Linotype" w:cs="Palatino Linotype"/>
        </w:rPr>
      </w:pPr>
    </w:p>
    <w:p w:rsidR="00A02B01" w:rsidRDefault="00BD1B47">
      <w:pPr>
        <w:tabs>
          <w:tab w:val="left" w:pos="4962"/>
        </w:tabs>
        <w:spacing w:after="0" w:line="360" w:lineRule="auto"/>
        <w:jc w:val="both"/>
        <w:rPr>
          <w:rFonts w:ascii="Palatino Linotype" w:eastAsia="Palatino Linotype" w:hAnsi="Palatino Linotype" w:cs="Palatino Linotype"/>
        </w:rPr>
        <w:sectPr w:rsidR="00A02B01">
          <w:headerReference w:type="default" r:id="rId8"/>
          <w:footerReference w:type="default" r:id="rId9"/>
          <w:pgSz w:w="12240" w:h="15840"/>
          <w:pgMar w:top="2438" w:right="1701" w:bottom="2778" w:left="1701" w:header="1134" w:footer="1134" w:gutter="0"/>
          <w:pgNumType w:start="1"/>
          <w:cols w:space="720"/>
        </w:sectPr>
      </w:pPr>
      <w:bookmarkStart w:id="4" w:name="_heading=h.3dy6vkm" w:colFirst="0" w:colLast="0"/>
      <w:bookmarkEnd w:id="4"/>
      <w:r>
        <w:rPr>
          <w:noProof/>
        </w:rPr>
        <mc:AlternateContent>
          <mc:Choice Requires="wps">
            <w:drawing>
              <wp:anchor distT="0" distB="0" distL="114300" distR="114300" simplePos="0" relativeHeight="251658240" behindDoc="0" locked="0" layoutInCell="1" hidden="0" allowOverlap="1">
                <wp:simplePos x="0" y="0"/>
                <wp:positionH relativeFrom="column">
                  <wp:posOffset>75804</wp:posOffset>
                </wp:positionH>
                <wp:positionV relativeFrom="paragraph">
                  <wp:posOffset>1885087</wp:posOffset>
                </wp:positionV>
                <wp:extent cx="5269757" cy="4562380"/>
                <wp:effectExtent l="0" t="0" r="26670" b="29210"/>
                <wp:wrapNone/>
                <wp:docPr id="7" name=""/>
                <wp:cNvGraphicFramePr/>
                <a:graphic xmlns:a="http://schemas.openxmlformats.org/drawingml/2006/main">
                  <a:graphicData uri="http://schemas.microsoft.com/office/word/2010/wordprocessingShape">
                    <wps:wsp>
                      <wps:cNvCnPr/>
                      <wps:spPr>
                        <a:xfrm>
                          <a:off x="0" y="0"/>
                          <a:ext cx="5269757" cy="456238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1269ECB" id="_x0000_t32" coordsize="21600,21600" o:spt="32" o:oned="t" path="m,l21600,21600e" filled="f">
                <v:path arrowok="t" fillok="f" o:connecttype="none"/>
                <o:lock v:ext="edit" shapetype="t"/>
              </v:shapetype>
              <v:shape id="Conector recto de flecha 7" o:spid="_x0000_s1026" type="#_x0000_t32" style="position:absolute;margin-left:5.95pt;margin-top:148.45pt;width:414.95pt;height:3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" strokecolor="black [3200]" strokeweight="2pt">
                <v:stroke startarrowwidth="narrow" startarrowlength="short" endarrowwidth="narrow" endarrowlength="short"/>
              </v:shape>
            </w:pict>
          </mc:Fallback>
        </mc:AlternateContent>
      </w:r>
      <w:r w:rsidR="009F4D73">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009F4D73">
        <w:rPr>
          <w:rFonts w:ascii="Palatino Linotype" w:eastAsia="Palatino Linotype" w:hAnsi="Palatino Linotype" w:cs="Palatino Linotype"/>
          <w:b/>
        </w:rPr>
        <w:t xml:space="preserve">Voto Particular pues considero que </w:t>
      </w:r>
      <w:r w:rsidR="009F4D73">
        <w:rPr>
          <w:rFonts w:ascii="Palatino Linotype" w:eastAsia="Palatino Linotype" w:hAnsi="Palatino Linotype" w:cs="Palatino Linotype"/>
          <w:b/>
          <w:u w:val="single"/>
        </w:rPr>
        <w:t>no se debe dejar visible la fotografía de las y los servidores públicos que NO cuenten con la calidad de mando medio y/o superior,</w:t>
      </w:r>
      <w:r w:rsidR="009F4D73">
        <w:rPr>
          <w:rFonts w:ascii="Palatino Linotype" w:eastAsia="Palatino Linotype" w:hAnsi="Palatino Linotype" w:cs="Palatino Linotype"/>
        </w:rPr>
        <w:t xml:space="preserve"> </w:t>
      </w:r>
      <w:r w:rsidR="009F4D73">
        <w:rPr>
          <w:rFonts w:ascii="Palatino Linotype" w:eastAsia="Palatino Linotype" w:hAnsi="Palatino Linotype" w:cs="Palatino Linotype"/>
          <w:b/>
          <w:u w:val="single"/>
        </w:rPr>
        <w:t>o no tengan atención al público</w:t>
      </w:r>
      <w:r w:rsidR="009F4D73">
        <w:rPr>
          <w:rFonts w:ascii="Palatino Linotype" w:eastAsia="Palatino Linotype" w:hAnsi="Palatino Linotype" w:cs="Palatino Linotype"/>
        </w:rPr>
        <w:t>,  por tanto, se estima que se actualiza la causal de clasi</w:t>
      </w:r>
      <w:r w:rsidR="009F4D73">
        <w:rPr>
          <w:rFonts w:ascii="Palatino Linotype" w:eastAsia="Palatino Linotype" w:hAnsi="Palatino Linotype" w:cs="Palatino Linotype"/>
        </w:rPr>
        <w:t>ficación establecida en el artículo 143, fracción I, de la Ley de la Ley de Transparencia y Acceso a la Información Pública del Estado de México y Municipios.</w:t>
      </w:r>
      <w:bookmarkStart w:id="5" w:name="_GoBack"/>
      <w:bookmarkEnd w:id="5"/>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bookmarkStart w:id="6" w:name="_heading=h.3znysh7" w:colFirst="0" w:colLast="0"/>
      <w:bookmarkEnd w:id="6"/>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p w:rsidR="00A02B01" w:rsidRDefault="00A02B01">
      <w:pPr>
        <w:spacing w:after="0" w:line="360" w:lineRule="auto"/>
        <w:ind w:right="423"/>
        <w:jc w:val="both"/>
        <w:rPr>
          <w:rFonts w:ascii="Palatino Linotype" w:eastAsia="Palatino Linotype" w:hAnsi="Palatino Linotype" w:cs="Palatino Linotype"/>
        </w:rPr>
      </w:pPr>
    </w:p>
    <w:sectPr w:rsidR="00A02B01">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4D73">
      <w:pPr>
        <w:spacing w:after="0" w:line="240" w:lineRule="auto"/>
      </w:pPr>
      <w:r>
        <w:separator/>
      </w:r>
    </w:p>
  </w:endnote>
  <w:endnote w:type="continuationSeparator" w:id="0">
    <w:p w:rsidR="00000000" w:rsidRDefault="009F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1" w:rsidRDefault="009F4D7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BD1B4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BD1B4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13</w:t>
    </w:r>
    <w:r>
      <w:rPr>
        <w:rFonts w:ascii="Times New Roman" w:eastAsia="Times New Roman" w:hAnsi="Times New Roman" w:cs="Times New Roman"/>
        <w:b/>
        <w:color w:val="000000"/>
        <w:sz w:val="20"/>
        <w:szCs w:val="20"/>
      </w:rPr>
      <w:fldChar w:fldCharType="end"/>
    </w:r>
  </w:p>
  <w:p w:rsidR="00A02B01" w:rsidRDefault="00A02B0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4D73">
      <w:pPr>
        <w:spacing w:after="0" w:line="240" w:lineRule="auto"/>
      </w:pPr>
      <w:r>
        <w:separator/>
      </w:r>
    </w:p>
  </w:footnote>
  <w:footnote w:type="continuationSeparator" w:id="0">
    <w:p w:rsidR="00000000" w:rsidRDefault="009F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1" w:rsidRDefault="00BD1B47">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page">
            <wp:align>left</wp:align>
          </wp:positionH>
          <wp:positionV relativeFrom="paragraph">
            <wp:posOffset>-720162</wp:posOffset>
          </wp:positionV>
          <wp:extent cx="7510628" cy="9883775"/>
          <wp:effectExtent l="0" t="0" r="0" b="3175"/>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9F4D73">
      <w:rPr>
        <w:rFonts w:ascii="Palatino Linotype" w:eastAsia="Palatino Linotype" w:hAnsi="Palatino Linotype" w:cs="Palatino Linotype"/>
        <w:b/>
        <w:color w:val="000000"/>
        <w:sz w:val="20"/>
        <w:szCs w:val="20"/>
      </w:rPr>
      <w:t xml:space="preserve">VOTO PARTICULAR </w:t>
    </w:r>
  </w:p>
  <w:p w:rsidR="00A02B01" w:rsidRDefault="009F4D73">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02459/INFOEM/IP/RR/2023</w:t>
    </w:r>
  </w:p>
  <w:p w:rsidR="00A02B01" w:rsidRDefault="00A02B0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B01" w:rsidRDefault="009F4D7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simplePos x="0" y="0"/>
          <wp:positionH relativeFrom="column">
            <wp:posOffset>-1227451</wp:posOffset>
          </wp:positionH>
          <wp:positionV relativeFrom="paragraph">
            <wp:posOffset>-485136</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02B01" w:rsidRDefault="009F4D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02B01" w:rsidRDefault="009F4D7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03361/INFOEM/IP/RR/2023</w:t>
    </w:r>
  </w:p>
  <w:p w:rsidR="00A02B01" w:rsidRDefault="00A02B0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02B01" w:rsidRDefault="00A02B0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E28CB"/>
    <w:multiLevelType w:val="multilevel"/>
    <w:tmpl w:val="625E4C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01"/>
    <w:rsid w:val="009F4D73"/>
    <w:rsid w:val="00A02B01"/>
    <w:rsid w:val="00BD1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63BDA-A414-428B-89E3-2B7286F0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 w:type="paragraph" w:styleId="Prrafodelista">
    <w:name w:val="List Paragraph"/>
    <w:basedOn w:val="Normal"/>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sAXfcbSqzqPmv89hDteq2CMtA==">CgMxLjAyCGguZ2pkZ3hzMgloLjJldDkycDAyCWguMWZvYjl0ZTIJaC4zMGowemxsMgloLjNkeTZ2a20yCWguM3pueXNoNzgAciExX2x6RkFveDRDd2g0cE1DckhuRERrTnA3aUxMVl9jRkU=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2728</Words>
  <Characters>15008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3</cp:revision>
  <cp:lastPrinted>2024-04-08T16:24:00Z</cp:lastPrinted>
  <dcterms:created xsi:type="dcterms:W3CDTF">2024-04-08T16:24:00Z</dcterms:created>
  <dcterms:modified xsi:type="dcterms:W3CDTF">2024-04-08T16:25:00Z</dcterms:modified>
</cp:coreProperties>
</file>