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Palatino Linotype" w:cs="Palatino Linotype" w:eastAsia="Palatino Linotype" w:hAnsi="Palatino Linotype"/>
          <w:b w:val="1"/>
          <w:sz w:val="24"/>
          <w:szCs w:val="24"/>
        </w:rPr>
      </w:pPr>
      <w:bookmarkStart w:colFirst="0" w:colLast="0" w:name="_heading=h.u5yn92xmpz4a" w:id="0"/>
      <w:bookmarkEnd w:id="0"/>
      <w:r w:rsidDel="00000000" w:rsidR="00000000" w:rsidRPr="00000000">
        <w:rPr>
          <w:rFonts w:ascii="Palatino Linotype" w:cs="Palatino Linotype" w:eastAsia="Palatino Linotype" w:hAnsi="Palatino Linotype"/>
          <w:b w:val="1"/>
          <w:sz w:val="24"/>
          <w:szCs w:val="24"/>
          <w:rtl w:val="0"/>
        </w:rPr>
        <w:t xml:space="preserve">VOTO PARTICULAR CONCURRENTE QUE FORMULAN LOS COMISIONADOS GUADALUPE RAMÍREZ PEÑA Y LUIS GUSTAVO PARRA NORIEGA, EN RELACIÓN CON LA RESOLUCIÓN DICTADA POR EL PLENO DEL INSTITUTO DE TRANSPARENCIA, ACCESO A LA INFORMACIÓN PÚBLICA Y PROTECCIÓN DE DATOS PERSONALES DEL ESTADO DE MÉXICO Y MUNICIPIOS, EN LA SÉPTIMA SESIÓN ORDINARIA CELEBRADA EL VEINTIOCHO DE FEBRERO DE DOS MIL VEINTICUATRO, EN LOS RECURSOS DE REVISIÓN 06321/INFOEM/IP/RR/2023 Y ACUMULADOS.</w:t>
      </w:r>
    </w:p>
    <w:p w:rsidR="00000000" w:rsidDel="00000000" w:rsidP="00000000" w:rsidRDefault="00000000" w:rsidRPr="00000000" w14:paraId="00000002">
      <w:pPr>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3">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El Pleno del Instituto de Transparencia, Acceso a la Información Pública y Protección de Datos Personales del Estado de México resolvió por unanimidad de votos, la Resolución relativa a los recursos de revisión </w:t>
      </w:r>
      <w:r w:rsidDel="00000000" w:rsidR="00000000" w:rsidRPr="00000000">
        <w:rPr>
          <w:rFonts w:ascii="Palatino Linotype" w:cs="Palatino Linotype" w:eastAsia="Palatino Linotype" w:hAnsi="Palatino Linotype"/>
          <w:b w:val="1"/>
          <w:sz w:val="24"/>
          <w:szCs w:val="24"/>
          <w:rtl w:val="0"/>
        </w:rPr>
        <w:t xml:space="preserve">06321/INFOEM/IP/RR/2023 y acumulados</w:t>
      </w:r>
      <w:r w:rsidDel="00000000" w:rsidR="00000000" w:rsidRPr="00000000">
        <w:rPr>
          <w:rFonts w:ascii="Palatino Linotype" w:cs="Palatino Linotype" w:eastAsia="Palatino Linotype" w:hAnsi="Palatino Linotype"/>
          <w:sz w:val="24"/>
          <w:szCs w:val="24"/>
          <w:rtl w:val="0"/>
        </w:rPr>
        <w:t xml:space="preserve">, presentada por el Comisionado </w:t>
      </w:r>
      <w:r w:rsidDel="00000000" w:rsidR="00000000" w:rsidRPr="00000000">
        <w:rPr>
          <w:rFonts w:ascii="Palatino Linotype" w:cs="Palatino Linotype" w:eastAsia="Palatino Linotype" w:hAnsi="Palatino Linotype"/>
          <w:b w:val="1"/>
          <w:sz w:val="24"/>
          <w:szCs w:val="24"/>
          <w:rtl w:val="0"/>
        </w:rPr>
        <w:t xml:space="preserve">Luis Gustavo Parra  Noriega</w:t>
      </w:r>
      <w:r w:rsidDel="00000000" w:rsidR="00000000" w:rsidRPr="00000000">
        <w:rPr>
          <w:rFonts w:ascii="Palatino Linotype" w:cs="Palatino Linotype" w:eastAsia="Palatino Linotype" w:hAnsi="Palatino Linotype"/>
          <w:sz w:val="24"/>
          <w:szCs w:val="24"/>
          <w:rtl w:val="0"/>
        </w:rPr>
        <w:t xml:space="preserve">, engrosada conforme al criterio mayoritario, respecto de la cual, quienes suscriben, emiten </w:t>
      </w:r>
      <w:r w:rsidDel="00000000" w:rsidR="00000000" w:rsidRPr="00000000">
        <w:rPr>
          <w:rFonts w:ascii="Palatino Linotype" w:cs="Palatino Linotype" w:eastAsia="Palatino Linotype" w:hAnsi="Palatino Linotype"/>
          <w:b w:val="1"/>
          <w:sz w:val="24"/>
          <w:szCs w:val="24"/>
          <w:rtl w:val="0"/>
        </w:rPr>
        <w:t xml:space="preserve">Voto Particular Concurrente</w:t>
      </w:r>
      <w:r w:rsidDel="00000000" w:rsidR="00000000" w:rsidRPr="00000000">
        <w:rPr>
          <w:rFonts w:ascii="Palatino Linotype" w:cs="Palatino Linotype" w:eastAsia="Palatino Linotype" w:hAnsi="Palatino Linotype"/>
          <w:sz w:val="24"/>
          <w:szCs w:val="24"/>
          <w:rtl w:val="0"/>
        </w:rPr>
        <w:t xml:space="preserve">,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4">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Como se advierte en los antecedentes de la resolución del Recurso de Revisión que nos ocupa, la persona solicitante requirió, de diversos meses, los contratos de adquisición de bienes y servicios bajo las diversas modalidades de contratación. En respuesta, el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manifestó hacer entrega de la información solicitada.</w:t>
      </w:r>
    </w:p>
    <w:p w:rsidR="00000000" w:rsidDel="00000000" w:rsidP="00000000" w:rsidRDefault="00000000" w:rsidRPr="00000000" w14:paraId="00000005">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Inconforme con la respuesta que le fue otorgada a sus solicitudes de información, la persona solicitante presentó Recurso de Revisión, en el cual señaló como razones o motivos de inconformidad en términos generales que la respuesta estaba incompleta, al señalar que faltaban contratos conforme al consecutivo, razón por la cual la ponencia que resolvió aplicó lo señalado en los artículos 202 al 205 de la Ley de Transparencia y Acceso a la Información Pública del Estado de México y Municipios, sirve de referencia el criterio con clave de control SO/001/2020, emitido por el Instituto Nacional de Transparencia, Acceso a la Información y Protección de Datos Personales:</w:t>
      </w:r>
    </w:p>
    <w:p w:rsidR="00000000" w:rsidDel="00000000" w:rsidP="00000000" w:rsidRDefault="00000000" w:rsidRPr="00000000" w14:paraId="00000006">
      <w:pPr>
        <w:spacing w:after="0" w:line="276" w:lineRule="auto"/>
        <w:ind w:left="851" w:right="990" w:firstLine="0"/>
        <w:jc w:val="both"/>
        <w:rPr>
          <w:rFonts w:ascii="Palatino Linotype" w:cs="Palatino Linotype" w:eastAsia="Palatino Linotype" w:hAnsi="Palatino Linotype"/>
          <w:b w:val="1"/>
          <w:i w:val="1"/>
        </w:rPr>
      </w:pPr>
      <w:r w:rsidDel="00000000" w:rsidR="00000000" w:rsidRPr="00000000">
        <w:rPr>
          <w:rtl w:val="0"/>
        </w:rPr>
      </w:r>
    </w:p>
    <w:p w:rsidR="00000000" w:rsidDel="00000000" w:rsidP="00000000" w:rsidRDefault="00000000" w:rsidRPr="00000000" w14:paraId="00000007">
      <w:pPr>
        <w:spacing w:after="0" w:line="276" w:lineRule="auto"/>
        <w:ind w:left="851"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Actos consentidos tácitamente. Improcedencia de su análisis</w:t>
      </w:r>
      <w:r w:rsidDel="00000000" w:rsidR="00000000" w:rsidRPr="00000000">
        <w:rPr>
          <w:rFonts w:ascii="Palatino Linotype" w:cs="Palatino Linotype" w:eastAsia="Palatino Linotype" w:hAnsi="Palatino Linotype"/>
          <w:i w:val="1"/>
          <w:rtl w:val="0"/>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000000" w:rsidDel="00000000" w:rsidP="00000000" w:rsidRDefault="00000000" w:rsidRPr="00000000" w14:paraId="00000008">
      <w:pPr>
        <w:spacing w:after="0" w:line="276" w:lineRule="auto"/>
        <w:ind w:left="851" w:right="99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9">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 igual manera, la jurisprudencia, VI.2o. J/21., publicado en el Semanario Judicial de la Federación y su Gaceta. Tomo II, agosto de 1995, página 291, de la novena época, con registro digital 204707, define a los actos consentidos de la siguiente manera:</w:t>
      </w:r>
    </w:p>
    <w:p w:rsidR="00000000" w:rsidDel="00000000" w:rsidP="00000000" w:rsidRDefault="00000000" w:rsidRPr="00000000" w14:paraId="0000000A">
      <w:pPr>
        <w:spacing w:after="0" w:line="276" w:lineRule="auto"/>
        <w:ind w:left="560" w:right="620" w:firstLine="0"/>
        <w:jc w:val="both"/>
        <w:rPr>
          <w:rFonts w:ascii="Palatino Linotype" w:cs="Palatino Linotype" w:eastAsia="Palatino Linotype" w:hAnsi="Palatino Linotype"/>
          <w:b w:val="1"/>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 </w:t>
      </w:r>
    </w:p>
    <w:p w:rsidR="00000000" w:rsidDel="00000000" w:rsidP="00000000" w:rsidRDefault="00000000" w:rsidRPr="00000000" w14:paraId="0000000B">
      <w:pPr>
        <w:spacing w:after="0" w:line="276" w:lineRule="auto"/>
        <w:ind w:left="851"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ACTOS CONSENTIDOS TACITAMENTE. </w:t>
      </w:r>
      <w:r w:rsidDel="00000000" w:rsidR="00000000" w:rsidRPr="00000000">
        <w:rPr>
          <w:rFonts w:ascii="Palatino Linotype" w:cs="Palatino Linotype" w:eastAsia="Palatino Linotype" w:hAnsi="Palatino Linotype"/>
          <w:i w:val="1"/>
          <w:rtl w:val="0"/>
        </w:rPr>
        <w:t xml:space="preserve">Se presumen así, para los efectos del amparo, los actos del orden civil y administrativo, que no hubieren sido reclamados en esa vía dentro de los plazos que la ley señala.</w:t>
      </w:r>
    </w:p>
    <w:p w:rsidR="00000000" w:rsidDel="00000000" w:rsidP="00000000" w:rsidRDefault="00000000" w:rsidRPr="00000000" w14:paraId="0000000C">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Por ello, consideramos que, en el caso de hacer estudio de documentales, que no fueron recurridos de manera específica por la parte Recurrente, se contrapone a lo señalado en la legislación de la materia, ya que al no haber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por lo que no debe girarse la vista citada.</w:t>
      </w:r>
    </w:p>
    <w:p w:rsidR="00000000" w:rsidDel="00000000" w:rsidP="00000000" w:rsidRDefault="00000000" w:rsidRPr="00000000" w14:paraId="0000000E">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Aunado a lo anterior, es necesario precisar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órgano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rsidR="00000000" w:rsidDel="00000000" w:rsidP="00000000" w:rsidRDefault="00000000" w:rsidRPr="00000000" w14:paraId="00000010">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ese sentido, es de resaltar que el recurso de revisión es la garantía secundaria mediante la cual se pretende reparar cualquier posible afectación al derecho de acceso a la información pública, en donde las resoluciones de este Organismo Garante pueden:</w:t>
      </w:r>
    </w:p>
    <w:p w:rsidR="00000000" w:rsidDel="00000000" w:rsidP="00000000" w:rsidRDefault="00000000" w:rsidRPr="00000000" w14:paraId="00000011">
      <w:pPr>
        <w:shd w:fill="ffffff" w:val="clear"/>
        <w:spacing w:after="0" w:line="360" w:lineRule="auto"/>
        <w:ind w:right="4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12">
      <w:pPr>
        <w:numPr>
          <w:ilvl w:val="0"/>
          <w:numId w:val="2"/>
        </w:numP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Desechar o sobreseer el recurso</w:t>
      </w:r>
    </w:p>
    <w:p w:rsidR="00000000" w:rsidDel="00000000" w:rsidP="00000000" w:rsidRDefault="00000000" w:rsidRPr="00000000" w14:paraId="00000013">
      <w:pPr>
        <w:numPr>
          <w:ilvl w:val="0"/>
          <w:numId w:val="2"/>
        </w:numP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Confirma la respuesta del sujeto obligado</w:t>
      </w:r>
    </w:p>
    <w:p w:rsidR="00000000" w:rsidDel="00000000" w:rsidP="00000000" w:rsidRDefault="00000000" w:rsidRPr="00000000" w14:paraId="00000014">
      <w:pPr>
        <w:numPr>
          <w:ilvl w:val="0"/>
          <w:numId w:val="2"/>
        </w:numP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Revocar o modificar la respuesta del sujeto obligado; y</w:t>
      </w:r>
    </w:p>
    <w:p w:rsidR="00000000" w:rsidDel="00000000" w:rsidP="00000000" w:rsidRDefault="00000000" w:rsidRPr="00000000" w14:paraId="00000015">
      <w:pPr>
        <w:numPr>
          <w:ilvl w:val="0"/>
          <w:numId w:val="2"/>
        </w:numP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Ordenar la entrega de la información</w:t>
      </w:r>
    </w:p>
    <w:p w:rsidR="00000000" w:rsidDel="00000000" w:rsidP="00000000" w:rsidRDefault="00000000" w:rsidRPr="00000000" w14:paraId="00000016">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Cabe agregar que las resoluciones que pronuncie este Instituto deben contener cuatro aspectos importantes: </w:t>
      </w:r>
    </w:p>
    <w:p w:rsidR="00000000" w:rsidDel="00000000" w:rsidP="00000000" w:rsidRDefault="00000000" w:rsidRPr="00000000" w14:paraId="00000018">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9">
      <w:pPr>
        <w:numPr>
          <w:ilvl w:val="0"/>
          <w:numId w:val="7"/>
        </w:numPr>
        <w:spacing w:after="0" w:line="360" w:lineRule="auto"/>
        <w:ind w:left="720" w:hanging="360"/>
        <w:jc w:val="both"/>
        <w:rPr>
          <w:rFonts w:ascii="Palatino Linotype" w:cs="Palatino Linotype" w:eastAsia="Palatino Linotype" w:hAnsi="Palatino Linotype"/>
          <w:sz w:val="10"/>
          <w:szCs w:val="10"/>
        </w:rPr>
      </w:pPr>
      <w:r w:rsidDel="00000000" w:rsidR="00000000" w:rsidRPr="00000000">
        <w:rPr>
          <w:rFonts w:ascii="Palatino Linotype" w:cs="Palatino Linotype" w:eastAsia="Palatino Linotype" w:hAnsi="Palatino Linotype"/>
          <w:sz w:val="24"/>
          <w:szCs w:val="24"/>
          <w:rtl w:val="0"/>
        </w:rPr>
        <w:t xml:space="preserve">Lugar, fecha, el nombre del recurrente y del tercero interesado en su caso, sujeto obligado y un extracto de los hechos cuestionados;</w:t>
      </w:r>
      <w:r w:rsidDel="00000000" w:rsidR="00000000" w:rsidRPr="00000000">
        <w:rPr>
          <w:rFonts w:ascii="Palatino Linotype" w:cs="Palatino Linotype" w:eastAsia="Palatino Linotype" w:hAnsi="Palatino Linotype"/>
          <w:sz w:val="10"/>
          <w:szCs w:val="10"/>
          <w:rtl w:val="0"/>
        </w:rPr>
        <w:t xml:space="preserve"> </w:t>
      </w:r>
    </w:p>
    <w:p w:rsidR="00000000" w:rsidDel="00000000" w:rsidP="00000000" w:rsidRDefault="00000000" w:rsidRPr="00000000" w14:paraId="0000001A">
      <w:pPr>
        <w:numPr>
          <w:ilvl w:val="0"/>
          <w:numId w:val="8"/>
        </w:numPr>
        <w:spacing w:after="0" w:line="360" w:lineRule="auto"/>
        <w:ind w:left="720" w:hanging="360"/>
        <w:jc w:val="both"/>
        <w:rPr>
          <w:rFonts w:ascii="Palatino Linotype" w:cs="Palatino Linotype" w:eastAsia="Palatino Linotype" w:hAnsi="Palatino Linotype"/>
          <w:sz w:val="10"/>
          <w:szCs w:val="10"/>
        </w:rPr>
      </w:pPr>
      <w:r w:rsidDel="00000000" w:rsidR="00000000" w:rsidRPr="00000000">
        <w:rPr>
          <w:rFonts w:ascii="Palatino Linotype" w:cs="Palatino Linotype" w:eastAsia="Palatino Linotype" w:hAnsi="Palatino Linotype"/>
          <w:sz w:val="24"/>
          <w:szCs w:val="24"/>
          <w:rtl w:val="0"/>
        </w:rPr>
        <w:t xml:space="preserve">Los preceptos en que se fundamenten y las consideraciones que las sustenten;</w:t>
      </w:r>
      <w:r w:rsidDel="00000000" w:rsidR="00000000" w:rsidRPr="00000000">
        <w:rPr>
          <w:rFonts w:ascii="Palatino Linotype" w:cs="Palatino Linotype" w:eastAsia="Palatino Linotype" w:hAnsi="Palatino Linotype"/>
          <w:sz w:val="10"/>
          <w:szCs w:val="10"/>
          <w:rtl w:val="0"/>
        </w:rPr>
        <w:t xml:space="preserve"> </w:t>
      </w:r>
    </w:p>
    <w:p w:rsidR="00000000" w:rsidDel="00000000" w:rsidP="00000000" w:rsidRDefault="00000000" w:rsidRPr="00000000" w14:paraId="0000001B">
      <w:pPr>
        <w:numPr>
          <w:ilvl w:val="0"/>
          <w:numId w:val="5"/>
        </w:numPr>
        <w:spacing w:after="0" w:line="360" w:lineRule="auto"/>
        <w:ind w:left="720" w:hanging="360"/>
        <w:jc w:val="both"/>
        <w:rPr>
          <w:rFonts w:ascii="Palatino Linotype" w:cs="Palatino Linotype" w:eastAsia="Palatino Linotype" w:hAnsi="Palatino Linotype"/>
          <w:sz w:val="8"/>
          <w:szCs w:val="8"/>
        </w:rPr>
      </w:pPr>
      <w:r w:rsidDel="00000000" w:rsidR="00000000" w:rsidRPr="00000000">
        <w:rPr>
          <w:rFonts w:ascii="Palatino Linotype" w:cs="Palatino Linotype" w:eastAsia="Palatino Linotype" w:hAnsi="Palatino Linotype"/>
          <w:sz w:val="24"/>
          <w:szCs w:val="24"/>
          <w:rtl w:val="0"/>
        </w:rPr>
        <w:t xml:space="preserve">Los alcances y efectos de la resolución, fijando con precisión, en su caso, los sujetos y órganos obligados a cumplirla; y</w:t>
      </w:r>
      <w:r w:rsidDel="00000000" w:rsidR="00000000" w:rsidRPr="00000000">
        <w:rPr>
          <w:rtl w:val="0"/>
        </w:rPr>
      </w:r>
    </w:p>
    <w:p w:rsidR="00000000" w:rsidDel="00000000" w:rsidP="00000000" w:rsidRDefault="00000000" w:rsidRPr="00000000" w14:paraId="0000001C">
      <w:pPr>
        <w:numPr>
          <w:ilvl w:val="0"/>
          <w:numId w:val="5"/>
        </w:numPr>
        <w:spacing w:after="0" w:line="360" w:lineRule="auto"/>
        <w:ind w:left="720" w:hanging="360"/>
        <w:jc w:val="both"/>
        <w:rPr>
          <w:rFonts w:ascii="Palatino Linotype" w:cs="Palatino Linotype" w:eastAsia="Palatino Linotype" w:hAnsi="Palatino Linotype"/>
          <w:sz w:val="8"/>
          <w:szCs w:val="8"/>
        </w:rPr>
      </w:pPr>
      <w:r w:rsidDel="00000000" w:rsidR="00000000" w:rsidRPr="00000000">
        <w:rPr>
          <w:rFonts w:ascii="Palatino Linotype" w:cs="Palatino Linotype" w:eastAsia="Palatino Linotype" w:hAnsi="Palatino Linotype"/>
          <w:sz w:val="24"/>
          <w:szCs w:val="24"/>
          <w:rtl w:val="0"/>
        </w:rPr>
        <w:t xml:space="preserve">Los puntos resolutivos.</w:t>
      </w:r>
      <w:r w:rsidDel="00000000" w:rsidR="00000000" w:rsidRPr="00000000">
        <w:rPr>
          <w:rtl w:val="0"/>
        </w:rPr>
      </w:r>
    </w:p>
    <w:p w:rsidR="00000000" w:rsidDel="00000000" w:rsidP="00000000" w:rsidRDefault="00000000" w:rsidRPr="00000000" w14:paraId="0000001D">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Sobre este punto, se considera de suma importancia mencionar que de la normatividad citada, se advierte que este Instituto está facultado entre otras cosas para: </w:t>
      </w:r>
    </w:p>
    <w:p w:rsidR="00000000" w:rsidDel="00000000" w:rsidP="00000000" w:rsidRDefault="00000000" w:rsidRPr="00000000" w14:paraId="0000001F">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0">
      <w:pPr>
        <w:numPr>
          <w:ilvl w:val="0"/>
          <w:numId w:val="6"/>
        </w:numPr>
        <w:spacing w:after="0" w:line="360" w:lineRule="auto"/>
        <w:ind w:left="720" w:hanging="360"/>
        <w:jc w:val="both"/>
        <w:rPr>
          <w:rFonts w:ascii="Palatino Linotype" w:cs="Palatino Linotype" w:eastAsia="Palatino Linotype" w:hAnsi="Palatino Linotype"/>
          <w:i w:val="1"/>
          <w:sz w:val="10"/>
          <w:szCs w:val="10"/>
        </w:rPr>
      </w:pPr>
      <w:r w:rsidDel="00000000" w:rsidR="00000000" w:rsidRPr="00000000">
        <w:rPr>
          <w:rFonts w:ascii="Palatino Linotype" w:cs="Palatino Linotype" w:eastAsia="Palatino Linotype" w:hAnsi="Palatino Linotype"/>
          <w:i w:val="1"/>
          <w:sz w:val="24"/>
          <w:szCs w:val="24"/>
          <w:rtl w:val="0"/>
        </w:rPr>
        <w:t xml:space="preserve">Conocer y resolver los recursos de revisión interpuestos por los particulares en contra de las resoluciones de los sujetos obligados en el ámbito estatal;</w:t>
      </w:r>
      <w:r w:rsidDel="00000000" w:rsidR="00000000" w:rsidRPr="00000000">
        <w:rPr>
          <w:rFonts w:ascii="Palatino Linotype" w:cs="Palatino Linotype" w:eastAsia="Palatino Linotype" w:hAnsi="Palatino Linotype"/>
          <w:i w:val="1"/>
          <w:sz w:val="10"/>
          <w:szCs w:val="10"/>
          <w:rtl w:val="0"/>
        </w:rPr>
        <w:t xml:space="preserve"> </w:t>
      </w:r>
    </w:p>
    <w:p w:rsidR="00000000" w:rsidDel="00000000" w:rsidP="00000000" w:rsidRDefault="00000000" w:rsidRPr="00000000" w14:paraId="00000021">
      <w:pPr>
        <w:numPr>
          <w:ilvl w:val="0"/>
          <w:numId w:val="4"/>
        </w:numPr>
        <w:spacing w:after="0" w:line="360" w:lineRule="auto"/>
        <w:ind w:left="720" w:hanging="360"/>
        <w:jc w:val="both"/>
        <w:rPr>
          <w:rFonts w:ascii="Palatino Linotype" w:cs="Palatino Linotype" w:eastAsia="Palatino Linotype" w:hAnsi="Palatino Linotype"/>
          <w:i w:val="1"/>
          <w:sz w:val="10"/>
          <w:szCs w:val="10"/>
        </w:rPr>
      </w:pPr>
      <w:r w:rsidDel="00000000" w:rsidR="00000000" w:rsidRPr="00000000">
        <w:rPr>
          <w:rFonts w:ascii="Palatino Linotype" w:cs="Palatino Linotype" w:eastAsia="Palatino Linotype" w:hAnsi="Palatino Linotype"/>
          <w:i w:val="1"/>
          <w:sz w:val="24"/>
          <w:szCs w:val="24"/>
          <w:rtl w:val="0"/>
        </w:rPr>
        <w:t xml:space="preserve">Realizar de oficio y a petición de parte, análisis y recomendaciones o en su caso, lineamientos en relación con presuntos incumplimientos a las disposiciones de la Ley, cuando existan elementos suficientes a juicio del Pleno del Instituto;</w:t>
      </w:r>
      <w:r w:rsidDel="00000000" w:rsidR="00000000" w:rsidRPr="00000000">
        <w:rPr>
          <w:rFonts w:ascii="Palatino Linotype" w:cs="Palatino Linotype" w:eastAsia="Palatino Linotype" w:hAnsi="Palatino Linotype"/>
          <w:i w:val="1"/>
          <w:sz w:val="10"/>
          <w:szCs w:val="10"/>
          <w:rtl w:val="0"/>
        </w:rPr>
        <w:t xml:space="preserve"> </w:t>
      </w:r>
    </w:p>
    <w:p w:rsidR="00000000" w:rsidDel="00000000" w:rsidP="00000000" w:rsidRDefault="00000000" w:rsidRPr="00000000" w14:paraId="00000022">
      <w:pPr>
        <w:numPr>
          <w:ilvl w:val="0"/>
          <w:numId w:val="1"/>
        </w:numPr>
        <w:spacing w:after="0" w:line="360" w:lineRule="auto"/>
        <w:ind w:left="720" w:hanging="360"/>
        <w:jc w:val="both"/>
        <w:rPr>
          <w:rFonts w:ascii="Palatino Linotype" w:cs="Palatino Linotype" w:eastAsia="Palatino Linotype" w:hAnsi="Palatino Linotype"/>
          <w:i w:val="1"/>
          <w:sz w:val="10"/>
          <w:szCs w:val="10"/>
        </w:rPr>
      </w:pPr>
      <w:r w:rsidDel="00000000" w:rsidR="00000000" w:rsidRPr="00000000">
        <w:rPr>
          <w:rFonts w:ascii="Palatino Linotype" w:cs="Palatino Linotype" w:eastAsia="Palatino Linotype" w:hAnsi="Palatino Linotype"/>
          <w:i w:val="1"/>
          <w:sz w:val="24"/>
          <w:szCs w:val="24"/>
          <w:rtl w:val="0"/>
        </w:rPr>
        <w:t xml:space="preserve">Emitir comunicados públicos sobre el incumplimiento de sus resoluciones o por infracciones reiteradas a la Ley, en el ámbito de su competencia;</w:t>
      </w:r>
      <w:r w:rsidDel="00000000" w:rsidR="00000000" w:rsidRPr="00000000">
        <w:rPr>
          <w:rFonts w:ascii="Palatino Linotype" w:cs="Palatino Linotype" w:eastAsia="Palatino Linotype" w:hAnsi="Palatino Linotype"/>
          <w:i w:val="1"/>
          <w:sz w:val="10"/>
          <w:szCs w:val="10"/>
          <w:rtl w:val="0"/>
        </w:rPr>
        <w:t xml:space="preserve"> </w:t>
      </w:r>
    </w:p>
    <w:p w:rsidR="00000000" w:rsidDel="00000000" w:rsidP="00000000" w:rsidRDefault="00000000" w:rsidRPr="00000000" w14:paraId="00000023">
      <w:pPr>
        <w:numPr>
          <w:ilvl w:val="0"/>
          <w:numId w:val="3"/>
        </w:numPr>
        <w:spacing w:after="0" w:line="360" w:lineRule="auto"/>
        <w:ind w:left="720" w:hanging="360"/>
        <w:jc w:val="both"/>
        <w:rPr>
          <w:rFonts w:ascii="Palatino Linotype" w:cs="Palatino Linotype" w:eastAsia="Palatino Linotype" w:hAnsi="Palatino Linotype"/>
          <w:i w:val="1"/>
          <w:sz w:val="10"/>
          <w:szCs w:val="10"/>
        </w:rPr>
      </w:pPr>
      <w:r w:rsidDel="00000000" w:rsidR="00000000" w:rsidRPr="00000000">
        <w:rPr>
          <w:rFonts w:ascii="Palatino Linotype" w:cs="Palatino Linotype" w:eastAsia="Palatino Linotype" w:hAnsi="Palatino Linotype"/>
          <w:i w:val="1"/>
          <w:sz w:val="24"/>
          <w:szCs w:val="24"/>
          <w:rtl w:val="0"/>
        </w:rPr>
        <w:t xml:space="preserve">Ordenar a los sujetos obligados la ejecutoría en la entrega de información en términos de la presente Ley;</w:t>
      </w:r>
      <w:r w:rsidDel="00000000" w:rsidR="00000000" w:rsidRPr="00000000">
        <w:rPr>
          <w:rtl w:val="0"/>
        </w:rPr>
      </w:r>
    </w:p>
    <w:p w:rsidR="00000000" w:rsidDel="00000000" w:rsidP="00000000" w:rsidRDefault="00000000" w:rsidRPr="00000000" w14:paraId="00000024">
      <w:pPr>
        <w:numPr>
          <w:ilvl w:val="0"/>
          <w:numId w:val="3"/>
        </w:numPr>
        <w:spacing w:after="0" w:line="360" w:lineRule="auto"/>
        <w:ind w:left="720" w:hanging="360"/>
        <w:jc w:val="both"/>
        <w:rPr>
          <w:rFonts w:ascii="Palatino Linotype" w:cs="Palatino Linotype" w:eastAsia="Palatino Linotype" w:hAnsi="Palatino Linotype"/>
          <w:i w:val="1"/>
          <w:sz w:val="10"/>
          <w:szCs w:val="10"/>
        </w:rPr>
      </w:pPr>
      <w:r w:rsidDel="00000000" w:rsidR="00000000" w:rsidRPr="00000000">
        <w:rPr>
          <w:rFonts w:ascii="Palatino Linotype" w:cs="Palatino Linotype" w:eastAsia="Palatino Linotype" w:hAnsi="Palatino Linotype"/>
          <w:i w:val="1"/>
          <w:sz w:val="24"/>
          <w:szCs w:val="24"/>
          <w:rtl w:val="0"/>
        </w:rPr>
        <w:t xml:space="preserve">Imponer las medidas de apremio para asegurar el cumplimiento de sus determinaciones;</w:t>
      </w:r>
      <w:r w:rsidDel="00000000" w:rsidR="00000000" w:rsidRPr="00000000">
        <w:rPr>
          <w:rtl w:val="0"/>
        </w:rPr>
      </w:r>
    </w:p>
    <w:p w:rsidR="00000000" w:rsidDel="00000000" w:rsidP="00000000" w:rsidRDefault="00000000" w:rsidRPr="00000000" w14:paraId="00000025">
      <w:pPr>
        <w:numPr>
          <w:ilvl w:val="0"/>
          <w:numId w:val="3"/>
        </w:numPr>
        <w:spacing w:after="0" w:line="360" w:lineRule="auto"/>
        <w:ind w:left="720" w:hanging="360"/>
        <w:jc w:val="both"/>
        <w:rPr>
          <w:rFonts w:ascii="Palatino Linotype" w:cs="Palatino Linotype" w:eastAsia="Palatino Linotype" w:hAnsi="Palatino Linotype"/>
          <w:i w:val="1"/>
          <w:sz w:val="10"/>
          <w:szCs w:val="10"/>
        </w:rPr>
      </w:pPr>
      <w:r w:rsidDel="00000000" w:rsidR="00000000" w:rsidRPr="00000000">
        <w:rPr>
          <w:rFonts w:ascii="Palatino Linotype" w:cs="Palatino Linotype" w:eastAsia="Palatino Linotype" w:hAnsi="Palatino Linotype"/>
          <w:i w:val="1"/>
          <w:sz w:val="24"/>
          <w:szCs w:val="24"/>
          <w:rtl w:val="0"/>
        </w:rPr>
        <w:t xml:space="preserve">Hacer del conocimiento de la instancia competente la probable responsabilidad por el incumplimiento de las obligaciones previstas en la Ley y en las demás disposiciones aplicable. </w:t>
      </w:r>
      <w:r w:rsidDel="00000000" w:rsidR="00000000" w:rsidRPr="00000000">
        <w:rPr>
          <w:rtl w:val="0"/>
        </w:rPr>
      </w:r>
    </w:p>
    <w:p w:rsidR="00000000" w:rsidDel="00000000" w:rsidP="00000000" w:rsidRDefault="00000000" w:rsidRPr="00000000" w14:paraId="00000026">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27">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Establecido lo anterior, debe tomarse en cuenta que la vista a la Dirección General de Datos de este Instituto, no debió incluirse en los resolutivos de la resolución referida, toda vez que, el Particular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w:t>
      </w:r>
    </w:p>
    <w:p w:rsidR="00000000" w:rsidDel="00000000" w:rsidP="00000000" w:rsidRDefault="00000000" w:rsidRPr="00000000" w14:paraId="00000028">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29">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Lo anterior expone razones suficientes para la emisión y presentación del presente </w:t>
      </w:r>
      <w:r w:rsidDel="00000000" w:rsidR="00000000" w:rsidRPr="00000000">
        <w:rPr>
          <w:rFonts w:ascii="Palatino Linotype" w:cs="Palatino Linotype" w:eastAsia="Palatino Linotype" w:hAnsi="Palatino Linotype"/>
          <w:b w:val="1"/>
          <w:sz w:val="24"/>
          <w:szCs w:val="24"/>
          <w:rtl w:val="0"/>
        </w:rPr>
        <w:t xml:space="preserve">Voto Particular Concurrente</w:t>
      </w:r>
      <w:r w:rsidDel="00000000" w:rsidR="00000000" w:rsidRPr="00000000">
        <w:rPr>
          <w:rFonts w:ascii="Palatino Linotype" w:cs="Palatino Linotype" w:eastAsia="Palatino Linotype" w:hAnsi="Palatino Linotype"/>
          <w:sz w:val="24"/>
          <w:szCs w:val="24"/>
          <w:rtl w:val="0"/>
        </w:rPr>
        <w:t xml:space="preserve">, relacionado con la resolución de los Recursos de Revisión referidos. --------------------------------------------------------------------------------------</w:t>
      </w:r>
    </w:p>
    <w:p w:rsidR="00000000" w:rsidDel="00000000" w:rsidP="00000000" w:rsidRDefault="00000000" w:rsidRPr="00000000" w14:paraId="0000002A">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2B">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2C">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2D">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2E">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2F">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0">
      <w:pPr>
        <w:tabs>
          <w:tab w:val="left" w:leader="none" w:pos="4962"/>
        </w:tabs>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31">
      <w:pPr>
        <w:tabs>
          <w:tab w:val="left" w:leader="none" w:pos="4962"/>
        </w:tabs>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32">
      <w:pPr>
        <w:tabs>
          <w:tab w:val="left" w:leader="none" w:pos="4962"/>
        </w:tabs>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33">
      <w:pPr>
        <w:tabs>
          <w:tab w:val="left" w:leader="none" w:pos="4962"/>
        </w:tabs>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34">
      <w:pPr>
        <w:tabs>
          <w:tab w:val="left" w:leader="none" w:pos="4962"/>
        </w:tabs>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spacing w:after="0" w:line="360" w:lineRule="auto"/>
        <w:ind w:right="423"/>
        <w:jc w:val="both"/>
        <w:rPr>
          <w:rFonts w:ascii="Palatino Linotype" w:cs="Palatino Linotype" w:eastAsia="Palatino Linotype" w:hAnsi="Palatino Linotype"/>
        </w:rPr>
      </w:pPr>
      <w:bookmarkStart w:colFirst="0" w:colLast="0" w:name="_heading=h.gjdgxs" w:id="1"/>
      <w:bookmarkEnd w:id="1"/>
      <w:r w:rsidDel="00000000" w:rsidR="00000000" w:rsidRPr="00000000">
        <w:rPr>
          <w:rtl w:val="0"/>
        </w:rPr>
      </w:r>
    </w:p>
    <w:sectPr>
      <w:headerReference r:id="rId7" w:type="default"/>
      <w:pgSz w:h="15840" w:w="12240" w:orient="portrait"/>
      <w:pgMar w:bottom="2836" w:top="1871" w:left="1985" w:right="1327"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tbl>
    <w:tblPr>
      <w:tblStyle w:val="Table1"/>
      <w:tblW w:w="5656.0" w:type="dxa"/>
      <w:jc w:val="left"/>
      <w:tblInd w:w="325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9"/>
      <w:gridCol w:w="3247"/>
      <w:tblGridChange w:id="0">
        <w:tblGrid>
          <w:gridCol w:w="2409"/>
          <w:gridCol w:w="3247"/>
        </w:tblGrid>
      </w:tblGridChange>
    </w:tblGrid>
    <w:tr>
      <w:trPr>
        <w:cantSplit w:val="0"/>
        <w:tblHeader w:val="0"/>
      </w:trPr>
      <w:tc>
        <w:tcPr>
          <w:gridSpan w:val="2"/>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 Concurrente</w:t>
          </w:r>
        </w:p>
      </w:tc>
    </w:tr>
    <w:tr>
      <w:trPr>
        <w:cantSplit w:val="0"/>
        <w:tblHeader w:val="0"/>
      </w:trPr>
      <w:tc>
        <w:tcPr>
          <w:vAlign w:val="center"/>
        </w:tcPr>
        <w:p w:rsidR="00000000" w:rsidDel="00000000" w:rsidP="00000000" w:rsidRDefault="00000000" w:rsidRPr="00000000" w14:paraId="00000039">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Recursos de Revisión:</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06321/INFOEM/IP/RR/2023 y acumulados</w:t>
          </w:r>
        </w:p>
      </w:tc>
    </w:tr>
    <w:tr>
      <w:trPr>
        <w:cantSplit w:val="0"/>
        <w:tblHeader w:val="0"/>
      </w:trPr>
      <w:tc>
        <w:tcPr/>
        <w:p w:rsidR="00000000" w:rsidDel="00000000" w:rsidP="00000000" w:rsidRDefault="00000000" w:rsidRPr="00000000" w14:paraId="0000003B">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w:t>
          </w:r>
        </w:p>
      </w:tc>
      <w:tc>
        <w:tcPr/>
        <w:p w:rsidR="00000000" w:rsidDel="00000000" w:rsidP="00000000" w:rsidRDefault="00000000" w:rsidRPr="00000000" w14:paraId="0000003C">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Ayuntamiento de Tlalmanalco</w:t>
          </w:r>
        </w:p>
      </w:tc>
    </w:tr>
    <w:tr>
      <w:trPr>
        <w:cantSplit w:val="0"/>
        <w:tblHeader w:val="0"/>
      </w:trPr>
      <w:tc>
        <w:tcPr/>
        <w:p w:rsidR="00000000" w:rsidDel="00000000" w:rsidP="00000000" w:rsidRDefault="00000000" w:rsidRPr="00000000" w14:paraId="0000003D">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Comisionado Ponente:</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Luis Gustavo Parra Noriega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tl w:val="0"/>
            </w:rPr>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-1260474</wp:posOffset>
          </wp:positionH>
          <wp:positionV relativeFrom="paragraph">
            <wp:posOffset>-1301114</wp:posOffset>
          </wp:positionV>
          <wp:extent cx="7510628" cy="9883775"/>
          <wp:effectExtent b="0" l="0" r="0" t="0"/>
          <wp:wrapNone/>
          <wp:docPr id="23731340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628" cy="98837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iedepgina">
    <w:name w:val="footer"/>
    <w:basedOn w:val="Normal"/>
    <w:link w:val="PiedepginaCar"/>
    <w:uiPriority w:val="99"/>
    <w:unhideWhenUsed w:val="1"/>
    <w:rsid w:val="00F745F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745F0"/>
  </w:style>
  <w:style w:type="paragraph" w:styleId="Encabezado">
    <w:name w:val="header"/>
    <w:basedOn w:val="Normal"/>
    <w:link w:val="EncabezadoCar"/>
    <w:uiPriority w:val="99"/>
    <w:unhideWhenUsed w:val="1"/>
    <w:rsid w:val="00F745F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745F0"/>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6E300B"/>
    <w:pPr>
      <w:spacing w:after="0" w:line="240" w:lineRule="auto"/>
      <w:ind w:left="708"/>
    </w:pPr>
    <w:rPr>
      <w:rFonts w:ascii="Times New Roman" w:cs="Times New Roman" w:eastAsia="Times New Roman" w:hAnsi="Times New Roman"/>
      <w:sz w:val="24"/>
      <w:szCs w:val="24"/>
      <w:lang w:eastAsia="es-ES" w:val="es-MX"/>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6E300B"/>
    <w:rPr>
      <w:rFonts w:ascii="Times New Roman" w:cs="Times New Roman" w:eastAsia="Times New Roman" w:hAnsi="Times New Roman"/>
      <w:sz w:val="24"/>
      <w:szCs w:val="24"/>
      <w:lang w:eastAsia="es-ES" w:val="es-MX"/>
    </w:rPr>
  </w:style>
  <w:style w:type="table" w:styleId="Tablaconcuadrcula">
    <w:name w:val="Table Grid"/>
    <w:basedOn w:val="Tablanormal"/>
    <w:uiPriority w:val="59"/>
    <w:rsid w:val="008A3CC9"/>
    <w:pP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ekLyRL8CHwfGrLtPSU+XSE7Bw==">CgMxLjAyDmgudTV5bjkyeG1wejRhMghoLmdqZGd4czgAciExY1MwdjFSUzhudlJYaFUzYUhVSjdtZG1LSjhQUURTd2s=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2024-03-06T01:11:00Z</dcterms:created>
  <dc:creator>SAFOVI</dc:creator>
</cp:coreProperties>
</file>