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809DF" w14:textId="77777777" w:rsidR="006C5D62" w:rsidRDefault="006C5D62" w:rsidP="003B357E">
      <w:pPr>
        <w:pStyle w:val="Encabezado"/>
        <w:spacing w:line="360" w:lineRule="auto"/>
        <w:ind w:right="49"/>
        <w:jc w:val="both"/>
        <w:rPr>
          <w:rFonts w:ascii="Palatino Linotype" w:hAnsi="Palatino Linotype" w:cs="Tahoma"/>
          <w:b/>
        </w:rPr>
      </w:pPr>
    </w:p>
    <w:p w14:paraId="467BBEA9" w14:textId="463BE4DF" w:rsidR="003B357E" w:rsidRDefault="003B357E" w:rsidP="003B357E">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00A569AC">
        <w:rPr>
          <w:rFonts w:ascii="Palatino Linotype" w:hAnsi="Palatino Linotype"/>
          <w:b/>
        </w:rPr>
        <w:t>06641</w:t>
      </w:r>
      <w:r w:rsidRPr="00A35B8C">
        <w:rPr>
          <w:rFonts w:ascii="Palatino Linotype" w:hAnsi="Palatino Linotype"/>
          <w:b/>
        </w:rPr>
        <w:t>/INFOEM/IP/RR/202</w:t>
      </w:r>
      <w:r>
        <w:rPr>
          <w:rFonts w:ascii="Palatino Linotype" w:hAnsi="Palatino Linotype"/>
          <w:b/>
        </w:rPr>
        <w:t>3</w:t>
      </w:r>
      <w:r w:rsidRPr="006A7606">
        <w:rPr>
          <w:rFonts w:ascii="Palatino Linotype" w:hAnsi="Palatino Linotype" w:cs="Tahoma"/>
          <w:b/>
        </w:rPr>
        <w:t>, PROMOVIDO EN CONTRA DE</w:t>
      </w:r>
      <w:r>
        <w:rPr>
          <w:rFonts w:ascii="Palatino Linotype" w:hAnsi="Palatino Linotype" w:cs="Tahoma"/>
          <w:b/>
        </w:rPr>
        <w:t xml:space="preserve">L </w:t>
      </w:r>
      <w:r w:rsidR="00A569AC" w:rsidRPr="00A569AC">
        <w:rPr>
          <w:rFonts w:ascii="Palatino Linotype" w:hAnsi="Palatino Linotype" w:cs="Tahoma"/>
          <w:b/>
        </w:rPr>
        <w:t>ORGANISMO DESCENTRALIZADO DE AGUA POTABLE ALCANTARILLADO Y SANEAMIENTO DE NEZAHUALCÓYOTL (ODAPAS)</w:t>
      </w:r>
      <w:r w:rsidR="00A569AC">
        <w:rPr>
          <w:rFonts w:ascii="Palatino Linotype" w:hAnsi="Palatino Linotype" w:cs="Tahoma"/>
          <w:b/>
        </w:rPr>
        <w:t>.</w:t>
      </w:r>
    </w:p>
    <w:p w14:paraId="144E27B3" w14:textId="77777777" w:rsidR="003B357E" w:rsidRPr="006A7606" w:rsidRDefault="003B357E" w:rsidP="003B357E">
      <w:pPr>
        <w:pStyle w:val="Encabezado"/>
        <w:spacing w:line="360" w:lineRule="auto"/>
        <w:ind w:right="49"/>
        <w:jc w:val="both"/>
        <w:rPr>
          <w:rFonts w:ascii="Palatino Linotype" w:hAnsi="Palatino Linotype" w:cs="Tahoma"/>
        </w:rPr>
      </w:pPr>
    </w:p>
    <w:p w14:paraId="1555AA63" w14:textId="17F137D9" w:rsidR="003B357E" w:rsidRDefault="003B357E" w:rsidP="003B357E">
      <w:pPr>
        <w:spacing w:after="0" w:line="360" w:lineRule="auto"/>
        <w:jc w:val="both"/>
        <w:rPr>
          <w:rFonts w:ascii="Palatino Linotype" w:hAnsi="Palatino Linotype" w:cs="Tahoma"/>
          <w:b/>
        </w:rPr>
      </w:pPr>
      <w:r w:rsidRPr="0046182D">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en la resolución que </w:t>
      </w:r>
      <w:r w:rsidRPr="00B56DE2">
        <w:rPr>
          <w:rFonts w:ascii="Palatino Linotype" w:hAnsi="Palatino Linotype" w:cs="Tahoma"/>
          <w:b/>
          <w:bCs/>
        </w:rPr>
        <w:t>presenté conforme al criterio mayoritario del Pleno,</w:t>
      </w:r>
      <w:r w:rsidRPr="0046182D">
        <w:rPr>
          <w:rFonts w:ascii="Palatino Linotype" w:hAnsi="Palatino Linotype" w:cs="Tahoma"/>
        </w:rPr>
        <w:t xml:space="preserve"> en la Resolución del Recurso de Revisión </w:t>
      </w:r>
      <w:r w:rsidR="00A569AC">
        <w:rPr>
          <w:rFonts w:ascii="Palatino Linotype" w:hAnsi="Palatino Linotype" w:cs="Tahoma"/>
          <w:b/>
        </w:rPr>
        <w:t>06641</w:t>
      </w:r>
      <w:r>
        <w:rPr>
          <w:rFonts w:ascii="Palatino Linotype" w:hAnsi="Palatino Linotype" w:cs="Tahoma"/>
          <w:b/>
        </w:rPr>
        <w:t>/INFOEM/IP/RR/2023.</w:t>
      </w:r>
    </w:p>
    <w:p w14:paraId="12765FD3" w14:textId="77777777" w:rsidR="003B357E" w:rsidRPr="005A391A" w:rsidRDefault="003B357E" w:rsidP="003B357E">
      <w:pPr>
        <w:spacing w:after="0" w:line="360" w:lineRule="auto"/>
        <w:jc w:val="both"/>
        <w:rPr>
          <w:rFonts w:ascii="Palatino Linotype" w:hAnsi="Palatino Linotype" w:cs="Tahoma"/>
        </w:rPr>
      </w:pPr>
    </w:p>
    <w:p w14:paraId="79A3AD3A" w14:textId="1345DC30" w:rsidR="00801B21" w:rsidRDefault="00E66339" w:rsidP="00590D44">
      <w:pPr>
        <w:spacing w:after="0" w:line="360" w:lineRule="auto"/>
        <w:contextualSpacing/>
        <w:jc w:val="both"/>
        <w:rPr>
          <w:rFonts w:ascii="Palatino Linotype" w:hAnsi="Palatino Linotype" w:cs="Tahoma"/>
        </w:rPr>
      </w:pPr>
      <w:r w:rsidRPr="00A77118">
        <w:rPr>
          <w:rFonts w:ascii="Palatino Linotype" w:hAnsi="Palatino Linotype" w:cs="Tahoma"/>
        </w:rPr>
        <w:t>Como se desprende de la Resolución que nos ocupa, el solicitante requirió,</w:t>
      </w:r>
      <w:r w:rsidR="00A569AC">
        <w:rPr>
          <w:rFonts w:ascii="Palatino Linotype" w:hAnsi="Palatino Linotype" w:cs="Tahoma"/>
        </w:rPr>
        <w:t xml:space="preserve"> oficios </w:t>
      </w:r>
      <w:r w:rsidRPr="00A77118">
        <w:rPr>
          <w:rFonts w:ascii="Palatino Linotype" w:hAnsi="Palatino Linotype" w:cs="Tahoma"/>
        </w:rPr>
        <w:t>al Sujeto Obligado</w:t>
      </w:r>
      <w:r w:rsidR="006C5D62">
        <w:rPr>
          <w:rFonts w:ascii="Palatino Linotype" w:hAnsi="Palatino Linotype" w:cs="Tahoma"/>
        </w:rPr>
        <w:t xml:space="preserve"> entre los que se pueden encontrar posiblemente los nombres de servidores públicos cuyo nombre obra en un expediente de responsabilidades; sin embargo , se determinó que no incurrieron en ninguna falta.</w:t>
      </w:r>
      <w:r w:rsidR="006306C4">
        <w:rPr>
          <w:rFonts w:ascii="Palatino Linotype" w:hAnsi="Palatino Linotype" w:cs="Tahoma"/>
        </w:rPr>
        <w:t xml:space="preserve"> </w:t>
      </w:r>
      <w:r w:rsidR="006C5D62">
        <w:rPr>
          <w:rFonts w:ascii="Palatino Linotype" w:hAnsi="Palatino Linotype" w:cs="Tahoma"/>
        </w:rPr>
        <w:t>a</w:t>
      </w:r>
      <w:r w:rsidR="006869B6">
        <w:rPr>
          <w:rFonts w:ascii="Palatino Linotype" w:hAnsi="Palatino Linotype" w:cs="Tahoma"/>
        </w:rPr>
        <w:t xml:space="preserve">sí </w:t>
      </w:r>
      <w:r w:rsidR="00590D44">
        <w:rPr>
          <w:rFonts w:ascii="Palatino Linotype" w:hAnsi="Palatino Linotype" w:cs="Tahoma"/>
        </w:rPr>
        <w:t>en</w:t>
      </w:r>
      <w:r w:rsidR="00AC139E">
        <w:rPr>
          <w:rFonts w:ascii="Palatino Linotype" w:hAnsi="Palatino Linotype" w:cs="Tahoma"/>
        </w:rPr>
        <w:t xml:space="preserve"> </w:t>
      </w:r>
      <w:r w:rsidR="006869B6">
        <w:rPr>
          <w:rFonts w:ascii="Palatino Linotype" w:hAnsi="Palatino Linotype" w:cs="Tahoma"/>
        </w:rPr>
        <w:t xml:space="preserve">estudio </w:t>
      </w:r>
      <w:r w:rsidR="003B357E">
        <w:rPr>
          <w:rFonts w:ascii="Palatino Linotype" w:hAnsi="Palatino Linotype" w:cs="Tahoma"/>
        </w:rPr>
        <w:t xml:space="preserve">se </w:t>
      </w:r>
      <w:r w:rsidR="00AC36EF">
        <w:rPr>
          <w:rFonts w:ascii="Palatino Linotype" w:hAnsi="Palatino Linotype" w:cs="Tahoma"/>
        </w:rPr>
        <w:t xml:space="preserve">determinó </w:t>
      </w:r>
      <w:r w:rsidR="002605BA">
        <w:rPr>
          <w:rFonts w:ascii="Palatino Linotype" w:hAnsi="Palatino Linotype" w:cs="Tahoma"/>
        </w:rPr>
        <w:t>que para el caso de que</w:t>
      </w:r>
      <w:r w:rsidR="004E7CC9">
        <w:rPr>
          <w:rFonts w:ascii="Palatino Linotype" w:hAnsi="Palatino Linotype" w:cs="Tahoma"/>
        </w:rPr>
        <w:t xml:space="preserve"> </w:t>
      </w:r>
      <w:r w:rsidR="00A569AC">
        <w:rPr>
          <w:rFonts w:ascii="Palatino Linotype" w:hAnsi="Palatino Linotype" w:cs="Tahoma"/>
        </w:rPr>
        <w:t xml:space="preserve">algunos de estos estuvieran relacionados con </w:t>
      </w:r>
      <w:r w:rsidR="00590D44">
        <w:rPr>
          <w:rFonts w:ascii="Palatino Linotype" w:hAnsi="Palatino Linotype" w:cs="Tahoma"/>
        </w:rPr>
        <w:t>procedimiento</w:t>
      </w:r>
      <w:r w:rsidR="00A569AC">
        <w:rPr>
          <w:rFonts w:ascii="Palatino Linotype" w:hAnsi="Palatino Linotype" w:cs="Tahoma"/>
        </w:rPr>
        <w:t>s</w:t>
      </w:r>
      <w:r w:rsidR="00590D44">
        <w:rPr>
          <w:rFonts w:ascii="Palatino Linotype" w:hAnsi="Palatino Linotype" w:cs="Tahoma"/>
        </w:rPr>
        <w:t xml:space="preserve"> de responsabilidad administrativa, en l</w:t>
      </w:r>
      <w:r w:rsidR="00A569AC">
        <w:rPr>
          <w:rFonts w:ascii="Palatino Linotype" w:hAnsi="Palatino Linotype" w:cs="Tahoma"/>
        </w:rPr>
        <w:t>os</w:t>
      </w:r>
      <w:r w:rsidR="00590D44">
        <w:rPr>
          <w:rFonts w:ascii="Palatino Linotype" w:hAnsi="Palatino Linotype" w:cs="Tahoma"/>
        </w:rPr>
        <w:t xml:space="preserve"> que se haya declarado absuelto al servidor público, su nombre debía ser confidencial.</w:t>
      </w:r>
    </w:p>
    <w:p w14:paraId="17397B5D" w14:textId="5E1936FC" w:rsidR="002931A8" w:rsidRDefault="002931A8" w:rsidP="003C115B">
      <w:pPr>
        <w:spacing w:after="0" w:line="360" w:lineRule="auto"/>
        <w:contextualSpacing/>
        <w:jc w:val="both"/>
        <w:rPr>
          <w:rFonts w:ascii="Palatino Linotype" w:hAnsi="Palatino Linotype" w:cs="Tahoma"/>
        </w:rPr>
      </w:pPr>
    </w:p>
    <w:p w14:paraId="5AFD9206" w14:textId="7A1CC96B" w:rsidR="00CE1DAC" w:rsidRPr="002931A8" w:rsidRDefault="00CE1DAC" w:rsidP="00CE1DAC">
      <w:pPr>
        <w:spacing w:after="0" w:line="360" w:lineRule="auto"/>
        <w:contextualSpacing/>
        <w:jc w:val="both"/>
        <w:rPr>
          <w:rFonts w:ascii="Palatino Linotype" w:hAnsi="Palatino Linotype" w:cs="Tahoma"/>
        </w:rPr>
      </w:pPr>
      <w:r>
        <w:rPr>
          <w:rFonts w:ascii="Palatino Linotype" w:hAnsi="Palatino Linotype" w:cs="Tahoma"/>
        </w:rPr>
        <w:lastRenderedPageBreak/>
        <w:t xml:space="preserve">De </w:t>
      </w:r>
      <w:r w:rsidRPr="0092103D">
        <w:rPr>
          <w:rFonts w:ascii="Palatino Linotype" w:hAnsi="Palatino Linotype" w:cs="Tahoma"/>
        </w:rPr>
        <w:t xml:space="preserve">acuerdo con lo expuesto, </w:t>
      </w:r>
      <w:r>
        <w:rPr>
          <w:rFonts w:ascii="Palatino Linotype" w:hAnsi="Palatino Linotype" w:cs="Tahoma"/>
        </w:rPr>
        <w:t xml:space="preserve">es que </w:t>
      </w:r>
      <w:r w:rsidRPr="0092103D">
        <w:rPr>
          <w:rFonts w:ascii="Palatino Linotype" w:hAnsi="Palatino Linotype" w:cs="Tahoma"/>
        </w:rPr>
        <w:t>emito el presente Voto</w:t>
      </w:r>
      <w:r>
        <w:rPr>
          <w:rFonts w:ascii="Palatino Linotype" w:hAnsi="Palatino Linotype" w:cs="Tahoma"/>
        </w:rPr>
        <w:t xml:space="preserve"> Particular</w:t>
      </w:r>
      <w:r w:rsidRPr="0092103D">
        <w:rPr>
          <w:rFonts w:ascii="Palatino Linotype" w:hAnsi="Palatino Linotype" w:cs="Tahoma"/>
        </w:rPr>
        <w:t xml:space="preserve">, en virtud de que </w:t>
      </w:r>
      <w:r>
        <w:rPr>
          <w:rFonts w:ascii="Palatino Linotype" w:hAnsi="Palatino Linotype" w:cs="Tahoma"/>
        </w:rPr>
        <w:t xml:space="preserve">considero que el nombre del servidor público que fue investigado y absuelto de una falta debe ser público ya que </w:t>
      </w:r>
      <w:r w:rsidRPr="002931A8">
        <w:rPr>
          <w:rFonts w:ascii="Palatino Linotype" w:hAnsi="Palatino Linotype" w:cs="Tahoma"/>
        </w:rPr>
        <w:t>se trata de denuncias concluidas por falta de elementos en donde la conducta investigada no fue contraria en derecho; por lo que, entregar su nombre,  daría a conocer que las conductas que se le atribuían, no le eran imputables, lo cual permitiría la rendición de cuentas de este, pues se podría observar, que dicho trabajador, ha cumplido con sus obligaciones, no ha cometido actos irregulares y ha actuado conforme a las normatividad aplicable.</w:t>
      </w:r>
    </w:p>
    <w:p w14:paraId="4CD7CE24" w14:textId="77777777" w:rsidR="00CE1DAC" w:rsidRDefault="00CE1DAC" w:rsidP="00CE1DAC">
      <w:pPr>
        <w:spacing w:after="0" w:line="360" w:lineRule="auto"/>
        <w:contextualSpacing/>
        <w:jc w:val="both"/>
        <w:rPr>
          <w:rFonts w:ascii="Palatino Linotype" w:hAnsi="Palatino Linotype" w:cs="Tahoma"/>
        </w:rPr>
      </w:pPr>
    </w:p>
    <w:p w14:paraId="0E0C0C61" w14:textId="77777777" w:rsidR="00CE1DAC" w:rsidRPr="002931A8" w:rsidRDefault="00CE1DAC" w:rsidP="00CE1DAC">
      <w:pPr>
        <w:spacing w:after="0" w:line="360" w:lineRule="auto"/>
        <w:contextualSpacing/>
        <w:jc w:val="both"/>
        <w:rPr>
          <w:rFonts w:ascii="Palatino Linotype" w:hAnsi="Palatino Linotype" w:cs="Tahoma"/>
        </w:rPr>
      </w:pPr>
      <w:r w:rsidRPr="002931A8">
        <w:rPr>
          <w:rFonts w:ascii="Palatino Linotype" w:hAnsi="Palatino Linotype" w:cs="Tahoma"/>
        </w:rPr>
        <w:t>Además, proporcionar su nombre, no generaría una afectación a su honor, intimidad o buena imagen, pues contrario a esto, a través de las denuncias, es posible conocer que los motivos señalados en estas, no fueron comprobadas y que el servidor público ha ejercido su cargo, de manera honesta, responsable y conforme a lo establecido en las diversas disposiciones, por lo que no implicaría una vulneración a su honor o intimidad, ya que dichos procedimientos suponen la falta de elementos para sancionarlo.</w:t>
      </w:r>
    </w:p>
    <w:p w14:paraId="7F439BC8" w14:textId="77777777" w:rsidR="00CE1DAC" w:rsidRPr="002931A8" w:rsidRDefault="00CE1DAC" w:rsidP="00CE1DAC">
      <w:pPr>
        <w:spacing w:after="0" w:line="360" w:lineRule="auto"/>
        <w:contextualSpacing/>
        <w:jc w:val="both"/>
        <w:rPr>
          <w:rFonts w:ascii="Palatino Linotype" w:hAnsi="Palatino Linotype" w:cs="Tahoma"/>
        </w:rPr>
      </w:pPr>
    </w:p>
    <w:p w14:paraId="5FBC50D9" w14:textId="77777777" w:rsidR="00CE1DAC" w:rsidRDefault="00CE1DAC" w:rsidP="00CE1DAC">
      <w:pPr>
        <w:spacing w:after="0" w:line="360" w:lineRule="auto"/>
        <w:contextualSpacing/>
        <w:jc w:val="both"/>
        <w:rPr>
          <w:rFonts w:ascii="Palatino Linotype" w:hAnsi="Palatino Linotype" w:cs="Tahoma"/>
        </w:rPr>
      </w:pPr>
      <w:r w:rsidRPr="002931A8">
        <w:rPr>
          <w:rFonts w:ascii="Palatino Linotype" w:hAnsi="Palatino Linotype" w:cs="Tahoma"/>
        </w:rPr>
        <w:t xml:space="preserve">Igualmente, debe traerse a colación la jurisprudencia con el rubro </w:t>
      </w:r>
      <w:r w:rsidRPr="003F6E82">
        <w:rPr>
          <w:rFonts w:ascii="Palatino Linotype" w:hAnsi="Palatino Linotype" w:cs="Tahoma"/>
          <w:b/>
          <w:i/>
        </w:rPr>
        <w:t>“LIBERTAD DE EXPRESIÓN Y DERECHO AL HONOR. EXPRESIONES QUE SE ENCUENTRAN PROTEGIDAS CONSTITUCIONALMENTE”</w:t>
      </w:r>
      <w:r w:rsidRPr="002931A8">
        <w:rPr>
          <w:rFonts w:ascii="Palatino Linotype" w:hAnsi="Palatino Linotype" w:cs="Tahoma"/>
        </w:rPr>
        <w:t xml:space="preserve">, de la que se desprende que la Suprema Corte de Justicia de la Nación, considera que existe una presunción general de cobertura constitucional de todo discurso expresivo cuando las ideas expresadas tienen por objeto exteriorizar un sentir positivo o favorable hacia una persona, por lo que resulta indiscutible que no habría una intromisión al derecho al honor de la persona sobre la cual se vierten ideas u opiniones cuando son de esa naturaleza. Asimismo, prevé que el estándar de constitucionalidad de las opiniones emitidas en ejercicio de la libertad de expresión es el de relevancia pública, el cual depende del interés general por la materia y por las personas que </w:t>
      </w:r>
      <w:r w:rsidRPr="002931A8">
        <w:rPr>
          <w:rFonts w:ascii="Palatino Linotype" w:hAnsi="Palatino Linotype" w:cs="Tahoma"/>
        </w:rPr>
        <w:lastRenderedPageBreak/>
        <w:t>en ella intervienen, cuando las noticias comunicadas o las expresiones proferidas redunden en descrédito del afectado, pues en caso contrario ni siquiera existiría un conflicto entre derechos fundamentales, al no observarse una intromisión al derecho al honor.</w:t>
      </w:r>
    </w:p>
    <w:p w14:paraId="56768526" w14:textId="77777777" w:rsidR="00CE1DAC" w:rsidRDefault="00CE1DAC" w:rsidP="00CE1DAC">
      <w:pPr>
        <w:spacing w:after="0" w:line="360" w:lineRule="auto"/>
        <w:contextualSpacing/>
        <w:jc w:val="both"/>
        <w:rPr>
          <w:rFonts w:ascii="Palatino Linotype" w:hAnsi="Palatino Linotype" w:cs="Tahoma"/>
        </w:rPr>
      </w:pPr>
    </w:p>
    <w:p w14:paraId="1BDEE75C" w14:textId="77777777" w:rsidR="00CE1DAC" w:rsidRDefault="00CE1DAC" w:rsidP="00CE1DAC">
      <w:pPr>
        <w:spacing w:after="0" w:line="360" w:lineRule="auto"/>
        <w:contextualSpacing/>
        <w:jc w:val="both"/>
        <w:rPr>
          <w:rFonts w:ascii="Palatino Linotype" w:hAnsi="Palatino Linotype" w:cs="Tahoma"/>
        </w:rPr>
      </w:pPr>
      <w:r w:rsidRPr="002931A8">
        <w:rPr>
          <w:rFonts w:ascii="Palatino Linotype" w:hAnsi="Palatino Linotype" w:cs="Tahoma"/>
        </w:rPr>
        <w:t>Si bien el caso que nos ocupa se refiere a un asunto de acceso a la información y no de libertad de expresión, es aplicable la tesis por analogía, en tanto que dar a conocer que existieron denuncias en contra de determinado servidor público en los que se determinó que no se actualizaba alguna responsabilidad, no representa un dato negativo o desfavorable que lo desacredite, lo cual es uno de los requisitos necesarios para que pueda considerarse que existe una intromisión al derecho al honor de una persona.</w:t>
      </w:r>
    </w:p>
    <w:p w14:paraId="515E851E" w14:textId="77777777" w:rsidR="00CE1DAC" w:rsidRDefault="00CE1DAC" w:rsidP="00CE1DAC">
      <w:pPr>
        <w:spacing w:after="0" w:line="360" w:lineRule="auto"/>
        <w:contextualSpacing/>
        <w:jc w:val="both"/>
        <w:rPr>
          <w:rFonts w:ascii="Palatino Linotype" w:hAnsi="Palatino Linotype" w:cs="Tahoma"/>
        </w:rPr>
      </w:pPr>
    </w:p>
    <w:p w14:paraId="3225C1CA" w14:textId="77777777" w:rsidR="00CE1DAC" w:rsidRPr="003F6E82" w:rsidRDefault="00CE1DAC" w:rsidP="00CE1DAC">
      <w:pPr>
        <w:spacing w:after="0" w:line="360" w:lineRule="auto"/>
        <w:contextualSpacing/>
        <w:jc w:val="both"/>
        <w:rPr>
          <w:rFonts w:ascii="Palatino Linotype" w:hAnsi="Palatino Linotype" w:cs="Tahoma"/>
        </w:rPr>
      </w:pPr>
      <w:r w:rsidRPr="003F6E82">
        <w:rPr>
          <w:rFonts w:ascii="Palatino Linotype" w:hAnsi="Palatino Linotype" w:cs="Tahoma"/>
        </w:rPr>
        <w:t xml:space="preserve">Por otro lado, en la tesis aislada con el rubro </w:t>
      </w:r>
      <w:r w:rsidRPr="003F6E82">
        <w:rPr>
          <w:rFonts w:ascii="Palatino Linotype" w:hAnsi="Palatino Linotype" w:cs="Tahoma"/>
          <w:b/>
          <w:i/>
        </w:rPr>
        <w:t>“DERECHO A SER INFORMADO Y DERECHO AL HONOR. ESTÁNDAR PARA DETERMINAR SU PREVALENCIA</w:t>
      </w:r>
      <w:r w:rsidRPr="003F6E82">
        <w:rPr>
          <w:rFonts w:ascii="Palatino Linotype" w:hAnsi="Palatino Linotype" w:cs="Tahoma"/>
        </w:rPr>
        <w:t>”, la Suprema Corte de Justicia de la Nación ha señalado que el derecho a la información no es absoluto, pues si bien el Estado tiene la obligación de informar a la población sobre temas de relevancia pública, también debe proteger y garantizar el derecho al honor a la reputación de las personas; por lo que, para que la autoridad pueda difundir ciertos datos, debe cerciorarse que los mismos sean de relevancia pública o interés general, o bien, versen sobre personas con un impacto público o social. Además, la información debe constituir una certera aproximación a la realidad, lo cual puede derivar de que la autoridad emisora de la información la obtenga de investigaciones, informes o estadísticas propios o de otras autoridades, así como, de hechos notorios para la sociedad. Finalmente, debe carecer de toda intervención de juicios o valoraciones subjetivas que no tengan como fin informar a la sociedad, sino que pretendan establecer una postura, opinión o crítica hacia la persona.</w:t>
      </w:r>
    </w:p>
    <w:p w14:paraId="6D883FD1" w14:textId="77777777" w:rsidR="00CE1DAC" w:rsidRPr="003F6E82" w:rsidRDefault="00CE1DAC" w:rsidP="00CE1DAC">
      <w:pPr>
        <w:spacing w:after="0" w:line="360" w:lineRule="auto"/>
        <w:contextualSpacing/>
        <w:jc w:val="both"/>
        <w:rPr>
          <w:rFonts w:ascii="Palatino Linotype" w:hAnsi="Palatino Linotype" w:cs="Tahoma"/>
        </w:rPr>
      </w:pPr>
    </w:p>
    <w:p w14:paraId="1F05222C" w14:textId="77777777" w:rsidR="00CE1DAC" w:rsidRDefault="00CE1DAC" w:rsidP="00CE1DAC">
      <w:pPr>
        <w:spacing w:after="0" w:line="360" w:lineRule="auto"/>
        <w:contextualSpacing/>
        <w:jc w:val="both"/>
        <w:rPr>
          <w:rFonts w:ascii="Palatino Linotype" w:hAnsi="Palatino Linotype" w:cs="Tahoma"/>
        </w:rPr>
      </w:pPr>
      <w:r w:rsidRPr="003F6E82">
        <w:rPr>
          <w:rFonts w:ascii="Palatino Linotype" w:hAnsi="Palatino Linotype" w:cs="Tahoma"/>
        </w:rPr>
        <w:lastRenderedPageBreak/>
        <w:t>Así, la información, trata sobre las actuaciones realizadas por un servidor público en ejercicio de sus funciones, las cuales no derivaron en alguna responsabilidad, además que transparenta la gestión pública y la rendición de cuentas de este, pues da a conocer que se ha conducido conforme a Derecho, es decir, de conformidad a sus objetivos, atribuciones y obligaciones.</w:t>
      </w:r>
    </w:p>
    <w:p w14:paraId="22FCC588" w14:textId="77777777" w:rsidR="00CE1DAC" w:rsidRDefault="00CE1DAC" w:rsidP="00CE1DAC">
      <w:pPr>
        <w:spacing w:after="0" w:line="360" w:lineRule="auto"/>
        <w:contextualSpacing/>
        <w:jc w:val="both"/>
        <w:rPr>
          <w:rFonts w:ascii="Palatino Linotype" w:hAnsi="Palatino Linotype" w:cs="Tahoma"/>
        </w:rPr>
      </w:pPr>
      <w:r w:rsidRPr="003C115B">
        <w:rPr>
          <w:rFonts w:ascii="Palatino Linotype" w:hAnsi="Palatino Linotype" w:cs="Tahoma"/>
        </w:rPr>
        <w:t xml:space="preserve">Por lo </w:t>
      </w:r>
      <w:r>
        <w:rPr>
          <w:rFonts w:ascii="Palatino Linotype" w:hAnsi="Palatino Linotype" w:cs="Tahoma"/>
        </w:rPr>
        <w:t>señalado</w:t>
      </w:r>
      <w:r w:rsidRPr="003C115B">
        <w:rPr>
          <w:rFonts w:ascii="Palatino Linotype" w:hAnsi="Palatino Linotype" w:cs="Tahoma"/>
        </w:rPr>
        <w:t>, dar a conocer el nombre del servidor públicos en las denuncias, no actualiza la causal de clasificación prevista en el artículo 143, fracción I de la Ley de Transparencia y Acceso a la Información Pública del Estado de México y Municipios, pues como se precisó dicha información no afecta, su intimidad, honor y buen nombre.</w:t>
      </w:r>
    </w:p>
    <w:p w14:paraId="5632BA30" w14:textId="77777777" w:rsidR="00CE1DAC" w:rsidRDefault="00CE1DAC" w:rsidP="00CE1DAC">
      <w:pPr>
        <w:spacing w:after="0" w:line="360" w:lineRule="auto"/>
        <w:contextualSpacing/>
        <w:jc w:val="both"/>
        <w:rPr>
          <w:rFonts w:ascii="Palatino Linotype" w:hAnsi="Palatino Linotype" w:cs="Tahoma"/>
        </w:rPr>
      </w:pPr>
    </w:p>
    <w:p w14:paraId="731D9DB9" w14:textId="77777777" w:rsidR="00CE1DAC" w:rsidRPr="00264223" w:rsidRDefault="00CE1DAC" w:rsidP="00CE1DAC">
      <w:pPr>
        <w:spacing w:line="360" w:lineRule="auto"/>
        <w:ind w:right="-93"/>
        <w:contextualSpacing/>
        <w:jc w:val="both"/>
        <w:rPr>
          <w:rFonts w:ascii="Palatino Linotype" w:eastAsia="Calibri" w:hAnsi="Palatino Linotype" w:cs="Tahoma"/>
          <w:bCs/>
        </w:rPr>
      </w:pPr>
      <w:r>
        <w:rPr>
          <w:rFonts w:ascii="Palatino Linotype" w:eastAsia="Calibri" w:hAnsi="Palatino Linotype" w:cs="Tahoma"/>
          <w:bCs/>
        </w:rPr>
        <w:t xml:space="preserve">Aunado a lo anterior, por </w:t>
      </w:r>
      <w:r w:rsidRPr="00264223">
        <w:rPr>
          <w:rFonts w:ascii="Palatino Linotype" w:eastAsia="Calibri" w:hAnsi="Palatino Linotype" w:cs="Tahoma"/>
          <w:bCs/>
        </w:rPr>
        <w:t xml:space="preserve">cuanto hace a la colisión entre el derecho a la información y el derecho a la intimidad o a la vida privada, el Poder Judicial de la Federación ha sostenido la </w:t>
      </w:r>
      <w:r w:rsidRPr="00264223">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264223">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238BDB0" w14:textId="77777777" w:rsidR="00CE1DAC" w:rsidRPr="00264223" w:rsidRDefault="00CE1DAC" w:rsidP="00CE1DAC">
      <w:pPr>
        <w:spacing w:line="360" w:lineRule="auto"/>
        <w:contextualSpacing/>
        <w:rPr>
          <w:rFonts w:ascii="Palatino Linotype" w:eastAsia="Calibri" w:hAnsi="Palatino Linotype" w:cs="Tahoma"/>
          <w:bCs/>
        </w:rPr>
      </w:pPr>
    </w:p>
    <w:p w14:paraId="65D1EFF6" w14:textId="77777777" w:rsidR="00CE1DAC" w:rsidRPr="00264223" w:rsidRDefault="00CE1DAC" w:rsidP="00CE1DAC">
      <w:pPr>
        <w:spacing w:line="360" w:lineRule="auto"/>
        <w:contextualSpacing/>
        <w:jc w:val="both"/>
        <w:rPr>
          <w:rFonts w:ascii="Palatino Linotype" w:hAnsi="Palatino Linotype" w:cs="Tahoma"/>
          <w:bCs/>
          <w:iCs/>
        </w:rPr>
      </w:pPr>
      <w:r w:rsidRPr="00264223">
        <w:rPr>
          <w:rFonts w:ascii="Palatino Linotype" w:eastAsia="Calibri" w:hAnsi="Palatino Linotype" w:cs="Tahoma"/>
          <w:bCs/>
        </w:rPr>
        <w:t>En ese mismo sentido y atendiendo a la naturaleza del derecho a la protección de datos personales, por analogía, este debe ceder cuando exista un interés público mayor de acuerdo a las circunstancias del caso.</w:t>
      </w:r>
      <w:r w:rsidRPr="00264223">
        <w:rPr>
          <w:rFonts w:ascii="Palatino Linotype" w:hAnsi="Palatino Linotype" w:cs="Tahoma"/>
          <w:bCs/>
          <w:iCs/>
        </w:rPr>
        <w:t xml:space="preserve"> Señalado lo anterior, resulta necesario realizar una ponderación de los dos intereses jurídicos tutelados que convergen en la controversia que se dirime; para lo cual, el artículo </w:t>
      </w:r>
      <w:r w:rsidRPr="00264223">
        <w:rPr>
          <w:rFonts w:ascii="Palatino Linotype" w:eastAsia="Calibri" w:hAnsi="Palatino Linotype" w:cs="Tahoma"/>
          <w:bCs/>
        </w:rPr>
        <w:t xml:space="preserve">184 de la Ley de Transparencia y Acceso a la Información Pública del </w:t>
      </w:r>
      <w:r w:rsidRPr="00264223">
        <w:rPr>
          <w:rFonts w:ascii="Palatino Linotype" w:eastAsia="Calibri" w:hAnsi="Palatino Linotype" w:cs="Tahoma"/>
          <w:bCs/>
        </w:rPr>
        <w:lastRenderedPageBreak/>
        <w:t>Estado de México y Municipios</w:t>
      </w:r>
      <w:r w:rsidRPr="00264223">
        <w:rPr>
          <w:rFonts w:ascii="Palatino Linotype" w:hAnsi="Palatino Linotype" w:cs="Tahoma"/>
          <w:bCs/>
          <w:iCs/>
        </w:rPr>
        <w:t xml:space="preserve"> prevé que cuando exista una colisión de derechos, al resolver el recurso de revisión, </w:t>
      </w:r>
      <w:r>
        <w:rPr>
          <w:rFonts w:ascii="Palatino Linotype" w:hAnsi="Palatino Linotype" w:cs="Tahoma"/>
          <w:bCs/>
          <w:iCs/>
        </w:rPr>
        <w:t xml:space="preserve">se </w:t>
      </w:r>
      <w:r w:rsidRPr="00264223">
        <w:rPr>
          <w:rFonts w:ascii="Palatino Linotype" w:hAnsi="Palatino Linotype" w:cs="Tahoma"/>
          <w:bCs/>
          <w:iCs/>
        </w:rPr>
        <w:t xml:space="preserve">debe aplicar una prueba de interés público con base en elementos de idoneidad, necesidad y proporcionalidad. Para estos efectos, se entenderá por: </w:t>
      </w:r>
    </w:p>
    <w:p w14:paraId="41EFA734" w14:textId="77777777" w:rsidR="00CE1DAC" w:rsidRPr="00264223" w:rsidRDefault="00CE1DAC" w:rsidP="00CE1DAC">
      <w:pPr>
        <w:spacing w:line="360" w:lineRule="auto"/>
        <w:ind w:right="49"/>
        <w:contextualSpacing/>
        <w:jc w:val="both"/>
        <w:rPr>
          <w:rFonts w:ascii="Palatino Linotype" w:hAnsi="Palatino Linotype" w:cs="Tahoma"/>
          <w:bCs/>
          <w:iCs/>
        </w:rPr>
      </w:pPr>
    </w:p>
    <w:p w14:paraId="21EE52E1" w14:textId="77777777" w:rsidR="00CE1DAC" w:rsidRPr="00264223" w:rsidRDefault="00CE1DAC" w:rsidP="00CE1DAC">
      <w:pPr>
        <w:numPr>
          <w:ilvl w:val="0"/>
          <w:numId w:val="19"/>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Idoneidad:</w:t>
      </w:r>
      <w:r w:rsidRPr="00264223">
        <w:rPr>
          <w:rFonts w:ascii="Palatino Linotype" w:hAnsi="Palatino Linotype" w:cs="Tahoma"/>
          <w:bCs/>
          <w:iCs/>
        </w:rPr>
        <w:t xml:space="preserve"> La legitimidad del derecho adoptado como preferente, que sea el adecuado para el logro de un fin constitucionalmente válido o apto para conseguir el fin pretendido;</w:t>
      </w:r>
    </w:p>
    <w:p w14:paraId="4EEE452C" w14:textId="77777777" w:rsidR="00CE1DAC" w:rsidRPr="00264223" w:rsidRDefault="00CE1DAC" w:rsidP="00CE1DAC">
      <w:pPr>
        <w:spacing w:line="360" w:lineRule="auto"/>
        <w:ind w:left="426" w:right="49"/>
        <w:contextualSpacing/>
        <w:jc w:val="both"/>
        <w:rPr>
          <w:rFonts w:ascii="Palatino Linotype" w:hAnsi="Palatino Linotype" w:cs="Tahoma"/>
          <w:bCs/>
          <w:iCs/>
        </w:rPr>
      </w:pPr>
    </w:p>
    <w:p w14:paraId="25E0951C" w14:textId="77777777" w:rsidR="00CE1DAC" w:rsidRPr="00264223" w:rsidRDefault="00CE1DAC" w:rsidP="00CE1DAC">
      <w:pPr>
        <w:numPr>
          <w:ilvl w:val="0"/>
          <w:numId w:val="19"/>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Necesidad:</w:t>
      </w:r>
      <w:r w:rsidRPr="00264223">
        <w:rPr>
          <w:rFonts w:ascii="Palatino Linotype" w:hAnsi="Palatino Linotype" w:cs="Tahoma"/>
          <w:bCs/>
          <w:iCs/>
        </w:rPr>
        <w:t xml:space="preserve"> La falta de un medio alternativo menos lesivo a la apertura de la información, para satisfacer el interés público, y</w:t>
      </w:r>
    </w:p>
    <w:p w14:paraId="33C50AC5" w14:textId="77777777" w:rsidR="00CE1DAC" w:rsidRPr="00264223" w:rsidRDefault="00CE1DAC" w:rsidP="00CE1DAC">
      <w:pPr>
        <w:spacing w:line="360" w:lineRule="auto"/>
        <w:ind w:left="426" w:right="49"/>
        <w:contextualSpacing/>
        <w:jc w:val="both"/>
        <w:rPr>
          <w:rFonts w:ascii="Palatino Linotype" w:hAnsi="Palatino Linotype" w:cs="Tahoma"/>
          <w:bCs/>
          <w:iCs/>
        </w:rPr>
      </w:pPr>
    </w:p>
    <w:p w14:paraId="293AF8DE" w14:textId="77777777" w:rsidR="00CE1DAC" w:rsidRPr="00264223" w:rsidRDefault="00CE1DAC" w:rsidP="00CE1DAC">
      <w:pPr>
        <w:numPr>
          <w:ilvl w:val="0"/>
          <w:numId w:val="19"/>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Proporcionalidad:</w:t>
      </w:r>
      <w:r w:rsidRPr="00264223">
        <w:rPr>
          <w:rFonts w:ascii="Palatino Linotype" w:hAnsi="Palatino Linotype" w:cs="Tahoma"/>
          <w:bCs/>
          <w:iCs/>
        </w:rPr>
        <w:t xml:space="preserve"> El equilibrio entre perjuicio y beneficio a favor del interés público, a fin de que la decisión tomada represente un beneficio mayor al perjuicio que podría causar a la población.</w:t>
      </w:r>
    </w:p>
    <w:p w14:paraId="566A1332" w14:textId="77777777" w:rsidR="00CE1DAC" w:rsidRPr="00264223" w:rsidRDefault="00CE1DAC" w:rsidP="00CE1DAC">
      <w:pPr>
        <w:spacing w:line="360" w:lineRule="auto"/>
        <w:ind w:right="-93"/>
        <w:contextualSpacing/>
        <w:jc w:val="both"/>
        <w:rPr>
          <w:rFonts w:ascii="Palatino Linotype" w:eastAsia="Calibri" w:hAnsi="Palatino Linotype" w:cs="Tahoma"/>
          <w:bCs/>
        </w:rPr>
      </w:pPr>
    </w:p>
    <w:p w14:paraId="3E6F47FF" w14:textId="77777777" w:rsidR="00CE1DAC" w:rsidRDefault="00CE1DAC" w:rsidP="00CE1DAC">
      <w:pPr>
        <w:spacing w:line="360" w:lineRule="auto"/>
        <w:ind w:right="-1"/>
        <w:contextualSpacing/>
        <w:jc w:val="both"/>
        <w:rPr>
          <w:rFonts w:ascii="Palatino Linotype" w:eastAsia="Calibri" w:hAnsi="Palatino Linotype" w:cs="Tahoma"/>
        </w:rPr>
      </w:pPr>
      <w:r w:rsidRPr="00264223">
        <w:rPr>
          <w:rFonts w:ascii="Palatino Linotype" w:eastAsia="Calibri" w:hAnsi="Palatino Linotype" w:cs="Tahoma"/>
        </w:rPr>
        <w:t>En ese orden de ideas, resulta procedente analizar cada uno de los elementos referidos, partiendo de que, en el caso concreto, se estima como preferente el derecho de acceso a la información, bajo las consideraciones que se verterán a continuación.</w:t>
      </w:r>
    </w:p>
    <w:p w14:paraId="4E29CB84" w14:textId="77777777" w:rsidR="00CE1DAC" w:rsidRDefault="00CE1DAC" w:rsidP="00CE1DAC">
      <w:pPr>
        <w:spacing w:line="360" w:lineRule="auto"/>
        <w:ind w:right="-1"/>
        <w:contextualSpacing/>
        <w:jc w:val="both"/>
        <w:rPr>
          <w:rFonts w:ascii="Palatino Linotype" w:eastAsia="Calibri" w:hAnsi="Palatino Linotype" w:cs="Tahoma"/>
        </w:rPr>
      </w:pPr>
    </w:p>
    <w:p w14:paraId="3471648A" w14:textId="77777777" w:rsidR="00CE1DAC" w:rsidRDefault="00CE1DAC" w:rsidP="00CE1DAC">
      <w:pPr>
        <w:spacing w:line="360" w:lineRule="auto"/>
        <w:contextualSpacing/>
        <w:jc w:val="both"/>
        <w:rPr>
          <w:rFonts w:ascii="Palatino Linotype" w:eastAsia="Calibri" w:hAnsi="Palatino Linotype" w:cs="Tahoma"/>
          <w:b/>
          <w:iCs/>
          <w:lang w:eastAsia="es-ES_tradnl"/>
        </w:rPr>
      </w:pPr>
      <w:r w:rsidRPr="00264223">
        <w:rPr>
          <w:rFonts w:ascii="Palatino Linotype" w:eastAsia="Calibri" w:hAnsi="Palatino Linotype" w:cs="Tahoma"/>
          <w:b/>
          <w:bCs/>
          <w:iCs/>
        </w:rPr>
        <w:t>a) Idoneidad</w:t>
      </w:r>
      <w:r w:rsidRPr="00264223">
        <w:rPr>
          <w:rFonts w:ascii="Palatino Linotype" w:eastAsia="Calibri" w:hAnsi="Palatino Linotype" w:cs="Tahoma"/>
          <w:bCs/>
        </w:rPr>
        <w:t>.</w:t>
      </w:r>
      <w:r>
        <w:rPr>
          <w:rFonts w:ascii="Palatino Linotype" w:eastAsia="Calibri" w:hAnsi="Palatino Linotype" w:cs="Tahoma"/>
          <w:bCs/>
        </w:rPr>
        <w:t xml:space="preserve"> </w:t>
      </w:r>
      <w:r w:rsidRPr="007A693E">
        <w:rPr>
          <w:rFonts w:ascii="Palatino Linotype" w:eastAsia="Calibri" w:hAnsi="Palatino Linotype" w:cs="Tahoma"/>
          <w:bCs/>
        </w:rPr>
        <w:t xml:space="preserve">El presente asunto representa un caso en el que el ejercicio del derecho de acceso a la información se contrapone al derecho </w:t>
      </w:r>
      <w:r>
        <w:rPr>
          <w:rFonts w:ascii="Palatino Linotype" w:eastAsia="Calibri" w:hAnsi="Palatino Linotype" w:cs="Tahoma"/>
          <w:bCs/>
        </w:rPr>
        <w:t>a la vida privada</w:t>
      </w:r>
      <w:r w:rsidRPr="007A693E">
        <w:rPr>
          <w:rFonts w:ascii="Palatino Linotype" w:eastAsia="Calibri" w:hAnsi="Palatino Linotype" w:cs="Tahoma"/>
          <w:bCs/>
        </w:rPr>
        <w:t>; los cuales se encuentran reconocidos en el plano constitucional, en igualdad de características para los gobernados.</w:t>
      </w:r>
    </w:p>
    <w:p w14:paraId="7D2AD6F3" w14:textId="77777777" w:rsidR="00CE1DAC" w:rsidRDefault="00CE1DAC" w:rsidP="00CE1DAC">
      <w:pPr>
        <w:spacing w:line="360" w:lineRule="auto"/>
        <w:contextualSpacing/>
        <w:jc w:val="both"/>
        <w:rPr>
          <w:rFonts w:ascii="Palatino Linotype" w:eastAsia="Calibri" w:hAnsi="Palatino Linotype" w:cs="Tahoma"/>
          <w:b/>
          <w:iCs/>
          <w:lang w:eastAsia="es-ES_tradnl"/>
        </w:rPr>
      </w:pPr>
    </w:p>
    <w:p w14:paraId="6F8519CB" w14:textId="77777777" w:rsidR="00CE1DAC" w:rsidRDefault="00CE1DAC" w:rsidP="00CE1DAC">
      <w:pPr>
        <w:spacing w:line="360" w:lineRule="auto"/>
        <w:contextualSpacing/>
        <w:jc w:val="both"/>
        <w:rPr>
          <w:rFonts w:ascii="Palatino Linotype" w:eastAsia="Calibri" w:hAnsi="Palatino Linotype" w:cs="Tahoma"/>
          <w:iCs/>
          <w:lang w:eastAsia="es-ES_tradnl"/>
        </w:rPr>
      </w:pPr>
      <w:r w:rsidRPr="007A693E">
        <w:rPr>
          <w:rFonts w:ascii="Palatino Linotype" w:eastAsia="Calibri" w:hAnsi="Palatino Linotype" w:cs="Tahoma"/>
          <w:iCs/>
          <w:lang w:eastAsia="es-ES_tradnl"/>
        </w:rPr>
        <w:t xml:space="preserve">Sin embargo, en el presente caso, </w:t>
      </w:r>
      <w:r>
        <w:rPr>
          <w:rFonts w:ascii="Palatino Linotype" w:eastAsia="Calibri" w:hAnsi="Palatino Linotype" w:cs="Tahoma"/>
          <w:iCs/>
          <w:lang w:eastAsia="es-ES_tradnl"/>
        </w:rPr>
        <w:t xml:space="preserve">se trata de denuncias concluidas por falta de elementos en donde </w:t>
      </w:r>
      <w:r w:rsidRPr="003C115B">
        <w:rPr>
          <w:rFonts w:ascii="Palatino Linotype" w:eastAsia="Calibri" w:hAnsi="Palatino Linotype" w:cs="Tahoma"/>
          <w:b/>
          <w:iCs/>
          <w:lang w:eastAsia="es-ES_tradnl"/>
        </w:rPr>
        <w:t>la conducta investigada no fue contraria en derecho</w:t>
      </w:r>
      <w:r>
        <w:rPr>
          <w:rFonts w:ascii="Palatino Linotype" w:eastAsia="Calibri" w:hAnsi="Palatino Linotype" w:cs="Tahoma"/>
          <w:iCs/>
          <w:lang w:eastAsia="es-ES_tradnl"/>
        </w:rPr>
        <w:t xml:space="preserve">; por lo que, entregar el nombre del servidor público, se daría a conocer que las conductas que se le atribuían, no eran ciertas, </w:t>
      </w:r>
      <w:r>
        <w:rPr>
          <w:rFonts w:ascii="Palatino Linotype" w:eastAsia="Calibri" w:hAnsi="Palatino Linotype" w:cs="Tahoma"/>
          <w:iCs/>
          <w:lang w:eastAsia="es-ES_tradnl"/>
        </w:rPr>
        <w:lastRenderedPageBreak/>
        <w:t>lo cual permite la rendición de cuentas de este, pues se observa, que dicho trabajador, ha cumplido con sus obligaciones.</w:t>
      </w:r>
    </w:p>
    <w:p w14:paraId="603B61C7" w14:textId="77777777" w:rsidR="00CE1DAC" w:rsidRDefault="00CE1DAC" w:rsidP="00CE1DAC">
      <w:pPr>
        <w:spacing w:line="360" w:lineRule="auto"/>
        <w:contextualSpacing/>
        <w:jc w:val="both"/>
        <w:rPr>
          <w:rFonts w:ascii="Palatino Linotype" w:eastAsia="Calibri" w:hAnsi="Palatino Linotype" w:cs="Tahoma"/>
          <w:iCs/>
          <w:lang w:eastAsia="es-ES_tradnl"/>
        </w:rPr>
      </w:pPr>
    </w:p>
    <w:p w14:paraId="6122F1D2" w14:textId="77777777" w:rsidR="00CE1DAC" w:rsidRPr="00744EEF" w:rsidRDefault="00CE1DAC" w:rsidP="00CE1DAC">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Además, proporcionar su nombre, no genera una afectación a su honor, intimidad o buena imagen, pues a través de las denuncias, es posible conocer que los motivos señalados en estas, no fueron comprobadas y que el servidor público ha ejercido su cargo, de manera correcta conforme a lo establecido en las diversas disposiciones</w:t>
      </w:r>
      <w:r w:rsidRPr="00EA65B7">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 xml:space="preserve">por lo que </w:t>
      </w:r>
      <w:r w:rsidRPr="00744EEF">
        <w:rPr>
          <w:rFonts w:ascii="Palatino Linotype" w:eastAsia="Calibri" w:hAnsi="Palatino Linotype" w:cs="Tahoma"/>
          <w:bCs/>
          <w:iCs/>
          <w:lang w:eastAsia="es-ES_tradnl"/>
        </w:rPr>
        <w:t xml:space="preserve">no implicaría una vulneración a su honor o intimidad, ya que </w:t>
      </w:r>
      <w:r>
        <w:rPr>
          <w:rFonts w:ascii="Palatino Linotype" w:eastAsia="Calibri" w:hAnsi="Palatino Linotype" w:cs="Tahoma"/>
          <w:bCs/>
          <w:iCs/>
          <w:lang w:eastAsia="es-ES_tradnl"/>
        </w:rPr>
        <w:t xml:space="preserve">la conclusión de las denuncias por falta de elementos dan cuenta que ha actuado dentro de lo permitido para evitar ser </w:t>
      </w:r>
      <w:r w:rsidRPr="00744EEF">
        <w:rPr>
          <w:rFonts w:ascii="Palatino Linotype" w:eastAsia="Calibri" w:hAnsi="Palatino Linotype" w:cs="Tahoma"/>
          <w:bCs/>
          <w:iCs/>
          <w:lang w:eastAsia="es-ES_tradnl"/>
        </w:rPr>
        <w:t>sancionarlo.</w:t>
      </w:r>
    </w:p>
    <w:p w14:paraId="14A40006" w14:textId="77777777" w:rsidR="00CE1DAC" w:rsidRDefault="00CE1DAC" w:rsidP="00CE1DAC">
      <w:pPr>
        <w:spacing w:line="360" w:lineRule="auto"/>
        <w:contextualSpacing/>
        <w:jc w:val="both"/>
        <w:rPr>
          <w:rFonts w:ascii="Palatino Linotype" w:eastAsia="Calibri" w:hAnsi="Palatino Linotype" w:cs="Tahoma"/>
          <w:iCs/>
          <w:lang w:eastAsia="es-ES_tradnl"/>
        </w:rPr>
      </w:pPr>
    </w:p>
    <w:p w14:paraId="72A1ADE2" w14:textId="77777777" w:rsidR="00CE1DAC" w:rsidRPr="00974737" w:rsidRDefault="00CE1DAC" w:rsidP="00CE1DAC">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Ahora bien, respecto al</w:t>
      </w:r>
      <w:r w:rsidRPr="00974737">
        <w:rPr>
          <w:rFonts w:ascii="Palatino Linotype" w:eastAsia="Calibri" w:hAnsi="Palatino Linotype" w:cs="Tahoma"/>
          <w:iCs/>
          <w:lang w:eastAsia="es-ES_tradnl"/>
        </w:rPr>
        <w:t xml:space="preserve">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r>
        <w:rPr>
          <w:rFonts w:ascii="Palatino Linotype" w:eastAsia="Calibri" w:hAnsi="Palatino Linotype" w:cs="Tahoma"/>
          <w:iCs/>
          <w:lang w:eastAsia="es-ES_tradnl"/>
        </w:rPr>
        <w:t>.</w:t>
      </w:r>
    </w:p>
    <w:p w14:paraId="3F98B0C9" w14:textId="77777777" w:rsidR="00CE1DAC" w:rsidRDefault="00CE1DAC" w:rsidP="00CE1DAC">
      <w:pPr>
        <w:spacing w:line="360" w:lineRule="auto"/>
        <w:contextualSpacing/>
        <w:jc w:val="both"/>
        <w:rPr>
          <w:rFonts w:ascii="Palatino Linotype" w:eastAsia="Calibri" w:hAnsi="Palatino Linotype" w:cs="Tahoma"/>
          <w:b/>
          <w:iCs/>
          <w:lang w:eastAsia="es-ES_tradnl"/>
        </w:rPr>
      </w:pPr>
    </w:p>
    <w:p w14:paraId="5FC2E842" w14:textId="77777777" w:rsidR="00CE1DAC" w:rsidRDefault="00CE1DAC" w:rsidP="00CE1DAC">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 xml:space="preserve">Así, se advierte que aquellas personas </w:t>
      </w:r>
      <w:r w:rsidRPr="00A47CF5">
        <w:rPr>
          <w:rFonts w:ascii="Palatino Linotype" w:eastAsia="Calibri" w:hAnsi="Palatino Linotype" w:cs="Tahoma"/>
          <w:iCs/>
          <w:lang w:eastAsia="es-ES_tradnl"/>
        </w:rPr>
        <w:t>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535512A1" w14:textId="77777777" w:rsidR="00CE1DAC" w:rsidRPr="00A47CF5" w:rsidRDefault="00CE1DAC" w:rsidP="00CE1DAC">
      <w:pPr>
        <w:spacing w:line="360" w:lineRule="auto"/>
        <w:contextualSpacing/>
        <w:jc w:val="both"/>
        <w:rPr>
          <w:rFonts w:ascii="Palatino Linotype" w:eastAsia="Calibri" w:hAnsi="Palatino Linotype" w:cs="Tahoma"/>
          <w:iCs/>
          <w:lang w:eastAsia="es-ES_tradnl"/>
        </w:rPr>
      </w:pPr>
    </w:p>
    <w:p w14:paraId="01B87E7D" w14:textId="77777777" w:rsidR="00CE1DAC" w:rsidRPr="00A47CF5" w:rsidRDefault="00CE1DAC" w:rsidP="00CE1DAC">
      <w:pPr>
        <w:spacing w:line="360" w:lineRule="auto"/>
        <w:contextualSpacing/>
        <w:jc w:val="both"/>
        <w:rPr>
          <w:rFonts w:ascii="Palatino Linotype" w:eastAsia="Calibri" w:hAnsi="Palatino Linotype" w:cs="Tahoma"/>
          <w:bCs/>
          <w:iCs/>
          <w:lang w:eastAsia="es-ES_tradnl"/>
        </w:rPr>
      </w:pPr>
      <w:r w:rsidRPr="00A47CF5">
        <w:rPr>
          <w:rFonts w:ascii="Palatino Linotype" w:eastAsia="Calibri" w:hAnsi="Palatino Linotype" w:cs="Tahoma"/>
          <w:iCs/>
          <w:lang w:eastAsia="es-ES_tradnl"/>
        </w:rPr>
        <w:lastRenderedPageBreak/>
        <w:t>En ese contexto</w:t>
      </w:r>
      <w:r w:rsidRPr="00A47CF5">
        <w:rPr>
          <w:rFonts w:ascii="Palatino Linotype" w:eastAsia="Calibri" w:hAnsi="Palatino Linotype" w:cs="Tahoma"/>
          <w:bCs/>
          <w:iCs/>
          <w:lang w:eastAsia="es-ES_tradnl"/>
        </w:rPr>
        <w:t xml:space="preserve">, dado </w:t>
      </w:r>
      <w:r>
        <w:rPr>
          <w:rFonts w:ascii="Palatino Linotype" w:eastAsia="Calibri" w:hAnsi="Palatino Linotype" w:cs="Tahoma"/>
          <w:bCs/>
          <w:iCs/>
          <w:lang w:eastAsia="es-ES_tradnl"/>
        </w:rPr>
        <w:t>que la información se relaciona con el actuar de un servidor público en específico,</w:t>
      </w:r>
      <w:r w:rsidRPr="00A47CF5">
        <w:rPr>
          <w:rFonts w:ascii="Palatino Linotype" w:eastAsia="Calibri" w:hAnsi="Palatino Linotype" w:cs="Tahoma"/>
          <w:bCs/>
          <w:iCs/>
          <w:lang w:eastAsia="es-ES_tradnl"/>
        </w:rPr>
        <w:t xml:space="preserve"> </w:t>
      </w:r>
      <w:r w:rsidRPr="00A47CF5">
        <w:rPr>
          <w:rFonts w:ascii="Palatino Linotype" w:eastAsia="Calibri" w:hAnsi="Palatino Linotype" w:cs="Tahoma"/>
          <w:b/>
          <w:bCs/>
          <w:iCs/>
          <w:lang w:eastAsia="es-ES_tradnl"/>
        </w:rPr>
        <w:t xml:space="preserve">existe un interés público por conocer </w:t>
      </w:r>
      <w:r>
        <w:rPr>
          <w:rFonts w:ascii="Palatino Linotype" w:eastAsia="Calibri" w:hAnsi="Palatino Linotype" w:cs="Tahoma"/>
          <w:iCs/>
          <w:lang w:eastAsia="es-ES_tradnl"/>
        </w:rPr>
        <w:t>el nombre del servidor público que no fue sancionado por no encontrar una conducta contraria a derecho</w:t>
      </w:r>
      <w:r w:rsidRPr="00A47CF5">
        <w:rPr>
          <w:rFonts w:ascii="Palatino Linotype" w:eastAsia="Calibri" w:hAnsi="Palatino Linotype" w:cs="Tahoma"/>
          <w:bCs/>
          <w:iCs/>
          <w:lang w:eastAsia="es-ES_tradnl"/>
        </w:rPr>
        <w:t xml:space="preserve">. </w:t>
      </w:r>
    </w:p>
    <w:p w14:paraId="1DD92647" w14:textId="77777777" w:rsidR="00CE1DAC" w:rsidRPr="00992FC5" w:rsidRDefault="00CE1DAC" w:rsidP="00CE1DAC">
      <w:pPr>
        <w:spacing w:line="360" w:lineRule="auto"/>
        <w:contextualSpacing/>
        <w:jc w:val="both"/>
        <w:rPr>
          <w:rFonts w:ascii="Palatino Linotype" w:eastAsia="Calibri" w:hAnsi="Palatino Linotype" w:cs="Tahoma"/>
          <w:iCs/>
          <w:lang w:eastAsia="es-ES_tradnl"/>
        </w:rPr>
      </w:pPr>
    </w:p>
    <w:p w14:paraId="2E9E335C" w14:textId="77777777" w:rsidR="00CE1DAC" w:rsidRDefault="00CE1DAC" w:rsidP="00CE1DAC">
      <w:pPr>
        <w:spacing w:line="360" w:lineRule="auto"/>
        <w:contextualSpacing/>
        <w:jc w:val="both"/>
        <w:rPr>
          <w:rFonts w:ascii="Palatino Linotype" w:eastAsia="Calibri" w:hAnsi="Palatino Linotype" w:cs="Tahoma"/>
          <w:iCs/>
          <w:lang w:eastAsia="es-ES_tradnl"/>
        </w:rPr>
      </w:pPr>
      <w:r w:rsidRPr="00992FC5">
        <w:rPr>
          <w:rFonts w:ascii="Palatino Linotype" w:eastAsia="Calibri" w:hAnsi="Palatino Linotype" w:cs="Tahoma"/>
          <w:iCs/>
          <w:lang w:eastAsia="es-ES_tradnl"/>
        </w:rPr>
        <w:t xml:space="preserve">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w:t>
      </w:r>
      <w:r>
        <w:rPr>
          <w:rFonts w:ascii="Palatino Linotype" w:eastAsia="Calibri" w:hAnsi="Palatino Linotype" w:cs="Tahoma"/>
          <w:iCs/>
          <w:lang w:eastAsia="es-ES_tradnl"/>
        </w:rPr>
        <w:t>de los servidores públicos y autoridades.</w:t>
      </w:r>
    </w:p>
    <w:p w14:paraId="0625186F" w14:textId="77777777" w:rsidR="00CE1DAC" w:rsidRPr="00992FC5" w:rsidRDefault="00CE1DAC" w:rsidP="00CE1DAC">
      <w:pPr>
        <w:spacing w:line="360" w:lineRule="auto"/>
        <w:contextualSpacing/>
        <w:jc w:val="both"/>
        <w:rPr>
          <w:rFonts w:ascii="Palatino Linotype" w:eastAsia="Calibri" w:hAnsi="Palatino Linotype" w:cs="Tahoma"/>
          <w:iCs/>
          <w:lang w:eastAsia="es-ES_tradnl"/>
        </w:rPr>
      </w:pPr>
    </w:p>
    <w:p w14:paraId="5826FCCA" w14:textId="77777777" w:rsidR="00CE1DAC" w:rsidRPr="0086008B" w:rsidRDefault="00CE1DAC" w:rsidP="00CE1DAC">
      <w:pPr>
        <w:spacing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b/>
          <w:iCs/>
          <w:lang w:eastAsia="es-ES_tradnl"/>
        </w:rPr>
        <w:t>b) Necesidad</w:t>
      </w:r>
      <w:r>
        <w:rPr>
          <w:rFonts w:ascii="Palatino Linotype" w:eastAsia="Calibri" w:hAnsi="Palatino Linotype" w:cs="Tahoma"/>
          <w:b/>
          <w:iCs/>
          <w:lang w:eastAsia="es-ES_tradnl"/>
        </w:rPr>
        <w:t xml:space="preserve">: </w:t>
      </w:r>
      <w:r w:rsidRPr="0086008B">
        <w:rPr>
          <w:rFonts w:ascii="Palatino Linotype" w:eastAsia="Calibri" w:hAnsi="Palatino Linotype" w:cs="Tahoma"/>
          <w:iCs/>
          <w:lang w:eastAsia="es-ES_tradnl"/>
        </w:rPr>
        <w:t xml:space="preserve">Por otra parte, </w:t>
      </w:r>
      <w:r>
        <w:rPr>
          <w:rFonts w:ascii="Palatino Linotype" w:eastAsia="Calibri" w:hAnsi="Palatino Linotype" w:cs="Tahoma"/>
          <w:iCs/>
          <w:lang w:eastAsia="es-ES_tradnl"/>
        </w:rPr>
        <w:t>se</w:t>
      </w:r>
      <w:r w:rsidRPr="0086008B">
        <w:rPr>
          <w:rFonts w:ascii="Palatino Linotype" w:eastAsia="Calibri" w:hAnsi="Palatino Linotype" w:cs="Tahoma"/>
          <w:iCs/>
          <w:lang w:eastAsia="es-ES_tradnl"/>
        </w:rPr>
        <w:t xml:space="preserve"> observa que también se actualiza el principio de necesidad, ya que no existe un medio me</w:t>
      </w:r>
      <w:r>
        <w:rPr>
          <w:rFonts w:ascii="Palatino Linotype" w:eastAsia="Calibri" w:hAnsi="Palatino Linotype" w:cs="Tahoma"/>
          <w:iCs/>
          <w:lang w:eastAsia="es-ES_tradnl"/>
        </w:rPr>
        <w:t xml:space="preserve">nos oneroso para lograr el fin </w:t>
      </w:r>
      <w:r w:rsidRPr="0086008B">
        <w:rPr>
          <w:rFonts w:ascii="Palatino Linotype" w:eastAsia="Calibri" w:hAnsi="Palatino Linotype" w:cs="Tahoma"/>
          <w:iCs/>
          <w:lang w:eastAsia="es-ES_tradnl"/>
        </w:rPr>
        <w:t>válido, pues se estima necesaria la difusión</w:t>
      </w:r>
      <w:r>
        <w:rPr>
          <w:rFonts w:ascii="Palatino Linotype" w:eastAsia="Calibri" w:hAnsi="Palatino Linotype" w:cs="Tahoma"/>
          <w:iCs/>
          <w:lang w:eastAsia="es-ES_tradnl"/>
        </w:rPr>
        <w:t>, del nombre del servidor público que no fue sancionados</w:t>
      </w:r>
      <w:r w:rsidRPr="0086008B">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pues se relaciona</w:t>
      </w:r>
      <w:r w:rsidRPr="0086008B">
        <w:rPr>
          <w:rFonts w:ascii="Palatino Linotype" w:eastAsia="Calibri" w:hAnsi="Palatino Linotype" w:cs="Tahoma"/>
          <w:bCs/>
          <w:iCs/>
          <w:lang w:eastAsia="es-ES_tradnl"/>
        </w:rPr>
        <w:t xml:space="preserve"> con el ejercic</w:t>
      </w:r>
      <w:r>
        <w:rPr>
          <w:rFonts w:ascii="Palatino Linotype" w:eastAsia="Calibri" w:hAnsi="Palatino Linotype" w:cs="Tahoma"/>
          <w:bCs/>
          <w:iCs/>
          <w:lang w:eastAsia="es-ES_tradnl"/>
        </w:rPr>
        <w:t>io de sus funciones de los cargos ocupados</w:t>
      </w:r>
      <w:r w:rsidRPr="0086008B">
        <w:rPr>
          <w:rFonts w:ascii="Palatino Linotype" w:eastAsia="Calibri" w:hAnsi="Palatino Linotype" w:cs="Tahoma"/>
          <w:iCs/>
          <w:lang w:eastAsia="es-ES_tradnl"/>
        </w:rPr>
        <w:t xml:space="preserve">, a fin de que los ciudadanos identifiquen el tipo de desempeño efectuado por </w:t>
      </w:r>
      <w:r>
        <w:rPr>
          <w:rFonts w:ascii="Palatino Linotype" w:eastAsia="Calibri" w:hAnsi="Palatino Linotype" w:cs="Tahoma"/>
          <w:iCs/>
          <w:lang w:eastAsia="es-ES_tradnl"/>
        </w:rPr>
        <w:t>el trabajador,</w:t>
      </w:r>
      <w:r w:rsidRPr="0086008B">
        <w:rPr>
          <w:rFonts w:ascii="Palatino Linotype" w:eastAsia="Calibri" w:hAnsi="Palatino Linotype" w:cs="Tahoma"/>
          <w:iCs/>
          <w:lang w:eastAsia="es-ES_tradnl"/>
        </w:rPr>
        <w:t xml:space="preserve"> en el ejercicio de sus </w:t>
      </w:r>
      <w:r>
        <w:rPr>
          <w:rFonts w:ascii="Palatino Linotype" w:eastAsia="Calibri" w:hAnsi="Palatino Linotype" w:cs="Tahoma"/>
          <w:iCs/>
          <w:lang w:eastAsia="es-ES_tradnl"/>
        </w:rPr>
        <w:t>atribuciones,</w:t>
      </w:r>
      <w:r w:rsidRPr="0086008B">
        <w:rPr>
          <w:rFonts w:ascii="Palatino Linotype" w:eastAsia="Calibri" w:hAnsi="Palatino Linotype" w:cs="Tahoma"/>
          <w:iCs/>
          <w:lang w:eastAsia="es-ES_tradnl"/>
        </w:rPr>
        <w:t xml:space="preserve"> con la finalidad de calificar su actuar, ello con independencia de que </w:t>
      </w:r>
      <w:r>
        <w:rPr>
          <w:rFonts w:ascii="Palatino Linotype" w:eastAsia="Calibri" w:hAnsi="Palatino Linotype" w:cs="Tahoma"/>
          <w:iCs/>
          <w:lang w:eastAsia="es-ES_tradnl"/>
        </w:rPr>
        <w:t>el</w:t>
      </w:r>
      <w:r w:rsidRPr="0086008B">
        <w:rPr>
          <w:rFonts w:ascii="Palatino Linotype" w:eastAsia="Calibri" w:hAnsi="Palatino Linotype" w:cs="Tahoma"/>
          <w:iCs/>
          <w:lang w:eastAsia="es-ES_tradnl"/>
        </w:rPr>
        <w:t xml:space="preserve"> funcionario también revista el carácter de persona física identificada e identificable, pues, tal como se hizo alusión en el análisis que precede, la protección de sus datos personales queda supeditada al interés mayor de conocer </w:t>
      </w:r>
      <w:r>
        <w:rPr>
          <w:rFonts w:ascii="Palatino Linotype" w:eastAsia="Calibri" w:hAnsi="Palatino Linotype" w:cs="Tahoma"/>
          <w:iCs/>
          <w:lang w:eastAsia="es-ES_tradnl"/>
        </w:rPr>
        <w:t>los motivos y circunstancias que dieron origen a las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posibles responsabilidades administrativas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y que sin embargo, se determinó que no existía los elementos necesarios para sancionarlo.</w:t>
      </w:r>
    </w:p>
    <w:p w14:paraId="6ABCC080" w14:textId="77777777" w:rsidR="00CE1DAC" w:rsidRPr="0086008B" w:rsidRDefault="00CE1DAC" w:rsidP="00CE1DAC">
      <w:pPr>
        <w:spacing w:line="360" w:lineRule="auto"/>
        <w:contextualSpacing/>
        <w:jc w:val="both"/>
        <w:rPr>
          <w:rFonts w:ascii="Palatino Linotype" w:eastAsia="Calibri" w:hAnsi="Palatino Linotype" w:cs="Tahoma"/>
          <w:iCs/>
          <w:lang w:eastAsia="es-ES_tradnl"/>
        </w:rPr>
      </w:pPr>
    </w:p>
    <w:p w14:paraId="6631D6A6" w14:textId="77777777" w:rsidR="00CE1DAC" w:rsidRPr="0086008B" w:rsidRDefault="00CE1DAC" w:rsidP="00CE1DAC">
      <w:pPr>
        <w:spacing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iCs/>
          <w:lang w:eastAsia="es-ES_tradnl"/>
        </w:rPr>
        <w:t xml:space="preserve">Además, ello permite evaluar la actuación </w:t>
      </w:r>
      <w:r>
        <w:rPr>
          <w:rFonts w:ascii="Palatino Linotype" w:eastAsia="Calibri" w:hAnsi="Palatino Linotype" w:cs="Tahoma"/>
          <w:iCs/>
          <w:lang w:eastAsia="es-ES_tradnl"/>
        </w:rPr>
        <w:t>del Sujeto Obligado</w:t>
      </w:r>
      <w:r w:rsidRPr="0086008B">
        <w:rPr>
          <w:rFonts w:ascii="Palatino Linotype" w:eastAsia="Calibri" w:hAnsi="Palatino Linotype" w:cs="Tahoma"/>
          <w:iCs/>
          <w:lang w:eastAsia="es-ES_tradnl"/>
        </w:rPr>
        <w:t>, pues se podrá advertir la forma en la que ejercieron las funciones que legalmente tienen conferidas.</w:t>
      </w:r>
    </w:p>
    <w:p w14:paraId="21048A94" w14:textId="77777777" w:rsidR="00CE1DAC" w:rsidRPr="0086008B" w:rsidRDefault="00CE1DAC" w:rsidP="00CE1DAC">
      <w:pPr>
        <w:spacing w:line="360" w:lineRule="auto"/>
        <w:contextualSpacing/>
        <w:jc w:val="both"/>
        <w:rPr>
          <w:rFonts w:ascii="Palatino Linotype" w:eastAsia="Calibri" w:hAnsi="Palatino Linotype" w:cs="Tahoma"/>
          <w:iCs/>
          <w:lang w:eastAsia="es-ES_tradnl"/>
        </w:rPr>
      </w:pPr>
    </w:p>
    <w:p w14:paraId="4645154D" w14:textId="77777777" w:rsidR="00CE1DAC" w:rsidRPr="0086008B" w:rsidRDefault="00CE1DAC" w:rsidP="00CE1DAC">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lastRenderedPageBreak/>
        <w:t>E</w:t>
      </w:r>
      <w:r w:rsidRPr="0086008B">
        <w:rPr>
          <w:rFonts w:ascii="Palatino Linotype" w:eastAsia="Calibri" w:hAnsi="Palatino Linotype" w:cs="Tahoma"/>
          <w:iCs/>
          <w:lang w:eastAsia="es-ES_tradnl"/>
        </w:rPr>
        <w:t>n tal virtud, por la trascendencia social de la materia del requerimiento, el derecho de acceso a la información deberá prevalecer sobre el derecho a la pri</w:t>
      </w:r>
      <w:r>
        <w:rPr>
          <w:rFonts w:ascii="Palatino Linotype" w:eastAsia="Calibri" w:hAnsi="Palatino Linotype" w:cs="Tahoma"/>
          <w:iCs/>
          <w:lang w:eastAsia="es-ES_tradnl"/>
        </w:rPr>
        <w:t>vacidad; aunado, a que, para corroborar que el servidor público actúa dentro de lo permitido, su nombre guarda el carácter de público.</w:t>
      </w:r>
    </w:p>
    <w:p w14:paraId="634EF407" w14:textId="77777777" w:rsidR="00CE1DAC" w:rsidRDefault="00CE1DAC" w:rsidP="00CE1DAC">
      <w:pPr>
        <w:spacing w:line="360" w:lineRule="auto"/>
        <w:contextualSpacing/>
        <w:jc w:val="both"/>
        <w:rPr>
          <w:rFonts w:ascii="Palatino Linotype" w:eastAsia="Calibri" w:hAnsi="Palatino Linotype" w:cs="Tahoma"/>
          <w:b/>
          <w:iCs/>
          <w:lang w:eastAsia="es-ES_tradnl"/>
        </w:rPr>
      </w:pPr>
    </w:p>
    <w:p w14:paraId="66F48E34" w14:textId="77777777" w:rsidR="00CE1DAC" w:rsidRPr="00F74F78" w:rsidRDefault="00CE1DAC" w:rsidP="00CE1DAC">
      <w:pPr>
        <w:spacing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b/>
          <w:iCs/>
          <w:lang w:eastAsia="es-ES_tradnl"/>
        </w:rPr>
        <w:t>c) Proporcionalidad en sentido estricto</w:t>
      </w:r>
      <w:r>
        <w:rPr>
          <w:rFonts w:ascii="Palatino Linotype" w:eastAsia="Calibri" w:hAnsi="Palatino Linotype" w:cs="Tahoma"/>
          <w:b/>
          <w:iCs/>
          <w:lang w:eastAsia="es-ES_tradnl"/>
        </w:rPr>
        <w:t>:</w:t>
      </w:r>
      <w:r>
        <w:rPr>
          <w:rFonts w:ascii="Palatino Linotype" w:eastAsia="Calibri" w:hAnsi="Palatino Linotype" w:cs="Tahoma"/>
          <w:iCs/>
          <w:lang w:eastAsia="es-ES_tradnl"/>
        </w:rPr>
        <w:t xml:space="preserve"> </w:t>
      </w:r>
      <w:r w:rsidRPr="00F74F78">
        <w:rPr>
          <w:rFonts w:ascii="Palatino Linotype" w:eastAsia="Calibri" w:hAnsi="Palatino Linotype" w:cs="Tahoma"/>
          <w:iCs/>
          <w:lang w:eastAsia="es-ES_tradnl"/>
        </w:rPr>
        <w:t xml:space="preserve">El sacrificio de la protección </w:t>
      </w:r>
      <w:r>
        <w:rPr>
          <w:rFonts w:ascii="Palatino Linotype" w:eastAsia="Calibri" w:hAnsi="Palatino Linotype" w:cs="Tahoma"/>
          <w:iCs/>
          <w:lang w:eastAsia="es-ES_tradnl"/>
        </w:rPr>
        <w:t>del nombre del servidor público</w:t>
      </w:r>
      <w:r w:rsidRPr="00F74F78">
        <w:rPr>
          <w:rFonts w:ascii="Palatino Linotype" w:eastAsia="Calibri" w:hAnsi="Palatino Linotype" w:cs="Tahoma"/>
          <w:iCs/>
          <w:lang w:eastAsia="es-ES_tradnl"/>
        </w:rPr>
        <w:t>, relacionad</w:t>
      </w:r>
      <w:r>
        <w:rPr>
          <w:rFonts w:ascii="Palatino Linotype" w:eastAsia="Calibri" w:hAnsi="Palatino Linotype" w:cs="Tahoma"/>
          <w:iCs/>
          <w:lang w:eastAsia="es-ES_tradnl"/>
        </w:rPr>
        <w:t>o</w:t>
      </w:r>
      <w:r w:rsidRPr="00F74F78">
        <w:rPr>
          <w:rFonts w:ascii="Palatino Linotype" w:eastAsia="Calibri" w:hAnsi="Palatino Linotype" w:cs="Tahoma"/>
          <w:iCs/>
          <w:lang w:eastAsia="es-ES_tradnl"/>
        </w:rPr>
        <w:t xml:space="preserve"> co</w:t>
      </w:r>
      <w:r>
        <w:rPr>
          <w:rFonts w:ascii="Palatino Linotype" w:eastAsia="Calibri" w:hAnsi="Palatino Linotype" w:cs="Tahoma"/>
          <w:iCs/>
          <w:lang w:eastAsia="es-ES_tradnl"/>
        </w:rPr>
        <w:t>n el desempeño de sus funciones, como medio para lograr el fin v</w:t>
      </w:r>
      <w:r w:rsidRPr="00F74F78">
        <w:rPr>
          <w:rFonts w:ascii="Palatino Linotype" w:eastAsia="Calibri" w:hAnsi="Palatino Linotype" w:cs="Tahoma"/>
          <w:iCs/>
          <w:lang w:eastAsia="es-ES_tradnl"/>
        </w:rPr>
        <w:t xml:space="preserve">álido señalado, se justifica en razón de que se satisface el interés público en conocer el desempeño de sus funciones como </w:t>
      </w:r>
      <w:r>
        <w:rPr>
          <w:rFonts w:ascii="Palatino Linotype" w:eastAsia="Calibri" w:hAnsi="Palatino Linotype" w:cs="Tahoma"/>
          <w:iCs/>
          <w:lang w:eastAsia="es-ES_tradnl"/>
        </w:rPr>
        <w:t>trabajador gubernamental, esto es, que aunque haya existido la posibilidad que no actuara conforme a derecho</w:t>
      </w:r>
      <w:r w:rsidRPr="00F74F78">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 xml:space="preserve">no existieron los elementos suficientes para determinar tal situación por lo que conocer su nombre da cuenta de que si realiza sus actividades de manera correcta </w:t>
      </w:r>
      <w:r w:rsidRPr="00F74F78">
        <w:rPr>
          <w:rFonts w:ascii="Palatino Linotype" w:eastAsia="Calibri" w:hAnsi="Palatino Linotype" w:cs="Tahoma"/>
          <w:iCs/>
          <w:lang w:eastAsia="es-ES_tradnl"/>
        </w:rPr>
        <w:t xml:space="preserve">así como, la actividad desplegada por </w:t>
      </w:r>
      <w:r>
        <w:rPr>
          <w:rFonts w:ascii="Palatino Linotype" w:eastAsia="Calibri" w:hAnsi="Palatino Linotype" w:cs="Tahoma"/>
          <w:iCs/>
          <w:lang w:eastAsia="es-ES_tradnl"/>
        </w:rPr>
        <w:t>las autoridades correspondientes,</w:t>
      </w:r>
      <w:r w:rsidRPr="00F74F78">
        <w:rPr>
          <w:rFonts w:ascii="Palatino Linotype" w:eastAsia="Calibri" w:hAnsi="Palatino Linotype" w:cs="Tahoma"/>
          <w:iCs/>
          <w:lang w:eastAsia="es-ES_tradnl"/>
        </w:rPr>
        <w:t xml:space="preserve"> en el trámite de dichos asuntos.</w:t>
      </w:r>
      <w:r>
        <w:rPr>
          <w:rFonts w:ascii="Palatino Linotype" w:eastAsia="Calibri" w:hAnsi="Palatino Linotype" w:cs="Tahoma"/>
          <w:iCs/>
          <w:lang w:eastAsia="es-ES_tradnl"/>
        </w:rPr>
        <w:t xml:space="preserve"> </w:t>
      </w:r>
    </w:p>
    <w:p w14:paraId="4F003CAD" w14:textId="77777777" w:rsidR="00CE1DAC" w:rsidRPr="00F74F78" w:rsidRDefault="00CE1DAC" w:rsidP="00CE1DAC">
      <w:pPr>
        <w:spacing w:line="360" w:lineRule="auto"/>
        <w:contextualSpacing/>
        <w:jc w:val="both"/>
        <w:rPr>
          <w:rFonts w:ascii="Palatino Linotype" w:eastAsia="Calibri" w:hAnsi="Palatino Linotype" w:cs="Tahoma"/>
          <w:iCs/>
          <w:lang w:eastAsia="es-ES_tradnl"/>
        </w:rPr>
      </w:pPr>
    </w:p>
    <w:p w14:paraId="5724A63E" w14:textId="77777777" w:rsidR="00CE1DAC" w:rsidRPr="00F74F78" w:rsidRDefault="00CE1DAC" w:rsidP="00CE1DAC">
      <w:pPr>
        <w:spacing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iCs/>
          <w:lang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340A79DB" w14:textId="77777777" w:rsidR="00CE1DAC" w:rsidRPr="00F74F78" w:rsidRDefault="00CE1DAC" w:rsidP="00CE1DAC">
      <w:pPr>
        <w:spacing w:line="360" w:lineRule="auto"/>
        <w:contextualSpacing/>
        <w:jc w:val="both"/>
        <w:rPr>
          <w:rFonts w:ascii="Palatino Linotype" w:eastAsia="Calibri" w:hAnsi="Palatino Linotype" w:cs="Tahoma"/>
          <w:iCs/>
          <w:lang w:eastAsia="es-ES_tradnl"/>
        </w:rPr>
      </w:pPr>
    </w:p>
    <w:p w14:paraId="10F19E87" w14:textId="77777777" w:rsidR="00CE1DAC" w:rsidRPr="00F74F78" w:rsidRDefault="00CE1DAC" w:rsidP="00CE1DAC">
      <w:pPr>
        <w:spacing w:line="360" w:lineRule="auto"/>
        <w:contextualSpacing/>
        <w:jc w:val="both"/>
        <w:rPr>
          <w:rFonts w:ascii="Palatino Linotype" w:eastAsia="Calibri" w:hAnsi="Palatino Linotype" w:cs="Tahoma"/>
          <w:bCs/>
          <w:iCs/>
          <w:lang w:eastAsia="es-ES_tradnl"/>
        </w:rPr>
      </w:pPr>
      <w:r>
        <w:rPr>
          <w:rFonts w:ascii="Palatino Linotype" w:eastAsia="Calibri" w:hAnsi="Palatino Linotype" w:cs="Tahoma"/>
          <w:bCs/>
          <w:iCs/>
          <w:lang w:eastAsia="es-ES_tradnl"/>
        </w:rPr>
        <w:t>En ese orden de ideas</w:t>
      </w:r>
      <w:r w:rsidRPr="00F74F78">
        <w:rPr>
          <w:rFonts w:ascii="Palatino Linotype" w:eastAsia="Calibri" w:hAnsi="Palatino Linotype" w:cs="Tahoma"/>
          <w:bCs/>
          <w:iCs/>
          <w:lang w:eastAsia="es-ES_tradnl"/>
        </w:rPr>
        <w:t xml:space="preserve">, es posible advertir un margen de beneficio mayor al favorecer el derecho de acceso a la información, respecto del derecho </w:t>
      </w:r>
      <w:r>
        <w:rPr>
          <w:rFonts w:ascii="Palatino Linotype" w:eastAsia="Calibri" w:hAnsi="Palatino Linotype" w:cs="Tahoma"/>
          <w:bCs/>
          <w:iCs/>
          <w:lang w:eastAsia="es-ES_tradnl"/>
        </w:rPr>
        <w:t>a la vida privada</w:t>
      </w:r>
      <w:r w:rsidRPr="00F74F78">
        <w:rPr>
          <w:rFonts w:ascii="Palatino Linotype" w:eastAsia="Calibri" w:hAnsi="Palatino Linotype" w:cs="Tahoma"/>
          <w:bCs/>
          <w:iCs/>
          <w:lang w:eastAsia="es-ES_tradnl"/>
        </w:rPr>
        <w:t>; por lo que, la intervención que subsume este ejercicio de ponderación apunta a la obtención de mayores efectos positivos y una afectación menor en la esfera de privacidad de</w:t>
      </w:r>
      <w:r>
        <w:rPr>
          <w:rFonts w:ascii="Palatino Linotype" w:eastAsia="Calibri" w:hAnsi="Palatino Linotype" w:cs="Tahoma"/>
          <w:bCs/>
          <w:iCs/>
          <w:lang w:eastAsia="es-ES_tradnl"/>
        </w:rPr>
        <w:t xml:space="preserve"> los servidores públicos</w:t>
      </w:r>
      <w:r w:rsidRPr="00F74F78">
        <w:rPr>
          <w:rFonts w:ascii="Palatino Linotype" w:eastAsia="Calibri" w:hAnsi="Palatino Linotype" w:cs="Tahoma"/>
          <w:bCs/>
          <w:iCs/>
          <w:lang w:eastAsia="es-ES_tradnl"/>
        </w:rPr>
        <w:t>.</w:t>
      </w:r>
    </w:p>
    <w:p w14:paraId="205B5DF6" w14:textId="77777777" w:rsidR="00CE1DAC" w:rsidRPr="00F74F78" w:rsidRDefault="00CE1DAC" w:rsidP="00CE1DAC">
      <w:pPr>
        <w:spacing w:line="360" w:lineRule="auto"/>
        <w:contextualSpacing/>
        <w:jc w:val="both"/>
        <w:rPr>
          <w:rFonts w:ascii="Palatino Linotype" w:eastAsia="Calibri" w:hAnsi="Palatino Linotype" w:cs="Tahoma"/>
          <w:iCs/>
          <w:lang w:eastAsia="es-ES_tradnl"/>
        </w:rPr>
      </w:pPr>
    </w:p>
    <w:p w14:paraId="6C3073B1" w14:textId="77777777" w:rsidR="00CE1DAC" w:rsidRPr="00F74F78" w:rsidRDefault="00CE1DAC" w:rsidP="00CE1DAC">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lastRenderedPageBreak/>
        <w:t>Asimismo,</w:t>
      </w:r>
      <w:r w:rsidRPr="00F74F78">
        <w:rPr>
          <w:rFonts w:ascii="Palatino Linotype" w:eastAsia="Calibri" w:hAnsi="Palatino Linotype" w:cs="Tahoma"/>
          <w:iCs/>
          <w:lang w:eastAsia="es-ES_tradnl"/>
        </w:rPr>
        <w:t xml:space="preserve"> se robustece con el hecho de que la difusión de la información solicitada contribuiría a garantizar el ejercicio de acceso a la información, a favorecer la rendición de cuentas a los ciudadanos, de manera que puedan valorar el desempeño de los sujetos obligados</w:t>
      </w:r>
      <w:r>
        <w:rPr>
          <w:rFonts w:ascii="Palatino Linotype" w:eastAsia="Calibri" w:hAnsi="Palatino Linotype" w:cs="Tahoma"/>
          <w:iCs/>
          <w:lang w:eastAsia="es-ES_tradnl"/>
        </w:rPr>
        <w:t xml:space="preserve"> y servidores públicos, además de</w:t>
      </w:r>
      <w:r w:rsidRPr="00F74F78">
        <w:rPr>
          <w:rFonts w:ascii="Palatino Linotype" w:eastAsia="Calibri" w:hAnsi="Palatino Linotype" w:cs="Tahoma"/>
          <w:iCs/>
          <w:lang w:eastAsia="es-ES_tradnl"/>
        </w:rPr>
        <w:t xml:space="preserve"> fortalecer el escrutinio ciudadano sobre las actividades sustantivas de los sujetos obligados.</w:t>
      </w:r>
    </w:p>
    <w:p w14:paraId="19D33887" w14:textId="77777777" w:rsidR="00CE1DAC" w:rsidRPr="00F74F78" w:rsidRDefault="00CE1DAC" w:rsidP="00CE1DAC">
      <w:pPr>
        <w:spacing w:line="360" w:lineRule="auto"/>
        <w:contextualSpacing/>
        <w:jc w:val="both"/>
        <w:rPr>
          <w:rFonts w:ascii="Palatino Linotype" w:eastAsia="Calibri" w:hAnsi="Palatino Linotype" w:cs="Tahoma"/>
          <w:iCs/>
          <w:lang w:eastAsia="es-ES_tradnl"/>
        </w:rPr>
      </w:pPr>
    </w:p>
    <w:p w14:paraId="572C43D2" w14:textId="77777777" w:rsidR="00CE1DAC" w:rsidRDefault="00CE1DAC" w:rsidP="00CE1DAC">
      <w:pPr>
        <w:spacing w:line="360" w:lineRule="auto"/>
        <w:contextualSpacing/>
        <w:jc w:val="both"/>
        <w:rPr>
          <w:rFonts w:ascii="Palatino Linotype" w:eastAsia="Calibri" w:hAnsi="Palatino Linotype" w:cs="Tahoma"/>
          <w:b/>
          <w:iCs/>
          <w:lang w:eastAsia="es-ES_tradnl"/>
        </w:rPr>
      </w:pPr>
      <w:r w:rsidRPr="00F74F78">
        <w:rPr>
          <w:rFonts w:ascii="Palatino Linotype" w:eastAsia="Calibri" w:hAnsi="Palatino Linotype" w:cs="Tahoma"/>
          <w:iCs/>
          <w:lang w:eastAsia="es-ES_tradnl"/>
        </w:rPr>
        <w:t xml:space="preserve">Por tanto, se concluye que, al tenor de la ponderación realizada, se cumple con los tres elementos para darle preminencia, en el caso concreto, </w:t>
      </w:r>
      <w:r w:rsidRPr="00556786">
        <w:rPr>
          <w:rFonts w:ascii="Palatino Linotype" w:eastAsia="Calibri" w:hAnsi="Palatino Linotype" w:cs="Tahoma"/>
          <w:b/>
          <w:iCs/>
          <w:lang w:eastAsia="es-ES_tradnl"/>
        </w:rPr>
        <w:t>al derecho de acceso a la información.</w:t>
      </w:r>
    </w:p>
    <w:p w14:paraId="5832B2A5" w14:textId="77777777" w:rsidR="00CE1DAC" w:rsidRDefault="00CE1DAC" w:rsidP="00CE1DAC">
      <w:pPr>
        <w:spacing w:line="360" w:lineRule="auto"/>
        <w:contextualSpacing/>
        <w:jc w:val="both"/>
        <w:rPr>
          <w:rFonts w:ascii="Palatino Linotype" w:eastAsia="Calibri" w:hAnsi="Palatino Linotype" w:cs="Tahoma"/>
          <w:b/>
          <w:iCs/>
          <w:lang w:eastAsia="es-ES_tradnl"/>
        </w:rPr>
      </w:pPr>
    </w:p>
    <w:p w14:paraId="2BFC383D" w14:textId="1B088BA3" w:rsidR="00CE1DAC" w:rsidRPr="004D356F" w:rsidRDefault="00CE1DAC" w:rsidP="00CE1DAC">
      <w:pPr>
        <w:spacing w:line="360" w:lineRule="auto"/>
        <w:contextualSpacing/>
        <w:jc w:val="both"/>
        <w:rPr>
          <w:rFonts w:ascii="Palatino Linotype" w:eastAsia="Calibri" w:hAnsi="Palatino Linotype" w:cs="Tahoma"/>
          <w:iCs/>
          <w:lang w:val="es-ES_tradnl" w:eastAsia="es-ES_tradnl"/>
        </w:rPr>
      </w:pPr>
      <w:r>
        <w:rPr>
          <w:rFonts w:ascii="Palatino Linotype" w:eastAsia="Calibri" w:hAnsi="Palatino Linotype" w:cs="Tahoma"/>
          <w:iCs/>
          <w:lang w:eastAsia="es-ES_tradnl"/>
        </w:rPr>
        <w:t>Por lo expuesto, se considera que, el nombre de servidores públicos que fueron sujetos a una investigación por alguna falta administrativa</w:t>
      </w:r>
      <w:r w:rsidR="006C5D62">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 xml:space="preserve">y resultaron absueltos son de naturaleza pública, en </w:t>
      </w:r>
      <w:r w:rsidRPr="004D356F">
        <w:rPr>
          <w:rFonts w:ascii="Palatino Linotype" w:eastAsia="Calibri" w:hAnsi="Palatino Linotype" w:cs="Tahoma"/>
          <w:iCs/>
          <w:lang w:eastAsia="es-ES_tradnl"/>
        </w:rPr>
        <w:t xml:space="preserve">razón de que, </w:t>
      </w:r>
      <w:r>
        <w:rPr>
          <w:rFonts w:ascii="Palatino Linotype" w:eastAsia="Calibri" w:hAnsi="Palatino Linotype" w:cs="Tahoma"/>
          <w:iCs/>
          <w:lang w:eastAsia="es-ES_tradnl"/>
        </w:rPr>
        <w:t xml:space="preserve">al no ser sancionados da cuenta de su actuar conforme a derecho y que no existieron los elementos necesarios para sancionarlo </w:t>
      </w:r>
      <w:r>
        <w:rPr>
          <w:rFonts w:ascii="Palatino Linotype" w:eastAsia="Calibri" w:hAnsi="Palatino Linotype" w:cs="Tahoma"/>
          <w:iCs/>
          <w:lang w:val="es-ES_tradnl" w:eastAsia="es-ES_tradnl"/>
        </w:rPr>
        <w:t>por lo tanto no precede su clasificación en términos del artículo 143, fracción I de la Ley de la materia.</w:t>
      </w:r>
    </w:p>
    <w:p w14:paraId="06063CE7" w14:textId="77777777" w:rsidR="00CE1DAC" w:rsidRDefault="00CE1DAC" w:rsidP="00CE1DAC">
      <w:pPr>
        <w:spacing w:after="0" w:line="360" w:lineRule="auto"/>
        <w:contextualSpacing/>
        <w:jc w:val="both"/>
        <w:rPr>
          <w:rFonts w:ascii="Palatino Linotype" w:hAnsi="Palatino Linotype" w:cs="Tahoma"/>
        </w:rPr>
      </w:pPr>
    </w:p>
    <w:p w14:paraId="385B1AFF" w14:textId="77777777" w:rsidR="00CE1DAC" w:rsidRDefault="00CE1DAC" w:rsidP="00CE1DAC">
      <w:pPr>
        <w:spacing w:after="0" w:line="360" w:lineRule="auto"/>
        <w:contextualSpacing/>
        <w:jc w:val="both"/>
        <w:rPr>
          <w:rFonts w:ascii="Palatino Linotype" w:hAnsi="Palatino Linotype" w:cs="Tahoma"/>
        </w:rPr>
      </w:pPr>
      <w:r w:rsidRPr="00EF10FB">
        <w:rPr>
          <w:rFonts w:ascii="Palatino Linotype" w:hAnsi="Palatino Linotype" w:cs="Tahoma"/>
        </w:rPr>
        <w:t xml:space="preserve">Así, con base en los razonamientos expuestos, se emite el presente </w:t>
      </w:r>
      <w:r w:rsidRPr="005A70CE">
        <w:rPr>
          <w:rFonts w:ascii="Palatino Linotype" w:hAnsi="Palatino Linotype" w:cs="Tahoma"/>
          <w:b/>
        </w:rPr>
        <w:t>Voto Particular</w:t>
      </w:r>
      <w:r>
        <w:rPr>
          <w:rFonts w:ascii="Palatino Linotype" w:hAnsi="Palatino Linotype" w:cs="Tahoma"/>
        </w:rPr>
        <w:t>. ----------------------------------------------------------------------------------------------------------------------------------</w:t>
      </w:r>
    </w:p>
    <w:p w14:paraId="1A278181" w14:textId="77777777" w:rsidR="00CE1DAC" w:rsidRDefault="00CE1DAC" w:rsidP="00CE1DAC">
      <w:pPr>
        <w:spacing w:after="0" w:line="360" w:lineRule="auto"/>
        <w:contextualSpacing/>
        <w:jc w:val="both"/>
        <w:rPr>
          <w:rFonts w:ascii="Palatino Linotype" w:hAnsi="Palatino Linotype" w:cs="Tahoma"/>
        </w:rPr>
      </w:pPr>
    </w:p>
    <w:p w14:paraId="789FF5AC" w14:textId="77777777" w:rsidR="00CE1DAC" w:rsidRDefault="00CE1DAC" w:rsidP="00CE1DAC">
      <w:pPr>
        <w:spacing w:after="0" w:line="360" w:lineRule="auto"/>
        <w:contextualSpacing/>
        <w:jc w:val="both"/>
        <w:rPr>
          <w:rFonts w:ascii="Palatino Linotype" w:hAnsi="Palatino Linotype" w:cs="Tahoma"/>
        </w:rPr>
      </w:pPr>
    </w:p>
    <w:p w14:paraId="2788CA89" w14:textId="77777777" w:rsidR="00887E3C" w:rsidRDefault="00887E3C" w:rsidP="003C115B">
      <w:pPr>
        <w:spacing w:after="0" w:line="360" w:lineRule="auto"/>
        <w:contextualSpacing/>
        <w:jc w:val="both"/>
        <w:rPr>
          <w:rFonts w:ascii="Palatino Linotype" w:hAnsi="Palatino Linotype" w:cs="Tahoma"/>
        </w:rPr>
      </w:pPr>
    </w:p>
    <w:p w14:paraId="45CE9F91" w14:textId="77777777" w:rsidR="00887E3C" w:rsidRDefault="00887E3C" w:rsidP="003C115B">
      <w:pPr>
        <w:spacing w:after="0" w:line="360" w:lineRule="auto"/>
        <w:contextualSpacing/>
        <w:jc w:val="both"/>
        <w:rPr>
          <w:rFonts w:ascii="Palatino Linotype" w:hAnsi="Palatino Linotype" w:cs="Tahoma"/>
        </w:rPr>
      </w:pPr>
    </w:p>
    <w:p w14:paraId="22CC678D" w14:textId="77777777" w:rsidR="00887E3C" w:rsidRDefault="00887E3C" w:rsidP="003C115B">
      <w:pPr>
        <w:spacing w:after="0" w:line="360" w:lineRule="auto"/>
        <w:contextualSpacing/>
        <w:jc w:val="both"/>
        <w:rPr>
          <w:rFonts w:ascii="Palatino Linotype" w:hAnsi="Palatino Linotype" w:cs="Tahoma"/>
        </w:rPr>
      </w:pPr>
    </w:p>
    <w:p w14:paraId="16AD58F4" w14:textId="77777777" w:rsidR="00887E3C" w:rsidRDefault="00887E3C" w:rsidP="003C115B">
      <w:pPr>
        <w:spacing w:after="0" w:line="360" w:lineRule="auto"/>
        <w:contextualSpacing/>
        <w:jc w:val="both"/>
        <w:rPr>
          <w:rFonts w:ascii="Palatino Linotype" w:hAnsi="Palatino Linotype" w:cs="Tahoma"/>
        </w:rPr>
      </w:pPr>
    </w:p>
    <w:p w14:paraId="133A3C1F" w14:textId="77777777" w:rsidR="00887E3C" w:rsidRDefault="00887E3C" w:rsidP="003C115B">
      <w:pPr>
        <w:spacing w:after="0" w:line="360" w:lineRule="auto"/>
        <w:contextualSpacing/>
        <w:jc w:val="both"/>
        <w:rPr>
          <w:rFonts w:ascii="Palatino Linotype" w:hAnsi="Palatino Linotype" w:cs="Tahoma"/>
        </w:rPr>
      </w:pPr>
    </w:p>
    <w:p w14:paraId="3B85C7E5" w14:textId="77777777" w:rsidR="00887E3C" w:rsidRDefault="00887E3C" w:rsidP="003C115B">
      <w:pPr>
        <w:spacing w:after="0" w:line="360" w:lineRule="auto"/>
        <w:contextualSpacing/>
        <w:jc w:val="both"/>
        <w:rPr>
          <w:rFonts w:ascii="Palatino Linotype" w:hAnsi="Palatino Linotype" w:cs="Tahoma"/>
        </w:rPr>
      </w:pPr>
      <w:bookmarkStart w:id="0" w:name="_GoBack"/>
      <w:bookmarkEnd w:id="0"/>
    </w:p>
    <w:sectPr w:rsidR="00887E3C"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ECB6" w14:textId="77777777" w:rsidR="008E57FB" w:rsidRDefault="008E57FB" w:rsidP="00EE29F6">
      <w:pPr>
        <w:spacing w:after="0" w:line="240" w:lineRule="auto"/>
      </w:pPr>
      <w:r>
        <w:separator/>
      </w:r>
    </w:p>
  </w:endnote>
  <w:endnote w:type="continuationSeparator" w:id="0">
    <w:p w14:paraId="5703E0BA" w14:textId="77777777" w:rsidR="008E57FB" w:rsidRDefault="008E57FB" w:rsidP="00EE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22E06124" w14:textId="77777777" w:rsidR="00363357" w:rsidRDefault="00363357">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AA1A0A">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A1A0A">
              <w:rPr>
                <w:b/>
                <w:bCs/>
                <w:noProof/>
              </w:rPr>
              <w:t>9</w:t>
            </w:r>
            <w:r>
              <w:rPr>
                <w:b/>
                <w:bCs/>
                <w:sz w:val="24"/>
                <w:szCs w:val="24"/>
              </w:rPr>
              <w:fldChar w:fldCharType="end"/>
            </w:r>
          </w:p>
        </w:sdtContent>
      </w:sdt>
    </w:sdtContent>
  </w:sdt>
  <w:p w14:paraId="14FB6092" w14:textId="77777777" w:rsidR="00363357" w:rsidRDefault="003633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D7050" w14:textId="77777777" w:rsidR="008E57FB" w:rsidRDefault="008E57FB" w:rsidP="00EE29F6">
      <w:pPr>
        <w:spacing w:after="0" w:line="240" w:lineRule="auto"/>
      </w:pPr>
      <w:r>
        <w:separator/>
      </w:r>
    </w:p>
  </w:footnote>
  <w:footnote w:type="continuationSeparator" w:id="0">
    <w:p w14:paraId="5D458C68" w14:textId="77777777" w:rsidR="008E57FB" w:rsidRDefault="008E57FB" w:rsidP="00EE2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8"/>
    </w:tblGrid>
    <w:tr w:rsidR="00363357" w:rsidRPr="001106EA" w14:paraId="2297FAF9" w14:textId="77777777" w:rsidTr="0063602B">
      <w:trPr>
        <w:trHeight w:val="1843"/>
      </w:trPr>
      <w:tc>
        <w:tcPr>
          <w:tcW w:w="2694" w:type="dxa"/>
          <w:vAlign w:val="bottom"/>
        </w:tcPr>
        <w:p w14:paraId="1917C9BB" w14:textId="77777777" w:rsidR="00363357" w:rsidRDefault="00363357" w:rsidP="0077694E">
          <w:pPr>
            <w:pStyle w:val="Encabezado"/>
            <w:tabs>
              <w:tab w:val="clear" w:pos="4252"/>
              <w:tab w:val="center" w:pos="2614"/>
            </w:tabs>
            <w:ind w:left="-255"/>
          </w:pPr>
          <w:r>
            <w:rPr>
              <w:noProof/>
              <w:sz w:val="10"/>
              <w:szCs w:val="10"/>
              <w:lang w:val="es-MX" w:eastAsia="es-MX"/>
            </w:rPr>
            <w:drawing>
              <wp:inline distT="0" distB="0" distL="0" distR="0" wp14:anchorId="2AC8E52F" wp14:editId="780CF4DE">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0616" cy="1160801"/>
                        </a:xfrm>
                        <a:prstGeom prst="rect">
                          <a:avLst/>
                        </a:prstGeom>
                      </pic:spPr>
                    </pic:pic>
                  </a:graphicData>
                </a:graphic>
              </wp:inline>
            </w:drawing>
          </w:r>
        </w:p>
        <w:p w14:paraId="40A2C29B" w14:textId="77777777" w:rsidR="00363357" w:rsidRDefault="00363357" w:rsidP="0077694E">
          <w:pPr>
            <w:pStyle w:val="Encabezado"/>
            <w:tabs>
              <w:tab w:val="clear" w:pos="4252"/>
              <w:tab w:val="center" w:pos="2614"/>
            </w:tabs>
          </w:pPr>
        </w:p>
      </w:tc>
      <w:tc>
        <w:tcPr>
          <w:tcW w:w="6378" w:type="dxa"/>
          <w:vAlign w:val="center"/>
        </w:tcPr>
        <w:p w14:paraId="3F108C93" w14:textId="77777777" w:rsidR="00E66339" w:rsidRPr="00B9745A" w:rsidRDefault="00E66339" w:rsidP="006C5D62">
          <w:pPr>
            <w:pStyle w:val="Encabezado"/>
            <w:ind w:right="32"/>
            <w:jc w:val="both"/>
            <w:rPr>
              <w:rFonts w:ascii="Palatino Linotype" w:hAnsi="Palatino Linotype" w:cs="Tahoma"/>
              <w:b/>
            </w:rPr>
          </w:pPr>
          <w:r w:rsidRPr="00B9745A">
            <w:rPr>
              <w:rFonts w:ascii="Palatino Linotype" w:hAnsi="Palatino Linotype" w:cs="Tahoma"/>
              <w:b/>
            </w:rPr>
            <w:t>Voto Particular</w:t>
          </w:r>
        </w:p>
        <w:p w14:paraId="78EDBC30" w14:textId="34A32833" w:rsidR="00E66339" w:rsidRDefault="00E66339" w:rsidP="006C5D62">
          <w:pPr>
            <w:pStyle w:val="Encabezado"/>
            <w:ind w:right="32"/>
            <w:jc w:val="both"/>
            <w:rPr>
              <w:rFonts w:ascii="Palatino Linotype" w:hAnsi="Palatino Linotype"/>
              <w:b/>
              <w:lang w:val="es-ES_tradnl"/>
            </w:rPr>
          </w:pPr>
          <w:r w:rsidRPr="00B9745A">
            <w:rPr>
              <w:rFonts w:ascii="Palatino Linotype" w:hAnsi="Palatino Linotype" w:cs="Tahoma"/>
              <w:b/>
            </w:rPr>
            <w:t xml:space="preserve">Recurso de Revisión: </w:t>
          </w:r>
          <w:r w:rsidR="00A569AC">
            <w:rPr>
              <w:rFonts w:ascii="Palatino Linotype" w:hAnsi="Palatino Linotype"/>
              <w:lang w:val="es-ES_tradnl"/>
            </w:rPr>
            <w:t>06641</w:t>
          </w:r>
          <w:r w:rsidR="002605BA">
            <w:rPr>
              <w:rFonts w:ascii="Palatino Linotype" w:hAnsi="Palatino Linotype"/>
              <w:lang w:val="es-ES_tradnl"/>
            </w:rPr>
            <w:t>/INFOEM/IP/RR/202</w:t>
          </w:r>
          <w:r w:rsidR="002C0DB7">
            <w:rPr>
              <w:rFonts w:ascii="Palatino Linotype" w:hAnsi="Palatino Linotype"/>
              <w:lang w:val="es-ES_tradnl"/>
            </w:rPr>
            <w:t>3</w:t>
          </w:r>
        </w:p>
        <w:p w14:paraId="53598701" w14:textId="591E9E66" w:rsidR="002605BA" w:rsidRDefault="006869B6" w:rsidP="006C5D62">
          <w:pPr>
            <w:pStyle w:val="Encabezado"/>
            <w:ind w:right="32"/>
            <w:jc w:val="both"/>
            <w:rPr>
              <w:rFonts w:ascii="Palatino Linotype" w:hAnsi="Palatino Linotype" w:cs="Tahoma"/>
            </w:rPr>
          </w:pPr>
          <w:r w:rsidRPr="006869B6">
            <w:rPr>
              <w:rFonts w:ascii="Palatino Linotype" w:hAnsi="Palatino Linotype" w:cs="Tahoma"/>
              <w:b/>
            </w:rPr>
            <w:t>Sujeto obligado:</w:t>
          </w:r>
          <w:r>
            <w:rPr>
              <w:rFonts w:ascii="Palatino Linotype" w:hAnsi="Palatino Linotype" w:cs="Tahoma"/>
              <w:b/>
            </w:rPr>
            <w:t xml:space="preserve"> </w:t>
          </w:r>
          <w:r w:rsidR="00A569AC" w:rsidRPr="00A569AC">
            <w:rPr>
              <w:rFonts w:ascii="Palatino Linotype" w:hAnsi="Palatino Linotype" w:cs="Tahoma"/>
            </w:rPr>
            <w:t>Organismo Descentralizado de Agua Potable Alcantarillado y Saneamiento de Nezahualcóyotl (ODAPAS)</w:t>
          </w:r>
        </w:p>
        <w:p w14:paraId="2C9D1E16" w14:textId="7C0C79A5" w:rsidR="00363357" w:rsidRPr="001106EA" w:rsidRDefault="00E66339" w:rsidP="006C5D62">
          <w:pPr>
            <w:pStyle w:val="Encabezado"/>
            <w:ind w:right="32"/>
            <w:jc w:val="both"/>
            <w:rPr>
              <w:rFonts w:ascii="Tahoma" w:hAnsi="Tahoma" w:cs="Tahoma"/>
            </w:rPr>
          </w:pPr>
          <w:r w:rsidRPr="00B9745A">
            <w:rPr>
              <w:rFonts w:ascii="Palatino Linotype" w:hAnsi="Palatino Linotype" w:cs="Tahoma"/>
              <w:b/>
            </w:rPr>
            <w:t xml:space="preserve">Comisionado Ponente: </w:t>
          </w:r>
          <w:r w:rsidR="003B357E" w:rsidRPr="003B357E">
            <w:rPr>
              <w:rFonts w:ascii="Palatino Linotype" w:hAnsi="Palatino Linotype"/>
              <w:lang w:val="es-ES_tradnl"/>
            </w:rPr>
            <w:t>Luis Gustavo Parra Noriega</w:t>
          </w:r>
        </w:p>
      </w:tc>
    </w:tr>
  </w:tbl>
  <w:p w14:paraId="3B83F926" w14:textId="77777777" w:rsidR="00363357" w:rsidRPr="001106EA" w:rsidRDefault="00363357">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80A"/>
    <w:multiLevelType w:val="hybridMultilevel"/>
    <w:tmpl w:val="AB1CBE76"/>
    <w:lvl w:ilvl="0" w:tplc="90E4190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A1345"/>
    <w:multiLevelType w:val="hybridMultilevel"/>
    <w:tmpl w:val="0636BA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31484"/>
    <w:multiLevelType w:val="hybridMultilevel"/>
    <w:tmpl w:val="8B081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18438F"/>
    <w:multiLevelType w:val="hybridMultilevel"/>
    <w:tmpl w:val="977CD68A"/>
    <w:lvl w:ilvl="0" w:tplc="B0788A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1223F"/>
    <w:multiLevelType w:val="hybridMultilevel"/>
    <w:tmpl w:val="E6D4FD94"/>
    <w:lvl w:ilvl="0" w:tplc="0D2CC0C6">
      <w:start w:val="6"/>
      <w:numFmt w:val="decimal"/>
      <w:lvlText w:val="%1."/>
      <w:lvlJc w:val="left"/>
      <w:pPr>
        <w:ind w:left="720" w:hanging="360"/>
      </w:pPr>
      <w:rPr>
        <w:rFonts w:hint="default"/>
        <w:b/>
        <w:i w:val="0"/>
        <w:color w:val="000000" w:themeColor="text1"/>
        <w:sz w:val="24"/>
      </w:rPr>
    </w:lvl>
    <w:lvl w:ilvl="1" w:tplc="080A0009">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8377C"/>
    <w:multiLevelType w:val="hybridMultilevel"/>
    <w:tmpl w:val="09E4C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B76DE"/>
    <w:multiLevelType w:val="hybridMultilevel"/>
    <w:tmpl w:val="67F0C59E"/>
    <w:lvl w:ilvl="0" w:tplc="D5A2347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0D20E6"/>
    <w:multiLevelType w:val="hybridMultilevel"/>
    <w:tmpl w:val="C38A3C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F44A1"/>
    <w:multiLevelType w:val="hybridMultilevel"/>
    <w:tmpl w:val="3C68C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F833EDE"/>
    <w:multiLevelType w:val="hybridMultilevel"/>
    <w:tmpl w:val="0F627D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5768EB"/>
    <w:multiLevelType w:val="hybridMultilevel"/>
    <w:tmpl w:val="85E4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8135DD"/>
    <w:multiLevelType w:val="hybridMultilevel"/>
    <w:tmpl w:val="5CBE3C10"/>
    <w:lvl w:ilvl="0" w:tplc="B28052C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D76236"/>
    <w:multiLevelType w:val="hybridMultilevel"/>
    <w:tmpl w:val="70002C2C"/>
    <w:lvl w:ilvl="0" w:tplc="AEAA63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B74828"/>
    <w:multiLevelType w:val="hybridMultilevel"/>
    <w:tmpl w:val="D95A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0F5798"/>
    <w:multiLevelType w:val="hybridMultilevel"/>
    <w:tmpl w:val="09E4C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990414"/>
    <w:multiLevelType w:val="hybridMultilevel"/>
    <w:tmpl w:val="4FE43A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D06758"/>
    <w:multiLevelType w:val="hybridMultilevel"/>
    <w:tmpl w:val="E0BE6E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194963"/>
    <w:multiLevelType w:val="hybridMultilevel"/>
    <w:tmpl w:val="22463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0"/>
  </w:num>
  <w:num w:numId="5">
    <w:abstractNumId w:val="13"/>
  </w:num>
  <w:num w:numId="6">
    <w:abstractNumId w:val="3"/>
  </w:num>
  <w:num w:numId="7">
    <w:abstractNumId w:val="10"/>
  </w:num>
  <w:num w:numId="8">
    <w:abstractNumId w:val="17"/>
  </w:num>
  <w:num w:numId="9">
    <w:abstractNumId w:val="14"/>
  </w:num>
  <w:num w:numId="10">
    <w:abstractNumId w:val="15"/>
  </w:num>
  <w:num w:numId="11">
    <w:abstractNumId w:val="16"/>
  </w:num>
  <w:num w:numId="12">
    <w:abstractNumId w:val="1"/>
  </w:num>
  <w:num w:numId="13">
    <w:abstractNumId w:val="8"/>
  </w:num>
  <w:num w:numId="14">
    <w:abstractNumId w:val="18"/>
  </w:num>
  <w:num w:numId="15">
    <w:abstractNumId w:val="6"/>
  </w:num>
  <w:num w:numId="16">
    <w:abstractNumId w:val="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F6"/>
    <w:rsid w:val="00004F11"/>
    <w:rsid w:val="00006F73"/>
    <w:rsid w:val="0001600D"/>
    <w:rsid w:val="00020D08"/>
    <w:rsid w:val="00021F98"/>
    <w:rsid w:val="000237AB"/>
    <w:rsid w:val="00023B3D"/>
    <w:rsid w:val="0002483E"/>
    <w:rsid w:val="000253E5"/>
    <w:rsid w:val="0002627D"/>
    <w:rsid w:val="0002759D"/>
    <w:rsid w:val="000301C6"/>
    <w:rsid w:val="00042397"/>
    <w:rsid w:val="00042C31"/>
    <w:rsid w:val="000466A3"/>
    <w:rsid w:val="000549B5"/>
    <w:rsid w:val="00056BD3"/>
    <w:rsid w:val="00060F74"/>
    <w:rsid w:val="0006561A"/>
    <w:rsid w:val="00082AB6"/>
    <w:rsid w:val="00085241"/>
    <w:rsid w:val="0008691F"/>
    <w:rsid w:val="00087AC8"/>
    <w:rsid w:val="0009277A"/>
    <w:rsid w:val="00097988"/>
    <w:rsid w:val="00097A79"/>
    <w:rsid w:val="000B235B"/>
    <w:rsid w:val="000B61DD"/>
    <w:rsid w:val="000B7F6F"/>
    <w:rsid w:val="000C0A12"/>
    <w:rsid w:val="000C10B7"/>
    <w:rsid w:val="000C22F3"/>
    <w:rsid w:val="000C6052"/>
    <w:rsid w:val="000D186F"/>
    <w:rsid w:val="000D4A7E"/>
    <w:rsid w:val="000E64B7"/>
    <w:rsid w:val="000F1CD2"/>
    <w:rsid w:val="00104333"/>
    <w:rsid w:val="0010688C"/>
    <w:rsid w:val="001106EA"/>
    <w:rsid w:val="001159DC"/>
    <w:rsid w:val="00116E1A"/>
    <w:rsid w:val="00117B25"/>
    <w:rsid w:val="00126B40"/>
    <w:rsid w:val="001275EE"/>
    <w:rsid w:val="001309CB"/>
    <w:rsid w:val="00135847"/>
    <w:rsid w:val="00136AD8"/>
    <w:rsid w:val="0014038B"/>
    <w:rsid w:val="00140A57"/>
    <w:rsid w:val="0014736A"/>
    <w:rsid w:val="001536F8"/>
    <w:rsid w:val="00161815"/>
    <w:rsid w:val="00162325"/>
    <w:rsid w:val="00164625"/>
    <w:rsid w:val="00164BFE"/>
    <w:rsid w:val="001813CE"/>
    <w:rsid w:val="00181470"/>
    <w:rsid w:val="0018472D"/>
    <w:rsid w:val="00193AA8"/>
    <w:rsid w:val="00197A72"/>
    <w:rsid w:val="001A145C"/>
    <w:rsid w:val="001A6BD9"/>
    <w:rsid w:val="001C1C64"/>
    <w:rsid w:val="001C363A"/>
    <w:rsid w:val="001C7C6D"/>
    <w:rsid w:val="0020052A"/>
    <w:rsid w:val="00205DF8"/>
    <w:rsid w:val="00215B62"/>
    <w:rsid w:val="00220D45"/>
    <w:rsid w:val="00227283"/>
    <w:rsid w:val="00231B68"/>
    <w:rsid w:val="00234E99"/>
    <w:rsid w:val="00243A13"/>
    <w:rsid w:val="00246FAF"/>
    <w:rsid w:val="002605BA"/>
    <w:rsid w:val="00273B3C"/>
    <w:rsid w:val="0028037C"/>
    <w:rsid w:val="002816CB"/>
    <w:rsid w:val="00282687"/>
    <w:rsid w:val="0028714A"/>
    <w:rsid w:val="002931A8"/>
    <w:rsid w:val="00295BA5"/>
    <w:rsid w:val="002A138B"/>
    <w:rsid w:val="002A1727"/>
    <w:rsid w:val="002A2EE7"/>
    <w:rsid w:val="002B0502"/>
    <w:rsid w:val="002B0E4A"/>
    <w:rsid w:val="002B2877"/>
    <w:rsid w:val="002C0DB7"/>
    <w:rsid w:val="002C2405"/>
    <w:rsid w:val="002C3532"/>
    <w:rsid w:val="002C7EBD"/>
    <w:rsid w:val="002D539A"/>
    <w:rsid w:val="002E4A9A"/>
    <w:rsid w:val="002E5A1A"/>
    <w:rsid w:val="00304D27"/>
    <w:rsid w:val="003331F5"/>
    <w:rsid w:val="00333B7A"/>
    <w:rsid w:val="00344DD1"/>
    <w:rsid w:val="003512C9"/>
    <w:rsid w:val="00357193"/>
    <w:rsid w:val="0036010F"/>
    <w:rsid w:val="00361360"/>
    <w:rsid w:val="00363357"/>
    <w:rsid w:val="0038131E"/>
    <w:rsid w:val="00390188"/>
    <w:rsid w:val="003937C0"/>
    <w:rsid w:val="003973A2"/>
    <w:rsid w:val="003A33E2"/>
    <w:rsid w:val="003A6218"/>
    <w:rsid w:val="003B357E"/>
    <w:rsid w:val="003B5F3A"/>
    <w:rsid w:val="003B6547"/>
    <w:rsid w:val="003B7A5E"/>
    <w:rsid w:val="003C115B"/>
    <w:rsid w:val="003C374F"/>
    <w:rsid w:val="003C4BD1"/>
    <w:rsid w:val="003D0982"/>
    <w:rsid w:val="003F2426"/>
    <w:rsid w:val="003F48C2"/>
    <w:rsid w:val="003F6E82"/>
    <w:rsid w:val="003F7CBE"/>
    <w:rsid w:val="0040139C"/>
    <w:rsid w:val="00403B39"/>
    <w:rsid w:val="00412CB2"/>
    <w:rsid w:val="004211BB"/>
    <w:rsid w:val="00433746"/>
    <w:rsid w:val="00434B91"/>
    <w:rsid w:val="00434C88"/>
    <w:rsid w:val="00435E69"/>
    <w:rsid w:val="00440F05"/>
    <w:rsid w:val="00441EA2"/>
    <w:rsid w:val="0044391A"/>
    <w:rsid w:val="004452E2"/>
    <w:rsid w:val="00445BDF"/>
    <w:rsid w:val="00447F6F"/>
    <w:rsid w:val="00450B68"/>
    <w:rsid w:val="0045695E"/>
    <w:rsid w:val="00467ACB"/>
    <w:rsid w:val="00485822"/>
    <w:rsid w:val="00490F50"/>
    <w:rsid w:val="004A4555"/>
    <w:rsid w:val="004A4BC9"/>
    <w:rsid w:val="004A555E"/>
    <w:rsid w:val="004B08C4"/>
    <w:rsid w:val="004B541F"/>
    <w:rsid w:val="004B674B"/>
    <w:rsid w:val="004C4912"/>
    <w:rsid w:val="004C6E57"/>
    <w:rsid w:val="004D2ED4"/>
    <w:rsid w:val="004D4258"/>
    <w:rsid w:val="004E4CA3"/>
    <w:rsid w:val="004E7007"/>
    <w:rsid w:val="004E7CC9"/>
    <w:rsid w:val="004E7E21"/>
    <w:rsid w:val="004E7E73"/>
    <w:rsid w:val="004F0B86"/>
    <w:rsid w:val="004F7FD5"/>
    <w:rsid w:val="005105CC"/>
    <w:rsid w:val="00511E06"/>
    <w:rsid w:val="0052260F"/>
    <w:rsid w:val="00524DA5"/>
    <w:rsid w:val="00526DBD"/>
    <w:rsid w:val="00543DF4"/>
    <w:rsid w:val="00544812"/>
    <w:rsid w:val="00550AA5"/>
    <w:rsid w:val="00553ADE"/>
    <w:rsid w:val="0056120D"/>
    <w:rsid w:val="0056175F"/>
    <w:rsid w:val="0056524C"/>
    <w:rsid w:val="00577080"/>
    <w:rsid w:val="00582CCB"/>
    <w:rsid w:val="00584D73"/>
    <w:rsid w:val="00590D44"/>
    <w:rsid w:val="00592BE0"/>
    <w:rsid w:val="0059329D"/>
    <w:rsid w:val="00596EE6"/>
    <w:rsid w:val="005A2510"/>
    <w:rsid w:val="005A6E4D"/>
    <w:rsid w:val="005A70CE"/>
    <w:rsid w:val="005B4D44"/>
    <w:rsid w:val="005C094E"/>
    <w:rsid w:val="005C0E09"/>
    <w:rsid w:val="005C73EE"/>
    <w:rsid w:val="005D11C8"/>
    <w:rsid w:val="005E2798"/>
    <w:rsid w:val="005F0940"/>
    <w:rsid w:val="005F3F63"/>
    <w:rsid w:val="00600164"/>
    <w:rsid w:val="00600323"/>
    <w:rsid w:val="00601DF3"/>
    <w:rsid w:val="00605683"/>
    <w:rsid w:val="006248F2"/>
    <w:rsid w:val="00624DE5"/>
    <w:rsid w:val="00627F2B"/>
    <w:rsid w:val="006306C4"/>
    <w:rsid w:val="0063602B"/>
    <w:rsid w:val="00645087"/>
    <w:rsid w:val="00651B2B"/>
    <w:rsid w:val="00654ACD"/>
    <w:rsid w:val="00657396"/>
    <w:rsid w:val="00682003"/>
    <w:rsid w:val="00683596"/>
    <w:rsid w:val="00684B16"/>
    <w:rsid w:val="006869B6"/>
    <w:rsid w:val="00695F12"/>
    <w:rsid w:val="00696B47"/>
    <w:rsid w:val="006B16FE"/>
    <w:rsid w:val="006B6D1A"/>
    <w:rsid w:val="006C5D62"/>
    <w:rsid w:val="006D1775"/>
    <w:rsid w:val="006D3DF1"/>
    <w:rsid w:val="006E0125"/>
    <w:rsid w:val="006F5316"/>
    <w:rsid w:val="007071CF"/>
    <w:rsid w:val="00716B49"/>
    <w:rsid w:val="00722FE9"/>
    <w:rsid w:val="00724F08"/>
    <w:rsid w:val="00730A57"/>
    <w:rsid w:val="0073552A"/>
    <w:rsid w:val="007378E2"/>
    <w:rsid w:val="00742A15"/>
    <w:rsid w:val="00743EE0"/>
    <w:rsid w:val="00765A96"/>
    <w:rsid w:val="0077694E"/>
    <w:rsid w:val="00781082"/>
    <w:rsid w:val="00781866"/>
    <w:rsid w:val="007849A1"/>
    <w:rsid w:val="00790C87"/>
    <w:rsid w:val="00792848"/>
    <w:rsid w:val="00796CD0"/>
    <w:rsid w:val="007A1071"/>
    <w:rsid w:val="007A2D13"/>
    <w:rsid w:val="007A58C2"/>
    <w:rsid w:val="007D3257"/>
    <w:rsid w:val="007D5554"/>
    <w:rsid w:val="007E3F77"/>
    <w:rsid w:val="007F1C1D"/>
    <w:rsid w:val="007F41BF"/>
    <w:rsid w:val="007F7D80"/>
    <w:rsid w:val="00801B21"/>
    <w:rsid w:val="00802879"/>
    <w:rsid w:val="0083186E"/>
    <w:rsid w:val="008355D4"/>
    <w:rsid w:val="00836BC2"/>
    <w:rsid w:val="00846270"/>
    <w:rsid w:val="00855BE7"/>
    <w:rsid w:val="008566EB"/>
    <w:rsid w:val="00861757"/>
    <w:rsid w:val="008629DC"/>
    <w:rsid w:val="008706C2"/>
    <w:rsid w:val="00871B8C"/>
    <w:rsid w:val="00874170"/>
    <w:rsid w:val="00884A10"/>
    <w:rsid w:val="00887E3C"/>
    <w:rsid w:val="00891412"/>
    <w:rsid w:val="008933AC"/>
    <w:rsid w:val="0089469D"/>
    <w:rsid w:val="008A0447"/>
    <w:rsid w:val="008A1DE1"/>
    <w:rsid w:val="008A217F"/>
    <w:rsid w:val="008A3DA9"/>
    <w:rsid w:val="008B08C9"/>
    <w:rsid w:val="008E54E2"/>
    <w:rsid w:val="008E57FB"/>
    <w:rsid w:val="009039FE"/>
    <w:rsid w:val="00905BD7"/>
    <w:rsid w:val="009062D8"/>
    <w:rsid w:val="0092103D"/>
    <w:rsid w:val="00922B2E"/>
    <w:rsid w:val="00924A73"/>
    <w:rsid w:val="00926581"/>
    <w:rsid w:val="00927138"/>
    <w:rsid w:val="00927BD1"/>
    <w:rsid w:val="009366AD"/>
    <w:rsid w:val="00941847"/>
    <w:rsid w:val="00950355"/>
    <w:rsid w:val="0095470A"/>
    <w:rsid w:val="00954BF1"/>
    <w:rsid w:val="00956B98"/>
    <w:rsid w:val="00962B86"/>
    <w:rsid w:val="00965DE9"/>
    <w:rsid w:val="00974836"/>
    <w:rsid w:val="00993790"/>
    <w:rsid w:val="009943E1"/>
    <w:rsid w:val="009A1596"/>
    <w:rsid w:val="009B22ED"/>
    <w:rsid w:val="009B2C0B"/>
    <w:rsid w:val="009C0313"/>
    <w:rsid w:val="009D07E2"/>
    <w:rsid w:val="009D49BE"/>
    <w:rsid w:val="009E0861"/>
    <w:rsid w:val="009E41F7"/>
    <w:rsid w:val="009E6970"/>
    <w:rsid w:val="00A0224B"/>
    <w:rsid w:val="00A037C5"/>
    <w:rsid w:val="00A074E7"/>
    <w:rsid w:val="00A13E40"/>
    <w:rsid w:val="00A14343"/>
    <w:rsid w:val="00A22273"/>
    <w:rsid w:val="00A26864"/>
    <w:rsid w:val="00A30C52"/>
    <w:rsid w:val="00A364BA"/>
    <w:rsid w:val="00A462CB"/>
    <w:rsid w:val="00A5061A"/>
    <w:rsid w:val="00A54E21"/>
    <w:rsid w:val="00A569AC"/>
    <w:rsid w:val="00A57559"/>
    <w:rsid w:val="00A60DDC"/>
    <w:rsid w:val="00A67498"/>
    <w:rsid w:val="00A717FC"/>
    <w:rsid w:val="00A742D1"/>
    <w:rsid w:val="00A87924"/>
    <w:rsid w:val="00A96933"/>
    <w:rsid w:val="00A96CE5"/>
    <w:rsid w:val="00AA090B"/>
    <w:rsid w:val="00AA1A0A"/>
    <w:rsid w:val="00AA261E"/>
    <w:rsid w:val="00AA38A5"/>
    <w:rsid w:val="00AC139E"/>
    <w:rsid w:val="00AC333A"/>
    <w:rsid w:val="00AC36EF"/>
    <w:rsid w:val="00AC3775"/>
    <w:rsid w:val="00AC430C"/>
    <w:rsid w:val="00AD25D5"/>
    <w:rsid w:val="00AF3B6B"/>
    <w:rsid w:val="00B15570"/>
    <w:rsid w:val="00B2355E"/>
    <w:rsid w:val="00B263C5"/>
    <w:rsid w:val="00B27BBC"/>
    <w:rsid w:val="00B30925"/>
    <w:rsid w:val="00B67355"/>
    <w:rsid w:val="00B71740"/>
    <w:rsid w:val="00B73847"/>
    <w:rsid w:val="00B7393F"/>
    <w:rsid w:val="00B761B1"/>
    <w:rsid w:val="00B80C28"/>
    <w:rsid w:val="00B8633E"/>
    <w:rsid w:val="00BB6EE3"/>
    <w:rsid w:val="00BC4882"/>
    <w:rsid w:val="00BC55D2"/>
    <w:rsid w:val="00BD06FC"/>
    <w:rsid w:val="00BD1839"/>
    <w:rsid w:val="00BD4705"/>
    <w:rsid w:val="00BD518A"/>
    <w:rsid w:val="00BD5DBE"/>
    <w:rsid w:val="00BE5684"/>
    <w:rsid w:val="00BE678B"/>
    <w:rsid w:val="00BF1AC9"/>
    <w:rsid w:val="00BF527A"/>
    <w:rsid w:val="00BF602D"/>
    <w:rsid w:val="00C0033F"/>
    <w:rsid w:val="00C0131C"/>
    <w:rsid w:val="00C04AB8"/>
    <w:rsid w:val="00C153EC"/>
    <w:rsid w:val="00C155EE"/>
    <w:rsid w:val="00C30FD6"/>
    <w:rsid w:val="00C31FEE"/>
    <w:rsid w:val="00C37E4F"/>
    <w:rsid w:val="00C55FFC"/>
    <w:rsid w:val="00C75CE0"/>
    <w:rsid w:val="00C920D4"/>
    <w:rsid w:val="00CA7627"/>
    <w:rsid w:val="00CC68E1"/>
    <w:rsid w:val="00CD4339"/>
    <w:rsid w:val="00CD6D0D"/>
    <w:rsid w:val="00CD7611"/>
    <w:rsid w:val="00CE0380"/>
    <w:rsid w:val="00CE1DAC"/>
    <w:rsid w:val="00CE3CDC"/>
    <w:rsid w:val="00CE46B3"/>
    <w:rsid w:val="00CE50F9"/>
    <w:rsid w:val="00CE623C"/>
    <w:rsid w:val="00CE7F0C"/>
    <w:rsid w:val="00CF11EE"/>
    <w:rsid w:val="00CF140C"/>
    <w:rsid w:val="00CF1B14"/>
    <w:rsid w:val="00CF432B"/>
    <w:rsid w:val="00D01247"/>
    <w:rsid w:val="00D05444"/>
    <w:rsid w:val="00D05740"/>
    <w:rsid w:val="00D11C52"/>
    <w:rsid w:val="00D13875"/>
    <w:rsid w:val="00D15D07"/>
    <w:rsid w:val="00D160F2"/>
    <w:rsid w:val="00D178FC"/>
    <w:rsid w:val="00D30C32"/>
    <w:rsid w:val="00D313CB"/>
    <w:rsid w:val="00D342D7"/>
    <w:rsid w:val="00D357E1"/>
    <w:rsid w:val="00D37CDC"/>
    <w:rsid w:val="00D45BDF"/>
    <w:rsid w:val="00D51426"/>
    <w:rsid w:val="00D51C81"/>
    <w:rsid w:val="00D55429"/>
    <w:rsid w:val="00D6548F"/>
    <w:rsid w:val="00D65D0C"/>
    <w:rsid w:val="00D666D4"/>
    <w:rsid w:val="00D7239D"/>
    <w:rsid w:val="00D75FAE"/>
    <w:rsid w:val="00D76EA4"/>
    <w:rsid w:val="00D77F63"/>
    <w:rsid w:val="00D81CB3"/>
    <w:rsid w:val="00D9114A"/>
    <w:rsid w:val="00D932AD"/>
    <w:rsid w:val="00DA11C0"/>
    <w:rsid w:val="00DD0452"/>
    <w:rsid w:val="00DE4452"/>
    <w:rsid w:val="00DF2784"/>
    <w:rsid w:val="00DF6CA0"/>
    <w:rsid w:val="00E145E1"/>
    <w:rsid w:val="00E26123"/>
    <w:rsid w:val="00E34559"/>
    <w:rsid w:val="00E41481"/>
    <w:rsid w:val="00E416F8"/>
    <w:rsid w:val="00E54867"/>
    <w:rsid w:val="00E656C1"/>
    <w:rsid w:val="00E66339"/>
    <w:rsid w:val="00E70B5D"/>
    <w:rsid w:val="00E750E2"/>
    <w:rsid w:val="00E80E84"/>
    <w:rsid w:val="00E82F77"/>
    <w:rsid w:val="00E83683"/>
    <w:rsid w:val="00E910F8"/>
    <w:rsid w:val="00EA7E26"/>
    <w:rsid w:val="00EB7128"/>
    <w:rsid w:val="00EC1E4E"/>
    <w:rsid w:val="00EC5F1B"/>
    <w:rsid w:val="00EE29F6"/>
    <w:rsid w:val="00EE4548"/>
    <w:rsid w:val="00EE7634"/>
    <w:rsid w:val="00EF10FB"/>
    <w:rsid w:val="00F030F8"/>
    <w:rsid w:val="00F05A41"/>
    <w:rsid w:val="00F14384"/>
    <w:rsid w:val="00F17C34"/>
    <w:rsid w:val="00F318EA"/>
    <w:rsid w:val="00F32FC7"/>
    <w:rsid w:val="00F359F6"/>
    <w:rsid w:val="00F42582"/>
    <w:rsid w:val="00F44957"/>
    <w:rsid w:val="00F71454"/>
    <w:rsid w:val="00F72206"/>
    <w:rsid w:val="00F72D12"/>
    <w:rsid w:val="00F73C3F"/>
    <w:rsid w:val="00F753FF"/>
    <w:rsid w:val="00F80D93"/>
    <w:rsid w:val="00F93684"/>
    <w:rsid w:val="00F95EDA"/>
    <w:rsid w:val="00FB3044"/>
    <w:rsid w:val="00FB59D6"/>
    <w:rsid w:val="00FC16A3"/>
    <w:rsid w:val="00FC1D9D"/>
    <w:rsid w:val="00FC2848"/>
    <w:rsid w:val="00FD1849"/>
    <w:rsid w:val="00FD3150"/>
    <w:rsid w:val="00FD530D"/>
    <w:rsid w:val="00FD65C5"/>
    <w:rsid w:val="00FD683E"/>
    <w:rsid w:val="00FE4A90"/>
    <w:rsid w:val="00FF22F6"/>
    <w:rsid w:val="00FF305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219E5"/>
  <w15:docId w15:val="{C7A7E73E-C5B1-46B9-8381-700F8B75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9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9F6"/>
  </w:style>
  <w:style w:type="paragraph" w:styleId="Piedepgina">
    <w:name w:val="footer"/>
    <w:basedOn w:val="Normal"/>
    <w:link w:val="PiedepginaCar"/>
    <w:uiPriority w:val="99"/>
    <w:unhideWhenUsed/>
    <w:rsid w:val="00EE29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9F6"/>
  </w:style>
  <w:style w:type="table" w:styleId="Tablaconcuadrcula">
    <w:name w:val="Table Grid"/>
    <w:basedOn w:val="Tablanormal"/>
    <w:uiPriority w:val="39"/>
    <w:rsid w:val="00EE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23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39D"/>
    <w:rPr>
      <w:rFonts w:ascii="Segoe UI" w:hAnsi="Segoe UI" w:cs="Segoe UI"/>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24DA5"/>
    <w:pPr>
      <w:ind w:left="720"/>
      <w:contextualSpacing/>
    </w:pPr>
  </w:style>
  <w:style w:type="paragraph" w:styleId="Textonotapie">
    <w:name w:val="footnote text"/>
    <w:basedOn w:val="Normal"/>
    <w:link w:val="TextonotapieCar"/>
    <w:uiPriority w:val="99"/>
    <w:semiHidden/>
    <w:unhideWhenUsed/>
    <w:rsid w:val="009943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43E1"/>
    <w:rPr>
      <w:sz w:val="20"/>
      <w:szCs w:val="20"/>
    </w:rPr>
  </w:style>
  <w:style w:type="character" w:styleId="Refdenotaalpie">
    <w:name w:val="footnote reference"/>
    <w:basedOn w:val="Fuentedeprrafopredeter"/>
    <w:uiPriority w:val="99"/>
    <w:semiHidden/>
    <w:unhideWhenUsed/>
    <w:rsid w:val="009943E1"/>
    <w:rPr>
      <w:vertAlign w:val="superscript"/>
    </w:rPr>
  </w:style>
  <w:style w:type="character" w:styleId="Hipervnculo">
    <w:name w:val="Hyperlink"/>
    <w:basedOn w:val="Fuentedeprrafopredeter"/>
    <w:uiPriority w:val="99"/>
    <w:unhideWhenUsed/>
    <w:rsid w:val="001159DC"/>
    <w:rPr>
      <w:color w:val="0563C1" w:themeColor="hyperlink"/>
      <w:u w:val="single"/>
    </w:rPr>
  </w:style>
  <w:style w:type="character" w:styleId="Textoennegrita">
    <w:name w:val="Strong"/>
    <w:basedOn w:val="Fuentedeprrafopredeter"/>
    <w:qFormat/>
    <w:rsid w:val="008933AC"/>
    <w:rPr>
      <w:b/>
      <w:bC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8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D0BD-FFA4-4A3E-916A-2659D969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2352</Words>
  <Characters>12939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INFOEM500</cp:lastModifiedBy>
  <cp:revision>5</cp:revision>
  <cp:lastPrinted>2023-06-02T01:32:00Z</cp:lastPrinted>
  <dcterms:created xsi:type="dcterms:W3CDTF">2024-02-01T21:28:00Z</dcterms:created>
  <dcterms:modified xsi:type="dcterms:W3CDTF">2024-02-29T23:54:00Z</dcterms:modified>
</cp:coreProperties>
</file>