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70" w:rsidRDefault="007F6E0E">
      <w:pPr>
        <w:spacing w:after="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b/>
        </w:rPr>
        <w:t>VOTO PARTICULAR QUE FORMULA LA COMISIONADA GUADALUPE RAMÍREZ PEÑA, EN RELACIÓN CON LA RESOLUCIÓN DEL RECURSO DE REVISIÓN 04789/INFOEM/IP/RR/2023, DICTADA POR EL PLENO DEL INSTITUTO DE TRANSPARENCIA, ACCESO A LA INFORMACIÓN PÚBLICA Y PROTECCIÓN DE DATOS PERSONALES DEL ESTADO DE MÉXICO Y MUNICIPIOS, EN LA OCTAVA SESIÓN ORDINARIA CELEBRADA EL OCHO DE MARZO DE DOS MIL VEINTICUATRO.</w:t>
      </w:r>
    </w:p>
    <w:p w:rsidR="006D6770" w:rsidRDefault="006D6770">
      <w:pPr>
        <w:spacing w:after="0" w:line="360" w:lineRule="auto"/>
        <w:ind w:right="139"/>
        <w:jc w:val="both"/>
        <w:rPr>
          <w:rFonts w:ascii="Palatino Linotype" w:eastAsia="Palatino Linotype" w:hAnsi="Palatino Linotype" w:cs="Palatino Linotype"/>
          <w:b/>
          <w:sz w:val="24"/>
          <w:szCs w:val="24"/>
        </w:rPr>
      </w:pPr>
    </w:p>
    <w:p w:rsidR="006D6770" w:rsidRDefault="007F6E0E">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del recurso de revisión </w:t>
      </w:r>
      <w:r>
        <w:rPr>
          <w:rFonts w:ascii="Palatino Linotype" w:eastAsia="Palatino Linotype" w:hAnsi="Palatino Linotype" w:cs="Palatino Linotype"/>
          <w:b/>
          <w:sz w:val="24"/>
          <w:szCs w:val="24"/>
        </w:rPr>
        <w:t>04789/INFOEM/IP/RR/2023</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pronunciada por el Pleno de este Instituto ante el proyecto presentado por la suscrita, el cual fue engrosado y resuelto conforme al criterio mayoritario que es del tenor siguiente: </w:t>
      </w:r>
    </w:p>
    <w:p w:rsidR="006D6770" w:rsidRDefault="006D6770">
      <w:pPr>
        <w:spacing w:after="0" w:line="360" w:lineRule="auto"/>
        <w:ind w:right="139"/>
        <w:jc w:val="both"/>
        <w:rPr>
          <w:rFonts w:ascii="Palatino Linotype" w:eastAsia="Palatino Linotype" w:hAnsi="Palatino Linotype" w:cs="Palatino Linotype"/>
          <w:sz w:val="24"/>
          <w:szCs w:val="24"/>
        </w:rPr>
      </w:pPr>
    </w:p>
    <w:p w:rsidR="006D6770" w:rsidRDefault="007F6E0E">
      <w:pPr>
        <w:numPr>
          <w:ilvl w:val="0"/>
          <w:numId w:val="3"/>
        </w:numPr>
        <w:spacing w:after="0" w:line="360" w:lineRule="auto"/>
        <w:ind w:left="567" w:right="139"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Antecedentes.</w:t>
      </w:r>
    </w:p>
    <w:p w:rsidR="006D6770" w:rsidRDefault="006D6770">
      <w:pPr>
        <w:spacing w:after="0" w:line="360" w:lineRule="auto"/>
        <w:jc w:val="both"/>
        <w:rPr>
          <w:rFonts w:ascii="Palatino Linotype" w:eastAsia="Palatino Linotype" w:hAnsi="Palatino Linotype" w:cs="Palatino Linotype"/>
          <w:sz w:val="24"/>
          <w:szCs w:val="24"/>
        </w:rPr>
      </w:pPr>
    </w:p>
    <w:p w:rsidR="006D6770" w:rsidRDefault="007F6E0E">
      <w:pPr>
        <w:spacing w:after="0" w:line="360" w:lineRule="auto"/>
        <w:ind w:left="567"/>
        <w:jc w:val="both"/>
        <w:rPr>
          <w:rFonts w:ascii="Palatino Linotype" w:eastAsia="Palatino Linotype" w:hAnsi="Palatino Linotype" w:cs="Palatino Linotype"/>
          <w:i/>
          <w:sz w:val="24"/>
          <w:szCs w:val="24"/>
        </w:rPr>
      </w:pPr>
      <w:bookmarkStart w:id="0" w:name="_heading=h.3znysh7" w:colFirst="0" w:colLast="0"/>
      <w:bookmarkEnd w:id="0"/>
      <w:r>
        <w:rPr>
          <w:rFonts w:ascii="Palatino Linotype" w:eastAsia="Palatino Linotype" w:hAnsi="Palatino Linotype" w:cs="Palatino Linotype"/>
          <w:sz w:val="24"/>
          <w:szCs w:val="24"/>
        </w:rPr>
        <w:t>A través de la solicitud de acceso a la información que nos ocupan, la persona solicitante requirió, lo siguiente:</w:t>
      </w:r>
      <w:r>
        <w:rPr>
          <w:rFonts w:ascii="Palatino Linotype" w:eastAsia="Palatino Linotype" w:hAnsi="Palatino Linotype" w:cs="Palatino Linotype"/>
          <w:i/>
          <w:sz w:val="24"/>
          <w:szCs w:val="24"/>
        </w:rPr>
        <w:t xml:space="preserve"> </w:t>
      </w:r>
    </w:p>
    <w:p w:rsidR="006D6770" w:rsidRDefault="006D6770">
      <w:pPr>
        <w:spacing w:after="0" w:line="360" w:lineRule="auto"/>
        <w:ind w:left="567"/>
        <w:jc w:val="both"/>
        <w:rPr>
          <w:rFonts w:ascii="Palatino Linotype" w:eastAsia="Palatino Linotype" w:hAnsi="Palatino Linotype" w:cs="Palatino Linotype"/>
          <w:i/>
          <w:sz w:val="24"/>
          <w:szCs w:val="24"/>
        </w:rPr>
      </w:pPr>
    </w:p>
    <w:p w:rsidR="006D6770" w:rsidRDefault="007F6E0E">
      <w:pPr>
        <w:spacing w:after="0" w:line="24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“En la respuesta del correo emitido por CEPANAF, con numero: 221C0101A-974/2023 (anexo) donde habla de "el equipo técnico" para formular la revisión y respuesta mencionada, </w:t>
      </w:r>
      <w:r>
        <w:rPr>
          <w:rFonts w:ascii="Palatino Linotype" w:eastAsia="Palatino Linotype" w:hAnsi="Palatino Linotype" w:cs="Palatino Linotype"/>
          <w:i/>
        </w:rPr>
        <w:lastRenderedPageBreak/>
        <w:t xml:space="preserve">Solicitamos lo siguiente: 1) Documento y/o dictamen al cual están respondiendo, 2) Cedula profesional de los técnicos en cuestión, 3) </w:t>
      </w:r>
      <w:proofErr w:type="spellStart"/>
      <w:r>
        <w:rPr>
          <w:rFonts w:ascii="Palatino Linotype" w:eastAsia="Palatino Linotype" w:hAnsi="Palatino Linotype" w:cs="Palatino Linotype"/>
          <w:i/>
        </w:rPr>
        <w:t>Titulo</w:t>
      </w:r>
      <w:proofErr w:type="spellEnd"/>
      <w:r>
        <w:rPr>
          <w:rFonts w:ascii="Palatino Linotype" w:eastAsia="Palatino Linotype" w:hAnsi="Palatino Linotype" w:cs="Palatino Linotype"/>
          <w:i/>
        </w:rPr>
        <w:t xml:space="preserve"> profesional de los técnicos en cuestión 4) Puesto de los funcionarios como técnicos cuestionados, 5) Sueldos y prestaciones que perciben estos funcionarios (Sic).”</w:t>
      </w:r>
    </w:p>
    <w:p w:rsidR="006D6770" w:rsidRDefault="006D6770">
      <w:pPr>
        <w:spacing w:after="0" w:line="360" w:lineRule="auto"/>
        <w:jc w:val="both"/>
        <w:rPr>
          <w:sz w:val="10"/>
          <w:szCs w:val="10"/>
        </w:rPr>
      </w:pPr>
    </w:p>
    <w:p w:rsidR="006D6770" w:rsidRDefault="006D6770">
      <w:pPr>
        <w:spacing w:after="0" w:line="360" w:lineRule="auto"/>
        <w:jc w:val="both"/>
        <w:rPr>
          <w:rFonts w:ascii="Palatino Linotype" w:eastAsia="Palatino Linotype" w:hAnsi="Palatino Linotype" w:cs="Palatino Linotype"/>
          <w:sz w:val="24"/>
          <w:szCs w:val="24"/>
          <w:highlight w:val="red"/>
        </w:rPr>
      </w:pPr>
    </w:p>
    <w:p w:rsidR="006D6770" w:rsidRDefault="007F6E0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respondió de la siguiente forma:</w:t>
      </w:r>
    </w:p>
    <w:p w:rsidR="006D6770" w:rsidRDefault="006D677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D6770" w:rsidRDefault="007F6E0E">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6D6770" w:rsidRDefault="006D6770">
      <w:pPr>
        <w:spacing w:after="0" w:line="276" w:lineRule="auto"/>
        <w:ind w:left="851" w:right="900"/>
        <w:jc w:val="both"/>
        <w:rPr>
          <w:rFonts w:ascii="Palatino Linotype" w:eastAsia="Palatino Linotype" w:hAnsi="Palatino Linotype" w:cs="Palatino Linotype"/>
          <w:i/>
        </w:rPr>
      </w:pPr>
    </w:p>
    <w:p w:rsidR="006D6770" w:rsidRDefault="007F6E0E">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00090/CEPANAF/IP/2023 de fecha 10 de julio del año en curso, mediante la cual solicita lo siguiente: “En la respuesta del correo emitido por CEPANAF, con numero: 221C0101A-974/2023 (anexo) donde habla de "el equipo técnico" para formular la revisión y respuesta mencionada, Solicitamos lo siguiente: 1) Documento y/o dictamen al cual están respondiendo, 2) Cedula profesional de los técnicos en cuestión, 3) </w:t>
      </w:r>
      <w:proofErr w:type="spellStart"/>
      <w:r>
        <w:rPr>
          <w:rFonts w:ascii="Palatino Linotype" w:eastAsia="Palatino Linotype" w:hAnsi="Palatino Linotype" w:cs="Palatino Linotype"/>
          <w:i/>
        </w:rPr>
        <w:t>Titulo</w:t>
      </w:r>
      <w:proofErr w:type="spellEnd"/>
      <w:r>
        <w:rPr>
          <w:rFonts w:ascii="Palatino Linotype" w:eastAsia="Palatino Linotype" w:hAnsi="Palatino Linotype" w:cs="Palatino Linotype"/>
          <w:i/>
        </w:rPr>
        <w:t xml:space="preserve"> profesional de los técnicos en cuestión 4) Puesto de los funcionarios como técnicos cuestionados, 5) Sueldos y prestaciones que perciben estos funcionarios"(Sic) </w:t>
      </w:r>
      <w:r>
        <w:rPr>
          <w:rFonts w:ascii="Palatino Linotype" w:eastAsia="Palatino Linotype" w:hAnsi="Palatino Linotype" w:cs="Palatino Linotype"/>
          <w:b/>
          <w:i/>
          <w:u w:val="single"/>
        </w:rPr>
        <w:t>Sobre el particular hago de su conocimiento que, la información solicitada le fue requerida a la Subdirección de Atención y Gestión de Áreas Naturales Protegidas y Subdirección de Administración y Finanzas,</w:t>
      </w:r>
      <w:r>
        <w:rPr>
          <w:rFonts w:ascii="Palatino Linotype" w:eastAsia="Palatino Linotype" w:hAnsi="Palatino Linotype" w:cs="Palatino Linotype"/>
          <w:i/>
        </w:rPr>
        <w:t xml:space="preserve"> mismas que señalan a esta Unidad de Transparencia mediante los oficios Ref. 221C0101000300L-599/2023 y Ref. 221C0101000500L-777/2023, el texto descrito a continuación: En virtud de lo anterior y de conformidad con el </w:t>
      </w:r>
      <w:r>
        <w:rPr>
          <w:rFonts w:ascii="Palatino Linotype" w:eastAsia="Palatino Linotype" w:hAnsi="Palatino Linotype" w:cs="Palatino Linotype"/>
          <w:i/>
        </w:rPr>
        <w:lastRenderedPageBreak/>
        <w:t>artículo 140 fracciones VI, VIII y X de la Ley de Transparencia y Acceso a la Información Pública del Estado de México y Municipios</w:t>
      </w:r>
      <w:r>
        <w:rPr>
          <w:rFonts w:ascii="Palatino Linotype" w:eastAsia="Palatino Linotype" w:hAnsi="Palatino Linotype" w:cs="Palatino Linotype"/>
          <w:b/>
          <w:i/>
          <w:u w:val="single"/>
        </w:rPr>
        <w:t>; me permito hacer de su conocimiento que actualmente esta Comisión Estatal de Parques Naturales y de la Fauna, se encuentra sustanciando un procedimiento en materia de amparo del Parque Estatal Monte Alto en Valle de Bravo y el dar a conocer la información podría transgredir las formalidades esenciales del procedimiento y poner en riesgo los derechos de las partes, hasta en tanto se dicte sentencia y ésta quede firme</w:t>
      </w:r>
      <w:r>
        <w:rPr>
          <w:rFonts w:ascii="Palatino Linotype" w:eastAsia="Palatino Linotype" w:hAnsi="Palatino Linotype" w:cs="Palatino Linotype"/>
          <w:i/>
        </w:rPr>
        <w:t>.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p>
    <w:p w:rsidR="006D6770" w:rsidRDefault="007F6E0E">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rsidR="006D6770" w:rsidRDefault="007F6E0E">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C. LETICIA VIESCA GONZÁLEZ”</w:t>
      </w:r>
    </w:p>
    <w:p w:rsidR="006D6770" w:rsidRDefault="006D6770">
      <w:pPr>
        <w:spacing w:after="0" w:line="360" w:lineRule="auto"/>
        <w:jc w:val="both"/>
        <w:rPr>
          <w:color w:val="000000"/>
          <w:sz w:val="24"/>
          <w:szCs w:val="24"/>
        </w:rPr>
      </w:pPr>
    </w:p>
    <w:p w:rsidR="006D6770" w:rsidRDefault="007F6E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en los siguientes términos:</w:t>
      </w:r>
    </w:p>
    <w:p w:rsidR="006D6770" w:rsidRDefault="006D6770">
      <w:pPr>
        <w:spacing w:after="0" w:line="360" w:lineRule="auto"/>
        <w:ind w:right="-234"/>
        <w:jc w:val="both"/>
        <w:rPr>
          <w:rFonts w:ascii="Palatino Linotype" w:eastAsia="Palatino Linotype" w:hAnsi="Palatino Linotype" w:cs="Palatino Linotype"/>
          <w:b/>
          <w:color w:val="000000"/>
          <w:sz w:val="24"/>
          <w:szCs w:val="24"/>
        </w:rPr>
      </w:pPr>
    </w:p>
    <w:p w:rsidR="006D6770" w:rsidRDefault="007F6E0E">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rsidR="006D6770" w:rsidRDefault="007F6E0E">
      <w:pPr>
        <w:tabs>
          <w:tab w:val="left" w:pos="8222"/>
        </w:tabs>
        <w:spacing w:before="240" w:after="240" w:line="240"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“Bajo el pretexto de un proceso judicial de ciudadanos pidiendo un amparo federal, se ha negado información pública que no tiene cabida por: ser de fechas anteriores, no estar relacionados con el amparo y bloquear la libre información del sujeto obligado al público Artículo 8o. CONSTITUCIONAL Los funcionarios y empleados públicos respetarán el ejercicio del derecho de petición, siempre que ésta se formule por escrito, de manera pacífica y respetuosa; pero en materia política sólo podrán hacer uso de ese derecho los ciudadanos de la República. Artículo 15. LEY GENERAL DE TRANSPARENCIA Y ACCESO A LA INFORMACIÓN PÚBLICA Toda persona tiene derecho de acceso a la información, sin discriminación, </w:t>
      </w:r>
      <w:r>
        <w:rPr>
          <w:rFonts w:ascii="Palatino Linotype" w:eastAsia="Palatino Linotype" w:hAnsi="Palatino Linotype" w:cs="Palatino Linotype"/>
          <w:i/>
          <w:color w:val="000000"/>
        </w:rPr>
        <w:lastRenderedPageBreak/>
        <w:t xml:space="preserve">por motivo alguno. Artículo 5. LEY DE TRANSPARENCIA Y ACCESO A LA INFORMACIÓN PÚBLICA DEL ESTADO DE MÉXICO Y MUNICIPIOS No podrá clasificarse como reservada aquella información que esté relacionada con violaciones graves a derechos humanos o delitos de lesa humanidad, de conformidad con el derecho nacional o los tratados internacionales de los que el Estado mexicano sea parte. Por lo que tenemos entendido </w:t>
      </w:r>
      <w:proofErr w:type="gramStart"/>
      <w:r>
        <w:rPr>
          <w:rFonts w:ascii="Palatino Linotype" w:eastAsia="Palatino Linotype" w:hAnsi="Palatino Linotype" w:cs="Palatino Linotype"/>
          <w:i/>
          <w:color w:val="000000"/>
        </w:rPr>
        <w:t>el</w:t>
      </w:r>
      <w:proofErr w:type="gramEnd"/>
      <w:r>
        <w:rPr>
          <w:rFonts w:ascii="Palatino Linotype" w:eastAsia="Palatino Linotype" w:hAnsi="Palatino Linotype" w:cs="Palatino Linotype"/>
          <w:i/>
          <w:color w:val="000000"/>
        </w:rPr>
        <w:t xml:space="preserve"> Amparo en proceso, es por violaciones al derecho humano de un ambiente sano Artículo 20. LEY DE TRANSPARENCIA Y ACCESO A LA INFORMACIÓN PÚBLICA DEL ESTADO DE MÉXICO Y MUNICIPIOS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roofErr w:type="gramStart"/>
      <w:r>
        <w:rPr>
          <w:rFonts w:ascii="Palatino Linotype" w:eastAsia="Palatino Linotype" w:hAnsi="Palatino Linotype" w:cs="Palatino Linotype"/>
          <w:i/>
          <w:color w:val="000000"/>
        </w:rPr>
        <w:t>sic</w:t>
      </w:r>
      <w:proofErr w:type="gramEnd"/>
      <w:r>
        <w:rPr>
          <w:rFonts w:ascii="Palatino Linotype" w:eastAsia="Palatino Linotype" w:hAnsi="Palatino Linotype" w:cs="Palatino Linotype"/>
          <w:i/>
          <w:color w:val="000000"/>
        </w:rPr>
        <w:t>]</w:t>
      </w:r>
    </w:p>
    <w:p w:rsidR="006D6770" w:rsidRDefault="007F6E0E">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rsidR="006D6770" w:rsidRPr="000F063D" w:rsidRDefault="007F6E0E" w:rsidP="000F063D">
      <w:pPr>
        <w:pBdr>
          <w:top w:val="nil"/>
          <w:left w:val="nil"/>
          <w:bottom w:val="nil"/>
          <w:right w:val="nil"/>
          <w:between w:val="nil"/>
        </w:pBdr>
        <w:spacing w:after="0" w:line="24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rPr>
        <w:t xml:space="preserve">Bajo el pretexto de un proceso judicial de ciudadanos pidiendo un amparo federal, se ha negado información pública que no tiene cabida por: ser de fechas anteriores, no estar relacionados con el amparo y bloquear la libre información del sujeto obligado al público Artículo 8o. CONSTITUCIONAL Los funcionarios y empleados públicos respetarán el ejercicio del derecho de petición, siempre que ésta se formule por escrito, de manera pacífica y respetuosa; pero en materia política sólo podrán hacer uso de ese derecho los ciudadanos de la República. Artículo 15. LEY GENERAL DE TRANSPARENCIA Y ACCESO A LA INFORMACIÓN PÚBLICA Toda persona tiene derecho de acceso a la información, sin discriminación, por motivo alguno. Artículo 5. LEY DE TRANSPARENCIA Y ACCESO A LA INFORMACIÓN PÚBLICA DEL ESTADO DE MÉXICO Y MUNICIPIOS No podrá clasificarse como reservada aquella información que esté relacionada con violaciones graves a derechos humanos o delitos de lesa humanidad, de conformidad con el derecho nacional o los tratados internacionales de los que el Estado mexicano sea parte. Por lo que tenemos entendido </w:t>
      </w:r>
      <w:proofErr w:type="gramStart"/>
      <w:r>
        <w:rPr>
          <w:rFonts w:ascii="Palatino Linotype" w:eastAsia="Palatino Linotype" w:hAnsi="Palatino Linotype" w:cs="Palatino Linotype"/>
          <w:i/>
          <w:color w:val="000000"/>
        </w:rPr>
        <w:t>el</w:t>
      </w:r>
      <w:proofErr w:type="gramEnd"/>
      <w:r>
        <w:rPr>
          <w:rFonts w:ascii="Palatino Linotype" w:eastAsia="Palatino Linotype" w:hAnsi="Palatino Linotype" w:cs="Palatino Linotype"/>
          <w:i/>
          <w:color w:val="000000"/>
        </w:rPr>
        <w:t xml:space="preserve"> Amparo en proceso, es por violaciones al derecho humano de un ambiente sano Artículo 20. LEY DE TRANSPARENCIA Y ACCESO A LA INFORMACIÓN PÚBLICA DEL ESTADO DE MÉXICO Y MUNICIPIOS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roofErr w:type="gramStart"/>
      <w:r>
        <w:rPr>
          <w:rFonts w:ascii="Palatino Linotype" w:eastAsia="Palatino Linotype" w:hAnsi="Palatino Linotype" w:cs="Palatino Linotype"/>
          <w:i/>
          <w:color w:val="000000"/>
        </w:rPr>
        <w:t>sic</w:t>
      </w:r>
      <w:proofErr w:type="gramEnd"/>
      <w:r>
        <w:rPr>
          <w:rFonts w:ascii="Palatino Linotype" w:eastAsia="Palatino Linotype" w:hAnsi="Palatino Linotype" w:cs="Palatino Linotype"/>
          <w:i/>
          <w:color w:val="000000"/>
        </w:rPr>
        <w:t>]</w:t>
      </w:r>
    </w:p>
    <w:p w:rsidR="006D6770" w:rsidRPr="000F063D" w:rsidRDefault="007F6E0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F063D">
        <w:rPr>
          <w:rFonts w:ascii="Palatino Linotype" w:hAnsi="Palatino Linotype"/>
          <w:sz w:val="24"/>
          <w:szCs w:val="24"/>
        </w:rPr>
        <w:lastRenderedPageBreak/>
        <w:t xml:space="preserve">Durante la etapa de instrucción, </w:t>
      </w:r>
      <w:r w:rsidRPr="000F063D">
        <w:rPr>
          <w:rFonts w:ascii="Palatino Linotype" w:hAnsi="Palatino Linotype"/>
          <w:b/>
          <w:sz w:val="24"/>
          <w:szCs w:val="24"/>
        </w:rPr>
        <w:t>EL SUJETO OBLIGADO</w:t>
      </w:r>
      <w:r w:rsidR="000F063D" w:rsidRPr="000F063D">
        <w:rPr>
          <w:rFonts w:ascii="Palatino Linotype" w:hAnsi="Palatino Linotype"/>
          <w:sz w:val="24"/>
          <w:szCs w:val="24"/>
        </w:rPr>
        <w:t xml:space="preserve"> emitió</w:t>
      </w:r>
      <w:r w:rsidRPr="000F063D">
        <w:t xml:space="preserve"> </w:t>
      </w:r>
      <w:r w:rsidRPr="000F063D">
        <w:rPr>
          <w:rFonts w:ascii="Palatino Linotype" w:eastAsia="Palatino Linotype" w:hAnsi="Palatino Linotype" w:cs="Palatino Linotype"/>
          <w:sz w:val="24"/>
          <w:szCs w:val="24"/>
        </w:rPr>
        <w:t>su informe justificado de la siguiente manera:</w:t>
      </w:r>
    </w:p>
    <w:p w:rsidR="006D6770" w:rsidRDefault="006D677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6D6770" w:rsidRDefault="007F6E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Cédula profesional y título profesional de Alejandra Rodríguez Gómez, Manuel Antonio Pérez Rodríguez, además del título profesional de Clara Sánchez Camacho. </w:t>
      </w:r>
    </w:p>
    <w:p w:rsidR="006D6770" w:rsidRDefault="006D6770">
      <w:pPr>
        <w:spacing w:after="0" w:line="360" w:lineRule="auto"/>
        <w:jc w:val="both"/>
        <w:rPr>
          <w:rFonts w:ascii="Palatino Linotype" w:eastAsia="Palatino Linotype" w:hAnsi="Palatino Linotype" w:cs="Palatino Linotype"/>
          <w:sz w:val="24"/>
          <w:szCs w:val="24"/>
        </w:rPr>
      </w:pPr>
    </w:p>
    <w:p w:rsidR="006D6770" w:rsidRDefault="007F6E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Comunicado No. CCPMA/017/2023 de fecha catorce de junio de dos mil veintitrés. </w:t>
      </w:r>
    </w:p>
    <w:p w:rsidR="006D6770" w:rsidRDefault="006D6770">
      <w:pPr>
        <w:spacing w:after="0" w:line="360" w:lineRule="auto"/>
        <w:jc w:val="both"/>
        <w:rPr>
          <w:rFonts w:ascii="Palatino Linotype" w:eastAsia="Palatino Linotype" w:hAnsi="Palatino Linotype" w:cs="Palatino Linotype"/>
          <w:sz w:val="24"/>
          <w:szCs w:val="24"/>
        </w:rPr>
      </w:pPr>
    </w:p>
    <w:p w:rsidR="00CF36AB" w:rsidRDefault="007F6E0E" w:rsidP="00CF36A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Capturas de pantalla del comunicado No. CCPMA/017/2023 de fecha catorce</w:t>
      </w:r>
      <w:r w:rsidR="00CF36AB">
        <w:rPr>
          <w:rFonts w:ascii="Palatino Linotype" w:eastAsia="Palatino Linotype" w:hAnsi="Palatino Linotype" w:cs="Palatino Linotype"/>
          <w:sz w:val="24"/>
          <w:szCs w:val="24"/>
        </w:rPr>
        <w:t xml:space="preserve"> de junio de dos mil veintitrés.</w:t>
      </w:r>
    </w:p>
    <w:p w:rsidR="00CF36AB" w:rsidRDefault="00CF36AB" w:rsidP="00CF36AB">
      <w:pPr>
        <w:spacing w:after="0" w:line="360" w:lineRule="auto"/>
        <w:jc w:val="both"/>
        <w:rPr>
          <w:rFonts w:ascii="Palatino Linotype" w:eastAsia="Palatino Linotype" w:hAnsi="Palatino Linotype" w:cs="Palatino Linotype"/>
          <w:sz w:val="24"/>
          <w:szCs w:val="24"/>
        </w:rPr>
      </w:pPr>
    </w:p>
    <w:p w:rsidR="00CF36AB" w:rsidRPr="008220F2" w:rsidRDefault="00CF36AB" w:rsidP="00CF36A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w:t>
      </w:r>
      <w:r w:rsidRPr="008220F2">
        <w:rPr>
          <w:rFonts w:ascii="Palatino Linotype" w:eastAsia="Palatino Linotype" w:hAnsi="Palatino Linotype" w:cs="Palatino Linotype"/>
          <w:sz w:val="24"/>
          <w:szCs w:val="24"/>
        </w:rPr>
        <w:t xml:space="preserve"> embargo, no se puso a la vista por observarse datos personales. </w:t>
      </w:r>
    </w:p>
    <w:p w:rsidR="00CF36AB" w:rsidRDefault="00CF36AB">
      <w:pPr>
        <w:spacing w:after="0" w:line="360" w:lineRule="auto"/>
        <w:jc w:val="both"/>
        <w:rPr>
          <w:rFonts w:ascii="Palatino Linotype" w:eastAsia="Palatino Linotype" w:hAnsi="Palatino Linotype" w:cs="Palatino Linotype"/>
          <w:sz w:val="24"/>
          <w:szCs w:val="24"/>
        </w:rPr>
      </w:pPr>
    </w:p>
    <w:p w:rsidR="00CF36AB" w:rsidRDefault="00CF36AB" w:rsidP="00CF36A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220F2">
        <w:rPr>
          <w:rFonts w:ascii="Palatino Linotype" w:eastAsia="Palatino Linotype" w:hAnsi="Palatino Linotype" w:cs="Palatino Linotype"/>
          <w:sz w:val="24"/>
          <w:szCs w:val="24"/>
        </w:rPr>
        <w:t xml:space="preserve">Señala el cargo de los servidores públicos solicitados. </w:t>
      </w:r>
    </w:p>
    <w:p w:rsidR="00CF36AB" w:rsidRDefault="00CF36AB" w:rsidP="00CF36A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CF36AB" w:rsidRPr="008220F2" w:rsidRDefault="00CF36AB" w:rsidP="00CF36A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220F2">
        <w:rPr>
          <w:rFonts w:ascii="Palatino Linotype" w:eastAsia="Palatino Linotype" w:hAnsi="Palatino Linotype" w:cs="Palatino Linotype"/>
          <w:sz w:val="24"/>
          <w:szCs w:val="24"/>
        </w:rPr>
        <w:t xml:space="preserve">Adjunta las ligas electrónicas en el que se pueden observar las remuneraciones y prestaciones de los servidores públicos solicitados. </w:t>
      </w:r>
    </w:p>
    <w:p w:rsidR="006D6770" w:rsidRDefault="006D6770">
      <w:pPr>
        <w:spacing w:after="0" w:line="360" w:lineRule="auto"/>
        <w:jc w:val="both"/>
        <w:rPr>
          <w:rFonts w:ascii="Palatino Linotype" w:eastAsia="Palatino Linotype" w:hAnsi="Palatino Linotype" w:cs="Palatino Linotype"/>
          <w:color w:val="FF0000"/>
          <w:sz w:val="24"/>
          <w:szCs w:val="24"/>
        </w:rPr>
      </w:pPr>
    </w:p>
    <w:p w:rsidR="006D6770" w:rsidRPr="00CF36AB" w:rsidRDefault="007F6E0E" w:rsidP="00CF36AB">
      <w:pPr>
        <w:spacing w:after="0" w:line="360" w:lineRule="auto"/>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sz w:val="24"/>
          <w:szCs w:val="24"/>
        </w:rPr>
        <w:t xml:space="preserve">Acta de la Décima Segunda Sesión Extraordinaria del Comité de Transparencia de la CEPANAF de fecha veintiocho de noviembre de dos mil veintitrés, a </w:t>
      </w:r>
      <w:r>
        <w:rPr>
          <w:rFonts w:ascii="Palatino Linotype" w:eastAsia="Palatino Linotype" w:hAnsi="Palatino Linotype" w:cs="Palatino Linotype"/>
          <w:color w:val="000000"/>
          <w:sz w:val="24"/>
          <w:szCs w:val="24"/>
        </w:rPr>
        <w:t xml:space="preserve">través de la cual en el punto </w:t>
      </w:r>
      <w:r>
        <w:rPr>
          <w:rFonts w:ascii="Palatino Linotype" w:eastAsia="Palatino Linotype" w:hAnsi="Palatino Linotype" w:cs="Palatino Linotype"/>
          <w:sz w:val="24"/>
          <w:szCs w:val="24"/>
        </w:rPr>
        <w:t>3.2 del orden del día se a</w:t>
      </w:r>
      <w:r w:rsidR="000F063D">
        <w:rPr>
          <w:rFonts w:ascii="Palatino Linotype" w:eastAsia="Palatino Linotype" w:hAnsi="Palatino Linotype" w:cs="Palatino Linotype"/>
          <w:sz w:val="24"/>
          <w:szCs w:val="24"/>
        </w:rPr>
        <w:t xml:space="preserve">prueba la versión pública de </w:t>
      </w:r>
      <w:r>
        <w:rPr>
          <w:rFonts w:ascii="Palatino Linotype" w:eastAsia="Palatino Linotype" w:hAnsi="Palatino Linotype" w:cs="Palatino Linotype"/>
          <w:sz w:val="24"/>
          <w:szCs w:val="24"/>
        </w:rPr>
        <w:t>cédula</w:t>
      </w:r>
      <w:r w:rsidR="000F063D">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profesional</w:t>
      </w:r>
      <w:r w:rsidR="000F063D">
        <w:rPr>
          <w:rFonts w:ascii="Palatino Linotype" w:eastAsia="Palatino Linotype" w:hAnsi="Palatino Linotype" w:cs="Palatino Linotype"/>
          <w:sz w:val="24"/>
          <w:szCs w:val="24"/>
        </w:rPr>
        <w:t>es</w:t>
      </w:r>
      <w:r w:rsidR="000F063D">
        <w:rPr>
          <w:rFonts w:ascii="Palatino Linotype" w:eastAsia="Palatino Linotype" w:hAnsi="Palatino Linotype" w:cs="Palatino Linotype"/>
          <w:color w:val="000000"/>
          <w:sz w:val="24"/>
          <w:szCs w:val="24"/>
        </w:rPr>
        <w:t>.</w:t>
      </w:r>
    </w:p>
    <w:p w:rsidR="006D6770" w:rsidRDefault="007F6E0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Pr>
          <w:rFonts w:ascii="Palatino Linotype" w:eastAsia="Palatino Linotype" w:hAnsi="Palatino Linotype" w:cs="Palatino Linotype"/>
          <w:color w:val="000000"/>
          <w:sz w:val="24"/>
          <w:szCs w:val="24"/>
        </w:rPr>
        <w:lastRenderedPageBreak/>
        <w:t>P</w:t>
      </w:r>
      <w:r>
        <w:rPr>
          <w:rFonts w:ascii="Palatino Linotype" w:eastAsia="Palatino Linotype" w:hAnsi="Palatino Linotype" w:cs="Palatino Linotype"/>
          <w:sz w:val="24"/>
          <w:szCs w:val="24"/>
        </w:rPr>
        <w:t xml:space="preserve">or su parte,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no emitió sus manifestaciones, conforme a derecho le corresponde. </w:t>
      </w:r>
    </w:p>
    <w:p w:rsidR="006D6770" w:rsidRDefault="006D677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D6770" w:rsidRDefault="007F6E0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resultaban fundados, y determinó </w:t>
      </w:r>
      <w:r>
        <w:rPr>
          <w:rFonts w:ascii="Palatino Linotype" w:eastAsia="Palatino Linotype" w:hAnsi="Palatino Linotype" w:cs="Palatino Linotype"/>
          <w:b/>
          <w:sz w:val="24"/>
          <w:szCs w:val="24"/>
        </w:rPr>
        <w:t>REVOCAR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lo siguiente:</w:t>
      </w:r>
    </w:p>
    <w:p w:rsidR="006D6770" w:rsidRDefault="006D677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6D6770" w:rsidRDefault="006D6770">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6D6770" w:rsidRPr="000F063D" w:rsidRDefault="007F6E0E" w:rsidP="000F063D">
      <w:pPr>
        <w:pStyle w:val="Prrafodelista"/>
        <w:numPr>
          <w:ilvl w:val="0"/>
          <w:numId w:val="2"/>
        </w:numPr>
        <w:pBdr>
          <w:top w:val="nil"/>
          <w:left w:val="nil"/>
          <w:bottom w:val="nil"/>
          <w:right w:val="nil"/>
          <w:between w:val="nil"/>
        </w:pBdr>
        <w:spacing w:after="0" w:line="240" w:lineRule="auto"/>
        <w:ind w:right="618"/>
        <w:jc w:val="both"/>
        <w:rPr>
          <w:rFonts w:ascii="Palatino Linotype" w:eastAsia="Palatino Linotype" w:hAnsi="Palatino Linotype" w:cs="Palatino Linotype"/>
          <w:i/>
          <w:color w:val="000000"/>
        </w:rPr>
      </w:pPr>
      <w:r w:rsidRPr="000F063D">
        <w:rPr>
          <w:rFonts w:ascii="Palatino Linotype" w:eastAsia="Palatino Linotype" w:hAnsi="Palatino Linotype" w:cs="Palatino Linotype"/>
          <w:i/>
          <w:color w:val="000000"/>
        </w:rPr>
        <w:t xml:space="preserve"> Comunicado No. CCPMA/017/2023 de fecha catorce de junio de dos mil veintitrés entregado en informe justificado</w:t>
      </w:r>
    </w:p>
    <w:p w:rsidR="006D6770" w:rsidRDefault="007F6E0E">
      <w:pPr>
        <w:numPr>
          <w:ilvl w:val="0"/>
          <w:numId w:val="2"/>
        </w:numPr>
        <w:pBdr>
          <w:top w:val="nil"/>
          <w:left w:val="nil"/>
          <w:bottom w:val="nil"/>
          <w:right w:val="nil"/>
          <w:between w:val="nil"/>
        </w:pBdr>
        <w:spacing w:after="0" w:line="240" w:lineRule="auto"/>
        <w:ind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r>
        <w:rPr>
          <w:rFonts w:ascii="Palatino Linotype" w:eastAsia="Palatino Linotype" w:hAnsi="Palatino Linotype" w:cs="Palatino Linotype"/>
          <w:i/>
        </w:rPr>
        <w:t>Cédula</w:t>
      </w:r>
      <w:r>
        <w:rPr>
          <w:rFonts w:ascii="Palatino Linotype" w:eastAsia="Palatino Linotype" w:hAnsi="Palatino Linotype" w:cs="Palatino Linotype"/>
          <w:i/>
          <w:color w:val="000000"/>
        </w:rPr>
        <w:t xml:space="preserve"> profesional y título profesional de los servidores públicos entregados en informe justificado.</w:t>
      </w:r>
      <w:r>
        <w:rPr>
          <w:rFonts w:ascii="Palatino Linotype" w:eastAsia="Palatino Linotype" w:hAnsi="Palatino Linotype" w:cs="Palatino Linotype"/>
          <w:i/>
        </w:rPr>
        <w:t xml:space="preserve"> </w:t>
      </w:r>
    </w:p>
    <w:p w:rsidR="000F063D" w:rsidRPr="000F063D" w:rsidRDefault="007F6E0E" w:rsidP="000F063D">
      <w:pPr>
        <w:numPr>
          <w:ilvl w:val="0"/>
          <w:numId w:val="2"/>
        </w:numPr>
        <w:pBdr>
          <w:top w:val="nil"/>
          <w:left w:val="nil"/>
          <w:bottom w:val="nil"/>
          <w:right w:val="nil"/>
          <w:between w:val="nil"/>
        </w:pBdr>
        <w:spacing w:after="0" w:line="240" w:lineRule="auto"/>
        <w:ind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Cédula profesional de </w:t>
      </w:r>
      <w:r w:rsidR="000F063D">
        <w:rPr>
          <w:rFonts w:ascii="Palatino Linotype" w:eastAsia="Palatino Linotype" w:hAnsi="Palatino Linotype" w:cs="Palatino Linotype"/>
          <w:i/>
        </w:rPr>
        <w:t>la servidora pública faltante.</w:t>
      </w:r>
    </w:p>
    <w:p w:rsidR="000F063D" w:rsidRDefault="000F063D" w:rsidP="000F063D">
      <w:pPr>
        <w:pBdr>
          <w:top w:val="nil"/>
          <w:left w:val="nil"/>
          <w:bottom w:val="nil"/>
          <w:right w:val="nil"/>
          <w:between w:val="nil"/>
        </w:pBdr>
        <w:spacing w:after="0" w:line="240" w:lineRule="auto"/>
        <w:ind w:left="1440" w:right="618"/>
        <w:jc w:val="both"/>
        <w:rPr>
          <w:rFonts w:ascii="Palatino Linotype" w:eastAsia="Palatino Linotype" w:hAnsi="Palatino Linotype" w:cs="Palatino Linotype"/>
          <w:i/>
          <w:color w:val="000000"/>
        </w:rPr>
      </w:pPr>
    </w:p>
    <w:p w:rsidR="000F063D" w:rsidRDefault="000F063D" w:rsidP="000F063D">
      <w:pPr>
        <w:pBdr>
          <w:top w:val="nil"/>
          <w:left w:val="nil"/>
          <w:bottom w:val="nil"/>
          <w:right w:val="nil"/>
          <w:between w:val="nil"/>
        </w:pBdr>
        <w:spacing w:after="0" w:line="240" w:lineRule="auto"/>
        <w:ind w:left="1080" w:right="618"/>
        <w:jc w:val="both"/>
        <w:rPr>
          <w:rFonts w:ascii="Palatino Linotype" w:eastAsia="Palatino Linotype" w:hAnsi="Palatino Linotype" w:cs="Palatino Linotype"/>
          <w:i/>
          <w:color w:val="000000"/>
        </w:rPr>
      </w:pPr>
      <w:r w:rsidRPr="000F063D">
        <w:rPr>
          <w:rFonts w:ascii="Palatino Linotype" w:eastAsia="Palatino Linotype" w:hAnsi="Palatino Linotype" w:cs="Palatino Linotype"/>
          <w:i/>
          <w:color w:val="000000"/>
        </w:rPr>
        <w:t>En el supuesto que la información ordenada en el inciso 3)  no obre en los archivos del</w:t>
      </w:r>
      <w:r>
        <w:rPr>
          <w:rFonts w:ascii="Palatino Linotype" w:eastAsia="Palatino Linotype" w:hAnsi="Palatino Linotype" w:cs="Palatino Linotype"/>
          <w:i/>
          <w:color w:val="000000"/>
        </w:rPr>
        <w:t xml:space="preserve"> </w:t>
      </w:r>
      <w:r w:rsidRPr="000F063D">
        <w:rPr>
          <w:rFonts w:ascii="Palatino Linotype" w:eastAsia="Palatino Linotype" w:hAnsi="Palatino Linotype" w:cs="Palatino Linotype"/>
          <w:i/>
          <w:color w:val="000000"/>
        </w:rPr>
        <w:t>Sujeto Obligado por no haberse generado, bastará con q</w:t>
      </w:r>
      <w:r>
        <w:rPr>
          <w:rFonts w:ascii="Palatino Linotype" w:eastAsia="Palatino Linotype" w:hAnsi="Palatino Linotype" w:cs="Palatino Linotype"/>
          <w:i/>
          <w:color w:val="000000"/>
        </w:rPr>
        <w:t xml:space="preserve">ue así lo haga del conocimiento </w:t>
      </w:r>
      <w:r w:rsidRPr="000F063D">
        <w:rPr>
          <w:rFonts w:ascii="Palatino Linotype" w:eastAsia="Palatino Linotype" w:hAnsi="Palatino Linotype" w:cs="Palatino Linotype"/>
          <w:i/>
          <w:color w:val="000000"/>
        </w:rPr>
        <w:t>de la parte Recurrente, de manera fundada y motivad</w:t>
      </w:r>
      <w:r>
        <w:rPr>
          <w:rFonts w:ascii="Palatino Linotype" w:eastAsia="Palatino Linotype" w:hAnsi="Palatino Linotype" w:cs="Palatino Linotype"/>
          <w:i/>
          <w:color w:val="000000"/>
        </w:rPr>
        <w:t xml:space="preserve">a, en términos del artículo 19, </w:t>
      </w:r>
      <w:r w:rsidRPr="000F063D">
        <w:rPr>
          <w:rFonts w:ascii="Palatino Linotype" w:eastAsia="Palatino Linotype" w:hAnsi="Palatino Linotype" w:cs="Palatino Linotype"/>
          <w:i/>
          <w:color w:val="000000"/>
        </w:rPr>
        <w:t>párrafo segundo de la Ley de Transparencia y Acceso a la</w:t>
      </w:r>
      <w:r>
        <w:rPr>
          <w:rFonts w:ascii="Palatino Linotype" w:eastAsia="Palatino Linotype" w:hAnsi="Palatino Linotype" w:cs="Palatino Linotype"/>
          <w:i/>
          <w:color w:val="000000"/>
        </w:rPr>
        <w:t xml:space="preserve"> Información Pública del Estado </w:t>
      </w:r>
      <w:r w:rsidRPr="000F063D">
        <w:rPr>
          <w:rFonts w:ascii="Palatino Linotype" w:eastAsia="Palatino Linotype" w:hAnsi="Palatino Linotype" w:cs="Palatino Linotype"/>
          <w:i/>
          <w:color w:val="000000"/>
        </w:rPr>
        <w:t>de México y Municipios, para tener por colmado el requerimiento de información.</w:t>
      </w:r>
    </w:p>
    <w:p w:rsidR="006D6770" w:rsidRDefault="006D6770">
      <w:pPr>
        <w:pBdr>
          <w:top w:val="nil"/>
          <w:left w:val="nil"/>
          <w:bottom w:val="nil"/>
          <w:right w:val="nil"/>
          <w:between w:val="nil"/>
        </w:pBdr>
        <w:spacing w:after="0" w:line="240" w:lineRule="auto"/>
        <w:ind w:left="1440" w:right="618"/>
        <w:jc w:val="both"/>
        <w:rPr>
          <w:rFonts w:ascii="Palatino Linotype" w:eastAsia="Palatino Linotype" w:hAnsi="Palatino Linotype" w:cs="Palatino Linotype"/>
          <w:i/>
          <w:color w:val="FF0000"/>
        </w:rPr>
      </w:pPr>
    </w:p>
    <w:p w:rsidR="006D6770" w:rsidRDefault="007F6E0E">
      <w:pPr>
        <w:numPr>
          <w:ilvl w:val="0"/>
          <w:numId w:val="3"/>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Razones del Voto Particular.</w:t>
      </w:r>
    </w:p>
    <w:p w:rsidR="006D6770" w:rsidRDefault="006D6770">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color w:val="000000"/>
          <w:sz w:val="24"/>
          <w:szCs w:val="24"/>
        </w:rPr>
      </w:pPr>
    </w:p>
    <w:p w:rsidR="006D6770" w:rsidRDefault="007F6E0E">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importante señalar que se comparte el sentido de la resolución, ya que del análisis de las constancias que conforman el expediente electrónico, se desprendió que la información solicitada es susceptible de transparentarse pues se encuentra </w:t>
      </w:r>
      <w:r>
        <w:rPr>
          <w:rFonts w:ascii="Palatino Linotype" w:eastAsia="Palatino Linotype" w:hAnsi="Palatino Linotype" w:cs="Palatino Linotype"/>
          <w:sz w:val="24"/>
          <w:szCs w:val="24"/>
        </w:rPr>
        <w:lastRenderedPageBreak/>
        <w:t>relacionada con la gestión pública y con su publicidad se favorece indudablemente a la rendición de cuentas.</w:t>
      </w:r>
    </w:p>
    <w:p w:rsidR="006D6770" w:rsidRDefault="007F6E0E">
      <w:pPr>
        <w:spacing w:after="0" w:line="360" w:lineRule="auto"/>
        <w:ind w:right="140"/>
        <w:jc w:val="both"/>
        <w:rPr>
          <w:rFonts w:ascii="Palatino Linotype" w:eastAsia="Palatino Linotype" w:hAnsi="Palatino Linotype" w:cs="Palatino Linotype"/>
          <w:sz w:val="24"/>
          <w:szCs w:val="24"/>
          <w:highlight w:val="yellow"/>
        </w:rPr>
      </w:pPr>
      <w:bookmarkStart w:id="2" w:name="_heading=h.qm75ttwndlsp" w:colFirst="0" w:colLast="0"/>
      <w:bookmarkEnd w:id="2"/>
      <w:r>
        <w:rPr>
          <w:rFonts w:ascii="Palatino Linotype" w:eastAsia="Palatino Linotype" w:hAnsi="Palatino Linotype" w:cs="Palatino Linotype"/>
          <w:sz w:val="24"/>
          <w:szCs w:val="24"/>
          <w:highlight w:val="yellow"/>
        </w:rPr>
        <w:t xml:space="preserve"> </w:t>
      </w:r>
    </w:p>
    <w:p w:rsidR="006D6770" w:rsidRDefault="007F6E0E">
      <w:pPr>
        <w:spacing w:after="0" w:line="360" w:lineRule="auto"/>
        <w:jc w:val="both"/>
        <w:rPr>
          <w:rFonts w:ascii="Palatino Linotype" w:eastAsia="Palatino Linotype" w:hAnsi="Palatino Linotype" w:cs="Palatino Linotype"/>
          <w:sz w:val="24"/>
          <w:szCs w:val="24"/>
        </w:rPr>
      </w:pPr>
      <w:bookmarkStart w:id="3" w:name="_heading=h.8tpo2lq3zlzj" w:colFirst="0" w:colLast="0"/>
      <w:bookmarkEnd w:id="3"/>
      <w:r>
        <w:rPr>
          <w:rFonts w:ascii="Palatino Linotype" w:eastAsia="Palatino Linotype" w:hAnsi="Palatino Linotype" w:cs="Palatino Linotype"/>
          <w:sz w:val="24"/>
          <w:szCs w:val="24"/>
        </w:rPr>
        <w:t xml:space="preserve">Sin embargo, es preciso mencionar que, el presente voto se formula con relación al </w:t>
      </w:r>
      <w:r>
        <w:rPr>
          <w:rFonts w:ascii="Palatino Linotype" w:eastAsia="Palatino Linotype" w:hAnsi="Palatino Linotype" w:cs="Palatino Linotype"/>
          <w:color w:val="000000"/>
          <w:sz w:val="24"/>
          <w:szCs w:val="24"/>
        </w:rPr>
        <w:t xml:space="preserve">argumento respecto a que  </w:t>
      </w:r>
      <w:r>
        <w:rPr>
          <w:rFonts w:ascii="Palatino Linotype" w:eastAsia="Palatino Linotype" w:hAnsi="Palatino Linotype" w:cs="Palatino Linotype"/>
          <w:sz w:val="24"/>
          <w:szCs w:val="24"/>
        </w:rPr>
        <w:t xml:space="preserve">la fotografía de los servidores públicos sin importar el nivel o cargo y en cualquier documento que se encuentre vinculado con el cumplimiento de disposiciones legales debe ser pública. </w:t>
      </w:r>
    </w:p>
    <w:p w:rsidR="006D6770" w:rsidRDefault="006D6770">
      <w:pPr>
        <w:spacing w:after="0" w:line="360" w:lineRule="auto"/>
        <w:jc w:val="both"/>
        <w:rPr>
          <w:rFonts w:ascii="Palatino Linotype" w:eastAsia="Palatino Linotype" w:hAnsi="Palatino Linotype" w:cs="Palatino Linotype"/>
          <w:sz w:val="24"/>
          <w:szCs w:val="24"/>
        </w:rPr>
      </w:pPr>
    </w:p>
    <w:p w:rsidR="006D6770" w:rsidRDefault="007F6E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dentro de la resolución se consideró lo siguiente:</w:t>
      </w:r>
    </w:p>
    <w:p w:rsidR="006D6770" w:rsidRDefault="006D6770">
      <w:pPr>
        <w:spacing w:after="0" w:line="360" w:lineRule="auto"/>
        <w:jc w:val="both"/>
        <w:rPr>
          <w:rFonts w:ascii="Palatino Linotype" w:eastAsia="Palatino Linotype" w:hAnsi="Palatino Linotype" w:cs="Palatino Linotype"/>
          <w:sz w:val="24"/>
          <w:szCs w:val="24"/>
        </w:rPr>
      </w:pPr>
    </w:p>
    <w:p w:rsidR="006D6770" w:rsidRDefault="007F6E0E">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Por otro lado, respecto a la fotografía es de señalar que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rsidR="006D6770" w:rsidRDefault="006D6770">
      <w:pPr>
        <w:spacing w:after="0" w:line="276" w:lineRule="auto"/>
        <w:ind w:left="851" w:right="902"/>
        <w:jc w:val="both"/>
        <w:rPr>
          <w:rFonts w:ascii="Palatino Linotype" w:eastAsia="Palatino Linotype" w:hAnsi="Palatino Linotype" w:cs="Palatino Linotype"/>
          <w:i/>
        </w:rPr>
      </w:pPr>
    </w:p>
    <w:p w:rsidR="006D6770" w:rsidRDefault="007F6E0E">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Bajo este orden de ideas, la entrega con el mayor número de elementos en los documentos que acreditan el nivel académico o de preparación en algún área del conocimiento, aporta elementos de convicción sobre su legalidad y legitimidad, además de que permite verificar que los servidores públicos que ocupan cargos en la administración pública, acreditaron el nivel académico que ostentan y en </w:t>
      </w:r>
      <w:r>
        <w:rPr>
          <w:rFonts w:ascii="Palatino Linotype" w:eastAsia="Palatino Linotype" w:hAnsi="Palatino Linotype" w:cs="Palatino Linotype"/>
          <w:i/>
        </w:rPr>
        <w:lastRenderedPageBreak/>
        <w:t>muchas ocasiones esta información también permite verificar su idoneidad para el cargo.</w:t>
      </w:r>
    </w:p>
    <w:p w:rsidR="006D6770" w:rsidRDefault="006D6770">
      <w:pPr>
        <w:spacing w:after="0" w:line="276" w:lineRule="auto"/>
        <w:ind w:left="851" w:right="902"/>
        <w:jc w:val="both"/>
        <w:rPr>
          <w:rFonts w:ascii="Palatino Linotype" w:eastAsia="Palatino Linotype" w:hAnsi="Palatino Linotype" w:cs="Palatino Linotype"/>
          <w:i/>
        </w:rPr>
      </w:pPr>
    </w:p>
    <w:p w:rsidR="006D6770" w:rsidRDefault="007F6E0E">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rsidR="006D6770" w:rsidRDefault="006D6770">
      <w:pPr>
        <w:spacing w:after="0" w:line="276" w:lineRule="auto"/>
        <w:ind w:left="851" w:right="902"/>
        <w:jc w:val="both"/>
        <w:rPr>
          <w:rFonts w:ascii="Palatino Linotype" w:eastAsia="Palatino Linotype" w:hAnsi="Palatino Linotype" w:cs="Palatino Linotype"/>
          <w:i/>
        </w:rPr>
      </w:pPr>
    </w:p>
    <w:p w:rsidR="006D6770" w:rsidRDefault="007F6E0E">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“Fotografía en título o cédula profesional es de acceso público.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6D6770" w:rsidRDefault="006D6770">
      <w:pPr>
        <w:spacing w:after="0" w:line="276" w:lineRule="auto"/>
        <w:ind w:left="851" w:right="902"/>
        <w:jc w:val="both"/>
        <w:rPr>
          <w:rFonts w:ascii="Palatino Linotype" w:eastAsia="Palatino Linotype" w:hAnsi="Palatino Linotype" w:cs="Palatino Linotype"/>
          <w:i/>
        </w:rPr>
      </w:pPr>
    </w:p>
    <w:p w:rsidR="006D6770" w:rsidRDefault="007F6E0E">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u w:val="single"/>
        </w:rPr>
        <w:t>Conforme al criterio establecido, se podría mencionar que la fotografía de cualquier persona que se encuentre en un título o cédula profesional, no es confidencial; p</w:t>
      </w:r>
      <w:r>
        <w:rPr>
          <w:rFonts w:ascii="Palatino Linotype" w:eastAsia="Palatino Linotype" w:hAnsi="Palatino Linotype" w:cs="Palatino Linotype"/>
          <w:i/>
        </w:rPr>
        <w:t>or lo que, dicho dato, para cualquier documento que acredite el nivel de estudios de servidores públicos, tampoco podría considerarse clasificado, pues permite conocer a la ciudadanía de manera clara al trabajador que se ostenta con una calidad profesional específica;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rsidR="006D6770" w:rsidRDefault="006D6770">
      <w:pPr>
        <w:spacing w:after="0" w:line="276" w:lineRule="auto"/>
        <w:ind w:left="851" w:right="902"/>
        <w:jc w:val="both"/>
        <w:rPr>
          <w:rFonts w:ascii="Palatino Linotype" w:eastAsia="Palatino Linotype" w:hAnsi="Palatino Linotype" w:cs="Palatino Linotype"/>
          <w:i/>
        </w:rPr>
      </w:pPr>
    </w:p>
    <w:p w:rsidR="006D6770" w:rsidRDefault="007F6E0E">
      <w:pPr>
        <w:spacing w:after="0" w:line="276" w:lineRule="auto"/>
        <w:ind w:left="851" w:right="902"/>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En ese orden de ideas, el actuar de los servidores públicos incide de manera específica en los derechos de los particulares, pues el acto realizado por un </w:t>
      </w:r>
      <w:r>
        <w:rPr>
          <w:rFonts w:ascii="Palatino Linotype" w:eastAsia="Palatino Linotype" w:hAnsi="Palatino Linotype" w:cs="Palatino Linotype"/>
          <w:i/>
        </w:rPr>
        <w:lastRenderedPageBreak/>
        <w:t>trabajador gubernamental en ejercicio de sus funciones, genera derechos y obligaciones, al ser de carácter administrativo, en este sentido, todas las fotografías de los servidores públicos, sin importar su cargo o puesto, es un dato personal, que no puede ser clasificado como confidencial, pues existe un interés público de conocer si en realidad, la persona que se ostenta como trabajador gubernamental, se encuentra en ese encargo; sin que se considere como factor diferenciador el cargo o nivel jerárquico en el que se desempeñe el servidor público.”</w:t>
      </w:r>
    </w:p>
    <w:p w:rsidR="006D6770" w:rsidRDefault="006D6770">
      <w:pPr>
        <w:spacing w:after="0" w:line="360" w:lineRule="auto"/>
        <w:jc w:val="both"/>
        <w:rPr>
          <w:rFonts w:ascii="Palatino Linotype" w:eastAsia="Palatino Linotype" w:hAnsi="Palatino Linotype" w:cs="Palatino Linotype"/>
          <w:sz w:val="24"/>
          <w:szCs w:val="24"/>
        </w:rPr>
      </w:pPr>
    </w:p>
    <w:p w:rsidR="006D6770" w:rsidRDefault="007F6E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puede advertir, en el criterio de la mayoría no se distingue el nivel o cargo que ostente el servidor público. Sin embargo, desde la óptica de las que suscriben la fotografía de éstos,</w:t>
      </w:r>
      <w:r>
        <w:rPr>
          <w:rFonts w:ascii="Palatino Linotype" w:eastAsia="Palatino Linotype" w:hAnsi="Palatino Linotype" w:cs="Palatino Linotype"/>
        </w:rPr>
        <w:t xml:space="preserve"> </w:t>
      </w:r>
      <w:r>
        <w:rPr>
          <w:rFonts w:ascii="Palatino Linotype" w:eastAsia="Palatino Linotype" w:hAnsi="Palatino Linotype" w:cs="Palatino Linotype"/>
          <w:sz w:val="24"/>
          <w:szCs w:val="24"/>
        </w:rPr>
        <w:t>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6D6770" w:rsidRDefault="006D6770">
      <w:pPr>
        <w:spacing w:after="0" w:line="360" w:lineRule="auto"/>
        <w:jc w:val="both"/>
        <w:rPr>
          <w:rFonts w:ascii="Palatino Linotype" w:eastAsia="Palatino Linotype" w:hAnsi="Palatino Linotype" w:cs="Palatino Linotype"/>
          <w:sz w:val="24"/>
          <w:szCs w:val="24"/>
        </w:rPr>
      </w:pPr>
    </w:p>
    <w:p w:rsidR="006D6770" w:rsidRDefault="007F6E0E">
      <w:pPr>
        <w:spacing w:before="24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en lo que respecta a los servidores públicos existen funciones que por su naturaleza pueden ser de un mayor interés público, es decir, aquellas que tienen </w:t>
      </w:r>
      <w:r>
        <w:rPr>
          <w:rFonts w:ascii="Palatino Linotype" w:eastAsia="Palatino Linotype" w:hAnsi="Palatino Linotype" w:cs="Palatino Linotype"/>
          <w:sz w:val="24"/>
          <w:szCs w:val="24"/>
        </w:rPr>
        <w:lastRenderedPageBreak/>
        <w:t>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rsidR="006D6770" w:rsidRDefault="006D6770">
      <w:pPr>
        <w:spacing w:after="0" w:line="360" w:lineRule="auto"/>
        <w:jc w:val="both"/>
        <w:rPr>
          <w:rFonts w:ascii="Palatino Linotype" w:eastAsia="Palatino Linotype" w:hAnsi="Palatino Linotype" w:cs="Palatino Linotype"/>
          <w:sz w:val="24"/>
          <w:szCs w:val="24"/>
        </w:rPr>
      </w:pPr>
    </w:p>
    <w:p w:rsidR="006D6770" w:rsidRDefault="007F6E0E">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 suscrita considera que se debe dejar visible su fotografía, pues hacer pública la imagen de éstos puede contribuir a la transparencia y la rendición de cuentas, al  permitir a la ciudadanía identifique a los funcionarios que toman decisiones importantes en su nombre.</w:t>
      </w:r>
    </w:p>
    <w:p w:rsidR="006D6770" w:rsidRDefault="006D6770">
      <w:pPr>
        <w:spacing w:after="0" w:line="360" w:lineRule="auto"/>
        <w:ind w:right="140"/>
        <w:jc w:val="both"/>
        <w:rPr>
          <w:rFonts w:ascii="Palatino Linotype" w:eastAsia="Palatino Linotype" w:hAnsi="Palatino Linotype" w:cs="Palatino Linotype"/>
          <w:sz w:val="24"/>
          <w:szCs w:val="24"/>
        </w:rPr>
      </w:pPr>
    </w:p>
    <w:p w:rsidR="000F063D" w:rsidRDefault="007F6E0E" w:rsidP="000F063D">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Sin embargo, en la resolución se estipuló que </w:t>
      </w:r>
      <w:r w:rsidR="000F063D">
        <w:rPr>
          <w:rFonts w:ascii="Palatino Linotype" w:eastAsia="Palatino Linotype" w:hAnsi="Palatino Linotype" w:cs="Palatino Linotype"/>
          <w:sz w:val="24"/>
          <w:szCs w:val="24"/>
        </w:rPr>
        <w:t xml:space="preserve">todas las </w:t>
      </w:r>
      <w:r w:rsidR="000F063D" w:rsidRPr="000F063D">
        <w:rPr>
          <w:rFonts w:ascii="Palatino Linotype" w:eastAsia="Palatino Linotype" w:hAnsi="Palatino Linotype" w:cs="Palatino Linotype"/>
          <w:sz w:val="24"/>
          <w:szCs w:val="24"/>
        </w:rPr>
        <w:t>fotografías de los servidores públicos, sin importa</w:t>
      </w:r>
      <w:r w:rsidR="000F063D">
        <w:rPr>
          <w:rFonts w:ascii="Palatino Linotype" w:eastAsia="Palatino Linotype" w:hAnsi="Palatino Linotype" w:cs="Palatino Linotype"/>
          <w:sz w:val="24"/>
          <w:szCs w:val="24"/>
        </w:rPr>
        <w:t xml:space="preserve">r su cargo o puesto, es un dato </w:t>
      </w:r>
      <w:r w:rsidR="000F063D" w:rsidRPr="000F063D">
        <w:rPr>
          <w:rFonts w:ascii="Palatino Linotype" w:eastAsia="Palatino Linotype" w:hAnsi="Palatino Linotype" w:cs="Palatino Linotype"/>
          <w:sz w:val="24"/>
          <w:szCs w:val="24"/>
        </w:rPr>
        <w:t>personal, que no puede ser clasificado como confidencial,</w:t>
      </w:r>
      <w:r w:rsidR="000F063D">
        <w:rPr>
          <w:rFonts w:ascii="Palatino Linotype" w:eastAsia="Palatino Linotype" w:hAnsi="Palatino Linotype" w:cs="Palatino Linotype"/>
          <w:sz w:val="24"/>
          <w:szCs w:val="24"/>
        </w:rPr>
        <w:t xml:space="preserve"> </w:t>
      </w:r>
      <w:r w:rsidR="000F063D" w:rsidRPr="000F063D">
        <w:rPr>
          <w:rFonts w:ascii="Palatino Linotype" w:eastAsia="Palatino Linotype" w:hAnsi="Palatino Linotype" w:cs="Palatino Linotype"/>
          <w:sz w:val="24"/>
          <w:szCs w:val="24"/>
        </w:rPr>
        <w:t>pues e</w:t>
      </w:r>
      <w:r w:rsidR="000F063D">
        <w:rPr>
          <w:rFonts w:ascii="Palatino Linotype" w:eastAsia="Palatino Linotype" w:hAnsi="Palatino Linotype" w:cs="Palatino Linotype"/>
          <w:sz w:val="24"/>
          <w:szCs w:val="24"/>
        </w:rPr>
        <w:t xml:space="preserve">xiste un interés </w:t>
      </w:r>
      <w:r w:rsidR="000F063D" w:rsidRPr="000F063D">
        <w:rPr>
          <w:rFonts w:ascii="Palatino Linotype" w:eastAsia="Palatino Linotype" w:hAnsi="Palatino Linotype" w:cs="Palatino Linotype"/>
          <w:sz w:val="24"/>
          <w:szCs w:val="24"/>
        </w:rPr>
        <w:t>público de conocer si en realidad, la persona</w:t>
      </w:r>
      <w:r w:rsidR="000F063D">
        <w:rPr>
          <w:rFonts w:ascii="Palatino Linotype" w:eastAsia="Palatino Linotype" w:hAnsi="Palatino Linotype" w:cs="Palatino Linotype"/>
          <w:sz w:val="24"/>
          <w:szCs w:val="24"/>
        </w:rPr>
        <w:t xml:space="preserve"> que se ostenta como trabajador </w:t>
      </w:r>
      <w:r w:rsidR="000F063D" w:rsidRPr="000F063D">
        <w:rPr>
          <w:rFonts w:ascii="Palatino Linotype" w:eastAsia="Palatino Linotype" w:hAnsi="Palatino Linotype" w:cs="Palatino Linotype"/>
          <w:sz w:val="24"/>
          <w:szCs w:val="24"/>
        </w:rPr>
        <w:t>gubernamental, se encuentra en ese encargo; s</w:t>
      </w:r>
      <w:r w:rsidR="000F063D">
        <w:rPr>
          <w:rFonts w:ascii="Palatino Linotype" w:eastAsia="Palatino Linotype" w:hAnsi="Palatino Linotype" w:cs="Palatino Linotype"/>
          <w:sz w:val="24"/>
          <w:szCs w:val="24"/>
        </w:rPr>
        <w:t xml:space="preserve">in que se considere como factor </w:t>
      </w:r>
      <w:r w:rsidR="000F063D" w:rsidRPr="000F063D">
        <w:rPr>
          <w:rFonts w:ascii="Palatino Linotype" w:eastAsia="Palatino Linotype" w:hAnsi="Palatino Linotype" w:cs="Palatino Linotype"/>
          <w:sz w:val="24"/>
          <w:szCs w:val="24"/>
        </w:rPr>
        <w:t xml:space="preserve">diferenciador el cargo o nivel jerárquico en </w:t>
      </w:r>
      <w:r w:rsidR="000F063D">
        <w:rPr>
          <w:rFonts w:ascii="Palatino Linotype" w:eastAsia="Palatino Linotype" w:hAnsi="Palatino Linotype" w:cs="Palatino Linotype"/>
          <w:sz w:val="24"/>
          <w:szCs w:val="24"/>
        </w:rPr>
        <w:t xml:space="preserve">el que se desempeñe el servidor </w:t>
      </w:r>
      <w:r w:rsidR="000F063D" w:rsidRPr="000F063D">
        <w:rPr>
          <w:rFonts w:ascii="Palatino Linotype" w:eastAsia="Palatino Linotype" w:hAnsi="Palatino Linotype" w:cs="Palatino Linotype"/>
          <w:sz w:val="24"/>
          <w:szCs w:val="24"/>
        </w:rPr>
        <w:t>público.</w:t>
      </w:r>
    </w:p>
    <w:p w:rsidR="000F063D" w:rsidRDefault="000F063D">
      <w:pPr>
        <w:tabs>
          <w:tab w:val="left" w:pos="4962"/>
        </w:tabs>
        <w:spacing w:after="0" w:line="360" w:lineRule="auto"/>
        <w:jc w:val="both"/>
        <w:rPr>
          <w:rFonts w:ascii="Palatino Linotype" w:eastAsia="Palatino Linotype" w:hAnsi="Palatino Linotype" w:cs="Palatino Linotype"/>
          <w:sz w:val="24"/>
          <w:szCs w:val="24"/>
        </w:rPr>
      </w:pPr>
    </w:p>
    <w:p w:rsidR="006D6770" w:rsidRDefault="007F6E0E">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Acceso a la Información Pública del Estado de México y Municipios, argumento que no comparto,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se ha expresado con anterioridad, en algunos casos, el interés público de hacer pública la imagen de un servidor público puede justificar la limitación de su derecho a la privacidad, pero esto debe evaluarse cuidadosamente en cada caso y no ser la regla general.</w:t>
      </w:r>
    </w:p>
    <w:p w:rsidR="004E0FE9" w:rsidRDefault="004E0FE9">
      <w:pPr>
        <w:tabs>
          <w:tab w:val="left" w:pos="4962"/>
        </w:tabs>
        <w:spacing w:after="0" w:line="360" w:lineRule="auto"/>
        <w:jc w:val="both"/>
        <w:rPr>
          <w:rFonts w:ascii="Palatino Linotype" w:eastAsia="Palatino Linotype" w:hAnsi="Palatino Linotype" w:cs="Palatino Linotype"/>
          <w:sz w:val="24"/>
          <w:szCs w:val="24"/>
        </w:rPr>
      </w:pPr>
    </w:p>
    <w:p w:rsidR="006D6770" w:rsidRDefault="007F6E0E">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caso de los documentos que dan cuenta del grado de estudios, por ejemplo, acreditan ante la ciudadanía que el servidor público </w:t>
      </w:r>
      <w:r>
        <w:rPr>
          <w:rFonts w:ascii="Palatino Linotype" w:eastAsia="Palatino Linotype" w:hAnsi="Palatino Linotype" w:cs="Palatino Linotype"/>
          <w:b/>
          <w:sz w:val="24"/>
          <w:szCs w:val="24"/>
          <w:u w:val="single"/>
        </w:rPr>
        <w:t>posee los conocimientos propios de su profesión.</w:t>
      </w:r>
      <w:r>
        <w:rPr>
          <w:rFonts w:ascii="Palatino Linotype" w:eastAsia="Palatino Linotype" w:hAnsi="Palatino Linotype" w:cs="Palatino Linotype"/>
          <w:sz w:val="24"/>
          <w:szCs w:val="24"/>
        </w:rPr>
        <w:t xml:space="preserve"> Por lo que, </w:t>
      </w:r>
      <w:r>
        <w:rPr>
          <w:rFonts w:ascii="Palatino Linotype" w:eastAsia="Palatino Linotype" w:hAnsi="Palatino Linotype" w:cs="Palatino Linotype"/>
          <w:b/>
          <w:sz w:val="24"/>
          <w:szCs w:val="24"/>
          <w:u w:val="single"/>
        </w:rPr>
        <w:t>su finalidad no es acreditar la identidad de su titular</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ya que para ello, se generan documentos específicos. </w:t>
      </w:r>
    </w:p>
    <w:p w:rsidR="006D6770" w:rsidRDefault="006D6770">
      <w:pPr>
        <w:tabs>
          <w:tab w:val="left" w:pos="4962"/>
        </w:tabs>
        <w:spacing w:after="0" w:line="360" w:lineRule="auto"/>
        <w:jc w:val="both"/>
        <w:rPr>
          <w:rFonts w:ascii="Palatino Linotype" w:eastAsia="Palatino Linotype" w:hAnsi="Palatino Linotype" w:cs="Palatino Linotype"/>
          <w:sz w:val="24"/>
          <w:szCs w:val="24"/>
        </w:rPr>
      </w:pPr>
    </w:p>
    <w:p w:rsidR="006D6770" w:rsidRDefault="007F6E0E">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es importante señalar que los objetivos de la transparencia se alcanzan al momento de permitir el acceso a los documentos,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D6770" w:rsidRDefault="007F6E0E">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Lo anterior se estima así, dado que el acceso a determinados documentos que contengan el dato materia de análisis,  aun clasificado, daría cuenta de lo que en realidad se pretende transparentar, como lo es, por ejemplo, la preparación académica, que se refleja en la toma de decisiones para el óptimo desempeño de las funciones para las cuales fueron designados, la idoneidad para ocupar un cargo, el cumplimiento de requisitos legales, entre otros aspectos, pues el hecho de clasificar la fotografía no le resta validez a los documentos para los fines señalados.</w:t>
      </w:r>
    </w:p>
    <w:p w:rsidR="006D6770" w:rsidRDefault="006D6770">
      <w:pPr>
        <w:tabs>
          <w:tab w:val="left" w:pos="4962"/>
        </w:tabs>
        <w:spacing w:after="0" w:line="360" w:lineRule="auto"/>
        <w:jc w:val="both"/>
        <w:rPr>
          <w:rFonts w:ascii="Palatino Linotype" w:eastAsia="Palatino Linotype" w:hAnsi="Palatino Linotype" w:cs="Palatino Linotype"/>
          <w:sz w:val="24"/>
          <w:szCs w:val="24"/>
        </w:rPr>
      </w:pPr>
    </w:p>
    <w:p w:rsidR="006D6770" w:rsidRDefault="007F6E0E">
      <w:pPr>
        <w:tabs>
          <w:tab w:val="left" w:pos="4962"/>
        </w:tabs>
        <w:spacing w:after="0" w:line="360" w:lineRule="auto"/>
        <w:jc w:val="both"/>
        <w:rPr>
          <w:rFonts w:ascii="Palatino Linotype" w:eastAsia="Palatino Linotype" w:hAnsi="Palatino Linotype" w:cs="Palatino Linotype"/>
          <w:sz w:val="24"/>
          <w:szCs w:val="24"/>
        </w:rPr>
        <w:sectPr w:rsidR="006D6770">
          <w:headerReference w:type="default" r:id="rId8"/>
          <w:footerReference w:type="default" r:id="rId9"/>
          <w:pgSz w:w="12240" w:h="15840"/>
          <w:pgMar w:top="2438" w:right="1701" w:bottom="2778" w:left="1701" w:header="1134" w:footer="1134" w:gutter="0"/>
          <w:pgNumType w:start="1"/>
          <w:cols w:space="720"/>
        </w:sectPr>
      </w:pPr>
      <w:r>
        <w:rPr>
          <w:rFonts w:ascii="Palatino Linotype" w:eastAsia="Palatino Linotype" w:hAnsi="Palatino Linotype" w:cs="Palatino Linotype"/>
          <w:sz w:val="24"/>
          <w:szCs w:val="24"/>
        </w:rPr>
        <w:t xml:space="preserve">Es por las razones antes expuestas que no se comparte este punto del estudio de la resolución dictada, y, por ende se emite el presente </w:t>
      </w:r>
      <w:r>
        <w:rPr>
          <w:rFonts w:ascii="Palatino Linotype" w:eastAsia="Palatino Linotype" w:hAnsi="Palatino Linotype" w:cs="Palatino Linotype"/>
          <w:b/>
          <w:sz w:val="24"/>
          <w:szCs w:val="24"/>
        </w:rPr>
        <w:t xml:space="preserve">Voto Particular pues se considera que </w:t>
      </w:r>
      <w:r>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o no tengan atención al público</w:t>
      </w:r>
      <w:r>
        <w:rPr>
          <w:rFonts w:ascii="Palatino Linotype" w:eastAsia="Palatino Linotype" w:hAnsi="Palatino Linotype" w:cs="Palatino Linotype"/>
          <w:sz w:val="24"/>
          <w:szCs w:val="24"/>
        </w:rPr>
        <w:t>,  por tanto, se estima que se actualiza la causal de clasificación establecida en el artículo 143, fracción I, de la Ley de la Ley de Transparencia y Acceso a la Información Pública del Estado de México y Municipio.</w:t>
      </w:r>
    </w:p>
    <w:p w:rsidR="006D6770" w:rsidRDefault="006D6770">
      <w:pPr>
        <w:spacing w:after="120" w:line="276" w:lineRule="auto"/>
        <w:ind w:right="902"/>
        <w:jc w:val="both"/>
        <w:rPr>
          <w:b/>
          <w:sz w:val="24"/>
          <w:szCs w:val="24"/>
        </w:rPr>
      </w:pPr>
      <w:bookmarkStart w:id="4" w:name="_heading=h.30j0zll" w:colFirst="0" w:colLast="0"/>
      <w:bookmarkEnd w:id="4"/>
    </w:p>
    <w:p w:rsidR="006D6770" w:rsidRDefault="006D6770"/>
    <w:p w:rsidR="006D6770" w:rsidRDefault="006D6770"/>
    <w:p w:rsidR="006D6770" w:rsidRDefault="006D6770">
      <w:bookmarkStart w:id="5" w:name="_GoBack"/>
      <w:bookmarkEnd w:id="5"/>
    </w:p>
    <w:sectPr w:rsidR="006D6770">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0E" w:rsidRDefault="007F6E0E">
      <w:pPr>
        <w:spacing w:after="0" w:line="240" w:lineRule="auto"/>
      </w:pPr>
      <w:r>
        <w:separator/>
      </w:r>
    </w:p>
  </w:endnote>
  <w:endnote w:type="continuationSeparator" w:id="0">
    <w:p w:rsidR="007F6E0E" w:rsidRDefault="007F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70" w:rsidRDefault="007F6E0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CF36AB">
      <w:rPr>
        <w:rFonts w:ascii="Times New Roman" w:eastAsia="Times New Roman" w:hAnsi="Times New Roman" w:cs="Times New Roman"/>
        <w:b/>
        <w:noProof/>
        <w:color w:val="000000"/>
        <w:sz w:val="20"/>
        <w:szCs w:val="20"/>
      </w:rPr>
      <w:t>12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CF36AB">
      <w:rPr>
        <w:rFonts w:ascii="Times New Roman" w:eastAsia="Times New Roman" w:hAnsi="Times New Roman" w:cs="Times New Roman"/>
        <w:b/>
        <w:noProof/>
        <w:color w:val="000000"/>
        <w:sz w:val="20"/>
        <w:szCs w:val="20"/>
      </w:rPr>
      <w:t>13</w:t>
    </w:r>
    <w:r>
      <w:rPr>
        <w:rFonts w:ascii="Times New Roman" w:eastAsia="Times New Roman" w:hAnsi="Times New Roman" w:cs="Times New Roman"/>
        <w:b/>
        <w:color w:val="000000"/>
        <w:sz w:val="20"/>
        <w:szCs w:val="20"/>
      </w:rPr>
      <w:fldChar w:fldCharType="end"/>
    </w:r>
  </w:p>
  <w:p w:rsidR="006D6770" w:rsidRDefault="006D677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0E" w:rsidRDefault="007F6E0E">
      <w:pPr>
        <w:spacing w:after="0" w:line="240" w:lineRule="auto"/>
      </w:pPr>
      <w:r>
        <w:separator/>
      </w:r>
    </w:p>
  </w:footnote>
  <w:footnote w:type="continuationSeparator" w:id="0">
    <w:p w:rsidR="007F6E0E" w:rsidRDefault="007F6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70" w:rsidRDefault="008220F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-584200</wp:posOffset>
          </wp:positionH>
          <wp:positionV relativeFrom="paragraph">
            <wp:posOffset>-746125</wp:posOffset>
          </wp:positionV>
          <wp:extent cx="7510628" cy="9883775"/>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7F6E0E">
      <w:rPr>
        <w:rFonts w:ascii="Palatino Linotype" w:eastAsia="Palatino Linotype" w:hAnsi="Palatino Linotype" w:cs="Palatino Linotype"/>
        <w:b/>
        <w:color w:val="000000"/>
        <w:sz w:val="20"/>
        <w:szCs w:val="20"/>
      </w:rPr>
      <w:t xml:space="preserve">VOTO PARTICULAR </w:t>
    </w:r>
  </w:p>
  <w:p w:rsidR="006D6770" w:rsidRDefault="007F6E0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04789/INFOEM/IP/RR/2023.</w:t>
    </w:r>
  </w:p>
  <w:p w:rsidR="006D6770" w:rsidRDefault="006D67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70" w:rsidRDefault="007F6E0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D6770" w:rsidRDefault="007F6E0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04789/INFOEM/IP/RR/2023.</w:t>
    </w:r>
  </w:p>
  <w:p w:rsidR="006D6770" w:rsidRDefault="007F6E0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0288" behindDoc="1" locked="0" layoutInCell="1" hidden="0" allowOverlap="1">
          <wp:simplePos x="0" y="0"/>
          <wp:positionH relativeFrom="column">
            <wp:posOffset>-1066796</wp:posOffset>
          </wp:positionH>
          <wp:positionV relativeFrom="paragraph">
            <wp:posOffset>-637536</wp:posOffset>
          </wp:positionV>
          <wp:extent cx="7510628" cy="988377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252C"/>
    <w:multiLevelType w:val="multilevel"/>
    <w:tmpl w:val="78BC39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5F4D39"/>
    <w:multiLevelType w:val="multilevel"/>
    <w:tmpl w:val="AD6A5D5A"/>
    <w:lvl w:ilvl="0">
      <w:start w:val="1"/>
      <w:numFmt w:val="decimal"/>
      <w:lvlText w:val="%1)"/>
      <w:lvlJc w:val="left"/>
      <w:pPr>
        <w:ind w:left="1440" w:hanging="360"/>
      </w:pPr>
      <w:rPr>
        <w:rFonts w:ascii="Palatino Linotype" w:eastAsia="Palatino Linotype" w:hAnsi="Palatino Linotype" w:cs="Palatino Linotyp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92B0E5D"/>
    <w:multiLevelType w:val="multilevel"/>
    <w:tmpl w:val="60EEEA8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7611BB"/>
    <w:multiLevelType w:val="multilevel"/>
    <w:tmpl w:val="DA8240B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70"/>
    <w:rsid w:val="000F063D"/>
    <w:rsid w:val="004E0FE9"/>
    <w:rsid w:val="006D6770"/>
    <w:rsid w:val="007F6E0E"/>
    <w:rsid w:val="008220F2"/>
    <w:rsid w:val="00CF3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A7726-599D-4393-81F7-4E3DF8F6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6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14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566"/>
    <w:rPr>
      <w:rFonts w:ascii="Calibri" w:eastAsia="Calibri" w:hAnsi="Calibri" w:cs="Calibri"/>
      <w:lang w:eastAsia="es-MX"/>
    </w:rPr>
  </w:style>
  <w:style w:type="paragraph" w:styleId="Piedepgina">
    <w:name w:val="footer"/>
    <w:basedOn w:val="Normal"/>
    <w:link w:val="PiedepginaCar"/>
    <w:uiPriority w:val="99"/>
    <w:unhideWhenUsed/>
    <w:rsid w:val="00214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566"/>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4566"/>
    <w:pPr>
      <w:spacing w:line="259" w:lineRule="auto"/>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14566"/>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PBs1mTjSyxC5D/IRZSJ6Dm30A==">CgMxLjAyCWguM3pueXNoNzIJaC4zMGowemxsMghoLmdqZGd4czIOaC5xbTc1dHR3bmRsc3AyDmguOHRwbzJscTN6bHpqMgloLjMwajB6bGw4AHIhMTlxTTl6WnNfc21yYk5Lai1mTS1kRHZXVWF5VmswdFp1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2927</Words>
  <Characters>16101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6</cp:revision>
  <cp:lastPrinted>2024-03-11T22:50:00Z</cp:lastPrinted>
  <dcterms:created xsi:type="dcterms:W3CDTF">2024-03-07T21:34:00Z</dcterms:created>
  <dcterms:modified xsi:type="dcterms:W3CDTF">2024-03-11T22:50:00Z</dcterms:modified>
</cp:coreProperties>
</file>