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28" w:rsidRPr="00E129F3" w:rsidRDefault="00E4098D">
      <w:pPr>
        <w:spacing w:before="240" w:after="240" w:line="360" w:lineRule="auto"/>
        <w:ind w:right="139"/>
        <w:jc w:val="both"/>
        <w:rPr>
          <w:rFonts w:ascii="Palatino Linotype" w:eastAsia="Palatino Linotype" w:hAnsi="Palatino Linotype" w:cs="Palatino Linotype"/>
          <w:b/>
          <w:sz w:val="24"/>
          <w:szCs w:val="24"/>
        </w:rPr>
      </w:pPr>
      <w:r w:rsidRPr="00E129F3">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Pr="00E129F3">
        <w:rPr>
          <w:rFonts w:ascii="Palatino Linotype" w:eastAsia="Palatino Linotype" w:hAnsi="Palatino Linotype" w:cs="Palatino Linotype"/>
          <w:b/>
          <w:sz w:val="24"/>
          <w:szCs w:val="24"/>
        </w:rPr>
        <w:t>CUARTA SESIÓN ORDINARIA CELEBRADA EL OCHO DE FEBRERO DE DOS MIL VEINTICUATRO, EN EL RECURSO DE REVISIÓN 07679/INFOEM/IP/RR/2023.</w:t>
      </w:r>
    </w:p>
    <w:p w:rsidR="00A14528" w:rsidRPr="00E129F3" w:rsidRDefault="00E4098D">
      <w:pPr>
        <w:spacing w:after="0" w:line="360" w:lineRule="auto"/>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Con fundamento en lo dispuesto por el artículo 14, fracciones X y XI, del Reglamento del Instituto de Transparencia, Acceso a l</w:t>
      </w:r>
      <w:r w:rsidRPr="00E129F3">
        <w:rPr>
          <w:rFonts w:ascii="Palatino Linotype" w:eastAsia="Palatino Linotype" w:hAnsi="Palatino Linotype" w:cs="Palatino Linotype"/>
          <w:sz w:val="24"/>
          <w:szCs w:val="24"/>
        </w:rPr>
        <w:t xml:space="preserve">a Información Pública y Protección de Datos Personales del Estado de México, la que suscribe </w:t>
      </w:r>
      <w:r w:rsidRPr="00E129F3">
        <w:rPr>
          <w:rFonts w:ascii="Palatino Linotype" w:eastAsia="Palatino Linotype" w:hAnsi="Palatino Linotype" w:cs="Palatino Linotype"/>
          <w:b/>
          <w:sz w:val="24"/>
          <w:szCs w:val="24"/>
        </w:rPr>
        <w:t>Guadalupe Ramírez Peña</w:t>
      </w:r>
      <w:r w:rsidRPr="00E129F3">
        <w:rPr>
          <w:rFonts w:ascii="Palatino Linotype" w:eastAsia="Palatino Linotype" w:hAnsi="Palatino Linotype" w:cs="Palatino Linotype"/>
          <w:sz w:val="24"/>
          <w:szCs w:val="24"/>
        </w:rPr>
        <w:t xml:space="preserve">, emite </w:t>
      </w:r>
      <w:r w:rsidRPr="00E129F3">
        <w:rPr>
          <w:rFonts w:ascii="Palatino Linotype" w:eastAsia="Palatino Linotype" w:hAnsi="Palatino Linotype" w:cs="Palatino Linotype"/>
          <w:b/>
          <w:sz w:val="24"/>
          <w:szCs w:val="24"/>
        </w:rPr>
        <w:t xml:space="preserve">Voto Particular </w:t>
      </w:r>
      <w:r w:rsidRPr="00E129F3">
        <w:rPr>
          <w:rFonts w:ascii="Palatino Linotype" w:eastAsia="Palatino Linotype" w:hAnsi="Palatino Linotype" w:cs="Palatino Linotype"/>
          <w:sz w:val="24"/>
          <w:szCs w:val="24"/>
        </w:rPr>
        <w:t xml:space="preserve">respecto a la resolución dictada </w:t>
      </w:r>
      <w:r w:rsidRPr="00E129F3">
        <w:rPr>
          <w:rFonts w:ascii="Palatino Linotype" w:eastAsia="Palatino Linotype" w:hAnsi="Palatino Linotype" w:cs="Palatino Linotype"/>
          <w:sz w:val="24"/>
          <w:szCs w:val="24"/>
        </w:rPr>
        <w:t>en el engrose</w:t>
      </w:r>
      <w:r w:rsidRPr="00E129F3">
        <w:rPr>
          <w:rFonts w:ascii="Palatino Linotype" w:eastAsia="Palatino Linotype" w:hAnsi="Palatino Linotype" w:cs="Palatino Linotype"/>
          <w:sz w:val="24"/>
          <w:szCs w:val="24"/>
        </w:rPr>
        <w:t xml:space="preserve"> del recurso de revisión número </w:t>
      </w:r>
      <w:r w:rsidRPr="00E129F3">
        <w:rPr>
          <w:rFonts w:ascii="Palatino Linotype" w:eastAsia="Palatino Linotype" w:hAnsi="Palatino Linotype" w:cs="Palatino Linotype"/>
          <w:b/>
          <w:sz w:val="24"/>
          <w:szCs w:val="24"/>
        </w:rPr>
        <w:t xml:space="preserve">07679/INFOEM/IP/RR/2023, </w:t>
      </w:r>
      <w:r w:rsidRPr="00E129F3">
        <w:rPr>
          <w:rFonts w:ascii="Palatino Linotype" w:eastAsia="Palatino Linotype" w:hAnsi="Palatino Linotype" w:cs="Palatino Linotype"/>
          <w:sz w:val="24"/>
          <w:szCs w:val="24"/>
        </w:rPr>
        <w:t>pronunciada co</w:t>
      </w:r>
      <w:r w:rsidRPr="00E129F3">
        <w:rPr>
          <w:rFonts w:ascii="Palatino Linotype" w:eastAsia="Palatino Linotype" w:hAnsi="Palatino Linotype" w:cs="Palatino Linotype"/>
          <w:sz w:val="24"/>
          <w:szCs w:val="24"/>
        </w:rPr>
        <w:t>n el criterio mayoritario del Pleno de este Instituto ante el proyecto presentado por la suscrita, que es del tenor siguiente:</w:t>
      </w:r>
    </w:p>
    <w:p w:rsidR="00A14528" w:rsidRPr="00E129F3" w:rsidRDefault="00A14528">
      <w:pPr>
        <w:spacing w:after="0" w:line="360" w:lineRule="auto"/>
        <w:jc w:val="both"/>
        <w:rPr>
          <w:rFonts w:ascii="Palatino Linotype" w:eastAsia="Palatino Linotype" w:hAnsi="Palatino Linotype" w:cs="Palatino Linotype"/>
          <w:b/>
          <w:sz w:val="24"/>
          <w:szCs w:val="24"/>
        </w:rPr>
      </w:pPr>
    </w:p>
    <w:p w:rsidR="00A14528" w:rsidRPr="00E129F3" w:rsidRDefault="00E4098D">
      <w:pPr>
        <w:numPr>
          <w:ilvl w:val="0"/>
          <w:numId w:val="1"/>
        </w:numPr>
        <w:spacing w:after="0" w:line="360" w:lineRule="auto"/>
        <w:ind w:left="567" w:hanging="141"/>
        <w:jc w:val="both"/>
        <w:rPr>
          <w:rFonts w:ascii="Palatino Linotype" w:eastAsia="Palatino Linotype" w:hAnsi="Palatino Linotype" w:cs="Palatino Linotype"/>
          <w:b/>
          <w:sz w:val="24"/>
          <w:szCs w:val="24"/>
        </w:rPr>
      </w:pPr>
      <w:r w:rsidRPr="00E129F3">
        <w:rPr>
          <w:rFonts w:ascii="Palatino Linotype" w:eastAsia="Palatino Linotype" w:hAnsi="Palatino Linotype" w:cs="Palatino Linotype"/>
          <w:b/>
          <w:sz w:val="24"/>
          <w:szCs w:val="24"/>
        </w:rPr>
        <w:t>Antecedentes.</w:t>
      </w:r>
    </w:p>
    <w:p w:rsidR="00A14528" w:rsidRPr="00E129F3" w:rsidRDefault="00E4098D">
      <w:pPr>
        <w:spacing w:before="240" w:after="240" w:line="360" w:lineRule="auto"/>
        <w:jc w:val="both"/>
        <w:rPr>
          <w:rFonts w:ascii="Palatino Linotype" w:eastAsia="Palatino Linotype" w:hAnsi="Palatino Linotype" w:cs="Palatino Linotype"/>
          <w:i/>
          <w:sz w:val="24"/>
          <w:szCs w:val="24"/>
        </w:rPr>
      </w:pPr>
      <w:r w:rsidRPr="00E129F3">
        <w:rPr>
          <w:rFonts w:ascii="Palatino Linotype" w:eastAsia="Palatino Linotype" w:hAnsi="Palatino Linotype" w:cs="Palatino Linotype"/>
          <w:sz w:val="24"/>
          <w:szCs w:val="24"/>
        </w:rPr>
        <w:t xml:space="preserve">A través de la solicitud de acceso a la información que nos ocupa, la persona solicitante requirió al </w:t>
      </w:r>
      <w:r w:rsidRPr="00E129F3">
        <w:rPr>
          <w:rFonts w:ascii="Palatino Linotype" w:eastAsia="Palatino Linotype" w:hAnsi="Palatino Linotype" w:cs="Palatino Linotype"/>
          <w:b/>
          <w:sz w:val="24"/>
          <w:szCs w:val="24"/>
        </w:rPr>
        <w:t>Sujeto Oblig</w:t>
      </w:r>
      <w:r w:rsidRPr="00E129F3">
        <w:rPr>
          <w:rFonts w:ascii="Palatino Linotype" w:eastAsia="Palatino Linotype" w:hAnsi="Palatino Linotype" w:cs="Palatino Linotype"/>
          <w:b/>
          <w:sz w:val="24"/>
          <w:szCs w:val="24"/>
        </w:rPr>
        <w:t xml:space="preserve">ado, </w:t>
      </w:r>
      <w:r w:rsidRPr="00E129F3">
        <w:rPr>
          <w:rFonts w:ascii="Palatino Linotype" w:eastAsia="Palatino Linotype" w:hAnsi="Palatino Linotype" w:cs="Palatino Linotype"/>
          <w:sz w:val="24"/>
          <w:szCs w:val="24"/>
        </w:rPr>
        <w:t>le proporcionara la siguiente información:</w:t>
      </w:r>
    </w:p>
    <w:p w:rsidR="00A14528" w:rsidRPr="00E129F3" w:rsidRDefault="00E4098D">
      <w:pPr>
        <w:spacing w:before="240" w:after="240" w:line="360" w:lineRule="auto"/>
        <w:ind w:left="426"/>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1. Recibo de nómina de la primera y segunda quincena de julio, agosto y septiembre de dos mil veintitrés.</w:t>
      </w:r>
    </w:p>
    <w:p w:rsidR="00A14528" w:rsidRPr="00E129F3" w:rsidRDefault="00E4098D">
      <w:pPr>
        <w:spacing w:before="240" w:after="240" w:line="360" w:lineRule="auto"/>
        <w:ind w:right="49"/>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lastRenderedPageBreak/>
        <w:t xml:space="preserve">El </w:t>
      </w:r>
      <w:r w:rsidRPr="00E129F3">
        <w:rPr>
          <w:rFonts w:ascii="Palatino Linotype" w:eastAsia="Palatino Linotype" w:hAnsi="Palatino Linotype" w:cs="Palatino Linotype"/>
          <w:b/>
          <w:sz w:val="24"/>
          <w:szCs w:val="24"/>
        </w:rPr>
        <w:t xml:space="preserve">Sujeto Obligado, </w:t>
      </w:r>
      <w:r w:rsidRPr="00E129F3">
        <w:rPr>
          <w:rFonts w:ascii="Palatino Linotype" w:eastAsia="Palatino Linotype" w:hAnsi="Palatino Linotype" w:cs="Palatino Linotype"/>
          <w:sz w:val="24"/>
          <w:szCs w:val="24"/>
        </w:rPr>
        <w:t>a través de la Titular de la Unidad de Transparencia requirió  a la persona solici</w:t>
      </w:r>
      <w:r w:rsidRPr="00E129F3">
        <w:rPr>
          <w:rFonts w:ascii="Palatino Linotype" w:eastAsia="Palatino Linotype" w:hAnsi="Palatino Linotype" w:cs="Palatino Linotype"/>
          <w:sz w:val="24"/>
          <w:szCs w:val="24"/>
        </w:rPr>
        <w:t>tante, en términos del artículo 159 de la Ley de Transparencia y Acceso a la Información Pública del Estado de México, aclarara cuáles nóminas necesitaba, asimismo, refirió que hasta en tanto no se haga manifestación alguna, la Unidad de Transparencia se e</w:t>
      </w:r>
      <w:r w:rsidRPr="00E129F3">
        <w:rPr>
          <w:rFonts w:ascii="Palatino Linotype" w:eastAsia="Palatino Linotype" w:hAnsi="Palatino Linotype" w:cs="Palatino Linotype"/>
          <w:sz w:val="24"/>
          <w:szCs w:val="24"/>
        </w:rPr>
        <w:t>ncontraría imposibilitada para dar respuesta, en cuyo caso, la solicitud se tendría por no presentada, quedando a salvo sus derechos para presentar una nueva solicitud.</w:t>
      </w:r>
    </w:p>
    <w:p w:rsidR="00A14528" w:rsidRPr="00E129F3" w:rsidRDefault="00E4098D">
      <w:pPr>
        <w:spacing w:before="240" w:after="240" w:line="360" w:lineRule="auto"/>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 xml:space="preserve">Una vez conocida la respuesta del </w:t>
      </w:r>
      <w:r w:rsidRPr="00E129F3">
        <w:rPr>
          <w:rFonts w:ascii="Palatino Linotype" w:eastAsia="Palatino Linotype" w:hAnsi="Palatino Linotype" w:cs="Palatino Linotype"/>
          <w:b/>
          <w:sz w:val="24"/>
          <w:szCs w:val="24"/>
        </w:rPr>
        <w:t>Sujeto Obligado</w:t>
      </w:r>
      <w:r w:rsidRPr="00E129F3">
        <w:rPr>
          <w:rFonts w:ascii="Palatino Linotype" w:eastAsia="Palatino Linotype" w:hAnsi="Palatino Linotype" w:cs="Palatino Linotype"/>
          <w:sz w:val="24"/>
          <w:szCs w:val="24"/>
        </w:rPr>
        <w:t xml:space="preserve">, la parte </w:t>
      </w:r>
      <w:r w:rsidRPr="00E129F3">
        <w:rPr>
          <w:rFonts w:ascii="Palatino Linotype" w:eastAsia="Palatino Linotype" w:hAnsi="Palatino Linotype" w:cs="Palatino Linotype"/>
          <w:b/>
          <w:sz w:val="24"/>
          <w:szCs w:val="24"/>
        </w:rPr>
        <w:t>Recurrente</w:t>
      </w:r>
      <w:r w:rsidRPr="00E129F3">
        <w:rPr>
          <w:rFonts w:ascii="Palatino Linotype" w:eastAsia="Palatino Linotype" w:hAnsi="Palatino Linotype" w:cs="Palatino Linotype"/>
          <w:sz w:val="24"/>
          <w:szCs w:val="24"/>
        </w:rPr>
        <w:t xml:space="preserve"> interpuso el med</w:t>
      </w:r>
      <w:r w:rsidRPr="00E129F3">
        <w:rPr>
          <w:rFonts w:ascii="Palatino Linotype" w:eastAsia="Palatino Linotype" w:hAnsi="Palatino Linotype" w:cs="Palatino Linotype"/>
          <w:sz w:val="24"/>
          <w:szCs w:val="24"/>
        </w:rPr>
        <w:t xml:space="preserve">io de impugnación citado al rubro, manifestado </w:t>
      </w:r>
      <w:r w:rsidR="00237F41" w:rsidRPr="00E129F3">
        <w:rPr>
          <w:rFonts w:ascii="Palatino Linotype" w:eastAsia="Palatino Linotype" w:hAnsi="Palatino Linotype" w:cs="Palatino Linotype"/>
          <w:sz w:val="24"/>
          <w:szCs w:val="24"/>
        </w:rPr>
        <w:t>en términos generales, la negativa en la entrega de la información.</w:t>
      </w:r>
    </w:p>
    <w:p w:rsidR="00A14528" w:rsidRPr="00E129F3" w:rsidRDefault="00E4098D">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Las partes fueron omisas en rendir manifestaciones, en el plazo establecido para tal efecto.</w:t>
      </w:r>
    </w:p>
    <w:p w:rsidR="00A14528" w:rsidRPr="00E129F3" w:rsidRDefault="00E4098D">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bookmarkStart w:id="0" w:name="_heading=h.30j0zll" w:colFirst="0" w:colLast="0"/>
      <w:bookmarkEnd w:id="0"/>
      <w:r w:rsidRPr="00E129F3">
        <w:rPr>
          <w:rFonts w:ascii="Palatino Linotype" w:eastAsia="Palatino Linotype" w:hAnsi="Palatino Linotype" w:cs="Palatino Linotype"/>
          <w:sz w:val="24"/>
          <w:szCs w:val="24"/>
        </w:rPr>
        <w:t>Así las cosas, el Instituto consideró que las razo</w:t>
      </w:r>
      <w:r w:rsidRPr="00E129F3">
        <w:rPr>
          <w:rFonts w:ascii="Palatino Linotype" w:eastAsia="Palatino Linotype" w:hAnsi="Palatino Linotype" w:cs="Palatino Linotype"/>
          <w:sz w:val="24"/>
          <w:szCs w:val="24"/>
        </w:rPr>
        <w:t xml:space="preserve">nes o motivos de inconformidad hechos valer por la parte </w:t>
      </w:r>
      <w:r w:rsidRPr="00E129F3">
        <w:rPr>
          <w:rFonts w:ascii="Palatino Linotype" w:eastAsia="Palatino Linotype" w:hAnsi="Palatino Linotype" w:cs="Palatino Linotype"/>
          <w:b/>
          <w:sz w:val="24"/>
          <w:szCs w:val="24"/>
        </w:rPr>
        <w:t xml:space="preserve">Recurrente </w:t>
      </w:r>
      <w:r w:rsidRPr="00E129F3">
        <w:rPr>
          <w:rFonts w:ascii="Palatino Linotype" w:eastAsia="Palatino Linotype" w:hAnsi="Palatino Linotype" w:cs="Palatino Linotype"/>
          <w:sz w:val="24"/>
          <w:szCs w:val="24"/>
        </w:rPr>
        <w:t xml:space="preserve">resultan parcialmente fundados, y determinó revocar la respuesta del </w:t>
      </w:r>
      <w:r w:rsidRPr="00E129F3">
        <w:rPr>
          <w:rFonts w:ascii="Palatino Linotype" w:eastAsia="Palatino Linotype" w:hAnsi="Palatino Linotype" w:cs="Palatino Linotype"/>
          <w:b/>
          <w:sz w:val="24"/>
          <w:szCs w:val="24"/>
        </w:rPr>
        <w:t>Sujeto Obligado</w:t>
      </w:r>
      <w:r w:rsidRPr="00E129F3">
        <w:rPr>
          <w:rFonts w:ascii="Palatino Linotype" w:eastAsia="Palatino Linotype" w:hAnsi="Palatino Linotype" w:cs="Palatino Linotype"/>
          <w:sz w:val="24"/>
          <w:szCs w:val="24"/>
        </w:rPr>
        <w:t>, para ordenar la entrega de lo siguiente:</w:t>
      </w:r>
    </w:p>
    <w:p w:rsidR="00A14528" w:rsidRPr="00E129F3" w:rsidRDefault="00E4098D">
      <w:pPr>
        <w:spacing w:before="120" w:after="120" w:line="240" w:lineRule="auto"/>
        <w:ind w:left="851" w:right="992"/>
        <w:jc w:val="both"/>
        <w:rPr>
          <w:rFonts w:ascii="Palatino Linotype" w:eastAsia="Palatino Linotype" w:hAnsi="Palatino Linotype" w:cs="Palatino Linotype"/>
          <w:i/>
        </w:rPr>
      </w:pPr>
      <w:r w:rsidRPr="00E129F3">
        <w:rPr>
          <w:rFonts w:ascii="Palatino Linotype" w:eastAsia="Palatino Linotype" w:hAnsi="Palatino Linotype" w:cs="Palatino Linotype"/>
          <w:i/>
        </w:rPr>
        <w:t>“</w:t>
      </w:r>
      <w:r w:rsidRPr="00E129F3">
        <w:rPr>
          <w:rFonts w:ascii="Palatino Linotype" w:eastAsia="Palatino Linotype" w:hAnsi="Palatino Linotype" w:cs="Palatino Linotype"/>
          <w:b/>
          <w:i/>
        </w:rPr>
        <w:t xml:space="preserve">Segundo. </w:t>
      </w:r>
      <w:r w:rsidRPr="00E129F3">
        <w:rPr>
          <w:rFonts w:ascii="Palatino Linotype" w:eastAsia="Palatino Linotype" w:hAnsi="Palatino Linotype" w:cs="Palatino Linotype"/>
          <w:i/>
        </w:rPr>
        <w:t xml:space="preserve">Se </w:t>
      </w:r>
      <w:r w:rsidRPr="00E129F3">
        <w:rPr>
          <w:rFonts w:ascii="Palatino Linotype" w:eastAsia="Palatino Linotype" w:hAnsi="Palatino Linotype" w:cs="Palatino Linotype"/>
          <w:b/>
          <w:i/>
        </w:rPr>
        <w:t>Ordena</w:t>
      </w:r>
      <w:r w:rsidRPr="00E129F3">
        <w:rPr>
          <w:rFonts w:ascii="Palatino Linotype" w:eastAsia="Palatino Linotype" w:hAnsi="Palatino Linotype" w:cs="Palatino Linotype"/>
          <w:i/>
        </w:rPr>
        <w:t xml:space="preserve"> al </w:t>
      </w:r>
      <w:r w:rsidRPr="00E129F3">
        <w:rPr>
          <w:rFonts w:ascii="Palatino Linotype" w:eastAsia="Palatino Linotype" w:hAnsi="Palatino Linotype" w:cs="Palatino Linotype"/>
          <w:b/>
          <w:i/>
        </w:rPr>
        <w:t>Sujeto Obligado</w:t>
      </w:r>
      <w:r w:rsidRPr="00E129F3">
        <w:rPr>
          <w:rFonts w:ascii="Palatino Linotype" w:eastAsia="Palatino Linotype" w:hAnsi="Palatino Linotype" w:cs="Palatino Linotype"/>
          <w:i/>
        </w:rPr>
        <w:t xml:space="preserve">, en términos de los Considerandos </w:t>
      </w:r>
      <w:r w:rsidRPr="00E129F3">
        <w:rPr>
          <w:rFonts w:ascii="Palatino Linotype" w:eastAsia="Palatino Linotype" w:hAnsi="Palatino Linotype" w:cs="Palatino Linotype"/>
          <w:b/>
          <w:i/>
        </w:rPr>
        <w:t xml:space="preserve">Cuarto </w:t>
      </w:r>
      <w:r w:rsidRPr="00E129F3">
        <w:rPr>
          <w:rFonts w:ascii="Palatino Linotype" w:eastAsia="Palatino Linotype" w:hAnsi="Palatino Linotype" w:cs="Palatino Linotype"/>
          <w:i/>
        </w:rPr>
        <w:t>y</w:t>
      </w:r>
      <w:r w:rsidRPr="00E129F3">
        <w:rPr>
          <w:rFonts w:ascii="Palatino Linotype" w:eastAsia="Palatino Linotype" w:hAnsi="Palatino Linotype" w:cs="Palatino Linotype"/>
          <w:b/>
          <w:i/>
        </w:rPr>
        <w:t xml:space="preserve"> Quinto </w:t>
      </w:r>
      <w:r w:rsidRPr="00E129F3">
        <w:rPr>
          <w:rFonts w:ascii="Palatino Linotype" w:eastAsia="Palatino Linotype" w:hAnsi="Palatino Linotype" w:cs="Palatino Linotype"/>
          <w:i/>
        </w:rPr>
        <w:t>de esta resolución, previa búsqueda exhaustiva y razonable, haga entrega, vía SAIMEX, en versión pública, de lo siguiente:</w:t>
      </w:r>
    </w:p>
    <w:p w:rsidR="00A14528" w:rsidRPr="00E129F3" w:rsidRDefault="00E4098D">
      <w:pPr>
        <w:spacing w:before="120" w:after="120" w:line="240" w:lineRule="auto"/>
        <w:ind w:left="1134" w:right="992"/>
        <w:jc w:val="both"/>
        <w:rPr>
          <w:rFonts w:ascii="Palatino Linotype" w:eastAsia="Palatino Linotype" w:hAnsi="Palatino Linotype" w:cs="Palatino Linotype"/>
          <w:i/>
        </w:rPr>
      </w:pPr>
      <w:bookmarkStart w:id="1" w:name="_heading=h.4d34og8" w:colFirst="0" w:colLast="0"/>
      <w:bookmarkEnd w:id="1"/>
      <w:r w:rsidRPr="00E129F3">
        <w:rPr>
          <w:rFonts w:ascii="Palatino Linotype" w:eastAsia="Palatino Linotype" w:hAnsi="Palatino Linotype" w:cs="Palatino Linotype"/>
          <w:i/>
        </w:rPr>
        <w:t>1. Recibos de nómina de la primera y segunda quincena de julio, agosto y septiembr</w:t>
      </w:r>
      <w:r w:rsidRPr="00E129F3">
        <w:rPr>
          <w:rFonts w:ascii="Palatino Linotype" w:eastAsia="Palatino Linotype" w:hAnsi="Palatino Linotype" w:cs="Palatino Linotype"/>
          <w:i/>
        </w:rPr>
        <w:t xml:space="preserve">e de dos mil veintitrés, del personal adscrito al Sujeto Obligado. </w:t>
      </w:r>
    </w:p>
    <w:p w:rsidR="00A14528" w:rsidRPr="00E129F3" w:rsidRDefault="00E4098D">
      <w:pPr>
        <w:spacing w:before="120" w:after="120" w:line="240" w:lineRule="auto"/>
        <w:ind w:left="1134" w:right="992"/>
        <w:jc w:val="both"/>
        <w:rPr>
          <w:rFonts w:ascii="Palatino Linotype" w:eastAsia="Palatino Linotype" w:hAnsi="Palatino Linotype" w:cs="Palatino Linotype"/>
          <w:i/>
        </w:rPr>
      </w:pPr>
      <w:r w:rsidRPr="00E129F3">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w:t>
      </w:r>
      <w:r w:rsidRPr="00E129F3">
        <w:rPr>
          <w:rFonts w:ascii="Palatino Linotype" w:eastAsia="Palatino Linotype" w:hAnsi="Palatino Linotype" w:cs="Palatino Linotype"/>
          <w:i/>
        </w:rPr>
        <w:t xml:space="preserve">icipios, en el que funde y </w:t>
      </w:r>
      <w:r w:rsidRPr="00E129F3">
        <w:rPr>
          <w:rFonts w:ascii="Palatino Linotype" w:eastAsia="Palatino Linotype" w:hAnsi="Palatino Linotype" w:cs="Palatino Linotype"/>
          <w:i/>
        </w:rPr>
        <w:lastRenderedPageBreak/>
        <w:t xml:space="preserve">motive las razones sobre los datos que se supriman o eliminen, que se deberá poner a disposición de la parte </w:t>
      </w:r>
      <w:r w:rsidRPr="00E129F3">
        <w:rPr>
          <w:rFonts w:ascii="Palatino Linotype" w:eastAsia="Palatino Linotype" w:hAnsi="Palatino Linotype" w:cs="Palatino Linotype"/>
          <w:b/>
          <w:i/>
        </w:rPr>
        <w:t>Recurrente</w:t>
      </w:r>
      <w:r w:rsidRPr="00E129F3">
        <w:rPr>
          <w:rFonts w:ascii="Palatino Linotype" w:eastAsia="Palatino Linotype" w:hAnsi="Palatino Linotype" w:cs="Palatino Linotype"/>
          <w:i/>
        </w:rPr>
        <w:t>.”</w:t>
      </w:r>
    </w:p>
    <w:p w:rsidR="00A14528" w:rsidRPr="00E129F3" w:rsidRDefault="00A14528">
      <w:pPr>
        <w:spacing w:before="120" w:after="120" w:line="240" w:lineRule="auto"/>
        <w:ind w:left="851" w:right="992"/>
        <w:jc w:val="both"/>
        <w:rPr>
          <w:rFonts w:ascii="Palatino Linotype" w:eastAsia="Palatino Linotype" w:hAnsi="Palatino Linotype" w:cs="Palatino Linotype"/>
          <w:i/>
        </w:rPr>
      </w:pPr>
    </w:p>
    <w:p w:rsidR="00A14528" w:rsidRPr="00E129F3" w:rsidRDefault="00E4098D">
      <w:pPr>
        <w:numPr>
          <w:ilvl w:val="0"/>
          <w:numId w:val="1"/>
        </w:numPr>
        <w:pBdr>
          <w:top w:val="nil"/>
          <w:left w:val="nil"/>
          <w:bottom w:val="nil"/>
          <w:right w:val="nil"/>
          <w:between w:val="nil"/>
        </w:pBdr>
        <w:spacing w:before="240" w:after="240" w:line="360" w:lineRule="auto"/>
        <w:ind w:right="-6"/>
        <w:jc w:val="both"/>
        <w:rPr>
          <w:rFonts w:ascii="Palatino Linotype" w:eastAsia="Palatino Linotype" w:hAnsi="Palatino Linotype" w:cs="Palatino Linotype"/>
          <w:b/>
          <w:sz w:val="24"/>
          <w:szCs w:val="24"/>
        </w:rPr>
      </w:pPr>
      <w:r w:rsidRPr="00E129F3">
        <w:rPr>
          <w:rFonts w:ascii="Palatino Linotype" w:eastAsia="Palatino Linotype" w:hAnsi="Palatino Linotype" w:cs="Palatino Linotype"/>
          <w:b/>
          <w:sz w:val="24"/>
          <w:szCs w:val="24"/>
        </w:rPr>
        <w:t>Razones del Voto Particular.</w:t>
      </w:r>
    </w:p>
    <w:p w:rsidR="00A14528" w:rsidRPr="00E129F3" w:rsidRDefault="00E4098D" w:rsidP="00237F41">
      <w:pPr>
        <w:spacing w:before="240" w:after="240" w:line="360" w:lineRule="auto"/>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Resulta importante señalar que coincido con los términos generales en la info</w:t>
      </w:r>
      <w:r w:rsidRPr="00E129F3">
        <w:rPr>
          <w:rFonts w:ascii="Palatino Linotype" w:eastAsia="Palatino Linotype" w:hAnsi="Palatino Linotype" w:cs="Palatino Linotype"/>
          <w:sz w:val="24"/>
          <w:szCs w:val="24"/>
        </w:rPr>
        <w:t>rmación que se ordena planteados en la Resolución, sin embargo, de la información que se ordena, se encuentran documentos en los que constan las remuneraciones de todos los servidores públicos, señalando que</w:t>
      </w:r>
      <w:r w:rsidRPr="00E129F3">
        <w:rPr>
          <w:rFonts w:ascii="Palatino Linotype" w:eastAsia="Palatino Linotype" w:hAnsi="Palatino Linotype" w:cs="Palatino Linotype"/>
          <w:sz w:val="24"/>
          <w:szCs w:val="24"/>
        </w:rPr>
        <w:t xml:space="preserve">  por regla general la publicidad de los nombres </w:t>
      </w:r>
      <w:r w:rsidRPr="00E129F3">
        <w:rPr>
          <w:rFonts w:ascii="Palatino Linotype" w:eastAsia="Palatino Linotype" w:hAnsi="Palatino Linotype" w:cs="Palatino Linotype"/>
          <w:sz w:val="24"/>
          <w:szCs w:val="24"/>
        </w:rPr>
        <w:t xml:space="preserve">de los servidores públicos en el  ejercicio de la función pública, se encuentran establecidas como una obligación de transparencia común, tanto en la Ley General como en la Ley Local, y de manera específica, el artículo 92, fracción VII  </w:t>
      </w:r>
      <w:r w:rsidRPr="00E129F3">
        <w:rPr>
          <w:rFonts w:ascii="Palatino Linotype" w:eastAsia="Palatino Linotype" w:hAnsi="Palatino Linotype" w:cs="Palatino Linotype"/>
          <w:sz w:val="24"/>
          <w:szCs w:val="24"/>
        </w:rPr>
        <w:t>de la Ley de Trans</w:t>
      </w:r>
      <w:r w:rsidRPr="00E129F3">
        <w:rPr>
          <w:rFonts w:ascii="Palatino Linotype" w:eastAsia="Palatino Linotype" w:hAnsi="Palatino Linotype" w:cs="Palatino Linotype"/>
          <w:sz w:val="24"/>
          <w:szCs w:val="24"/>
        </w:rPr>
        <w:t xml:space="preserve">parencia y Acceso a la Información Pública del Estado de México y Municipios; no obstante lo anterior, considero que dicha regla está sujeta a claro régimen de excepción, la cual concretamente se aprecia en el caso de las remuneraciones de personal que se </w:t>
      </w:r>
      <w:r w:rsidRPr="00E129F3">
        <w:rPr>
          <w:rFonts w:ascii="Palatino Linotype" w:eastAsia="Palatino Linotype" w:hAnsi="Palatino Linotype" w:cs="Palatino Linotype"/>
          <w:sz w:val="24"/>
          <w:szCs w:val="24"/>
        </w:rPr>
        <w:t>encuentra adscrito a instituciones de seguridad pública con funciones operativas en atención a los consideraciones que a continuación se exp</w:t>
      </w:r>
      <w:bookmarkStart w:id="2" w:name="_GoBack"/>
      <w:bookmarkEnd w:id="2"/>
      <w:r w:rsidRPr="00E129F3">
        <w:rPr>
          <w:rFonts w:ascii="Palatino Linotype" w:eastAsia="Palatino Linotype" w:hAnsi="Palatino Linotype" w:cs="Palatino Linotype"/>
          <w:sz w:val="24"/>
          <w:szCs w:val="24"/>
        </w:rPr>
        <w:t xml:space="preserve">onen. </w:t>
      </w:r>
    </w:p>
    <w:p w:rsidR="00A14528" w:rsidRPr="00E129F3" w:rsidRDefault="00E4098D" w:rsidP="00237F41">
      <w:pPr>
        <w:spacing w:before="240" w:after="240" w:line="360" w:lineRule="auto"/>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 xml:space="preserve">Sobre este punto, debemos partir desde la máxima establecida en nuestro texto Constitucional Federal pues el </w:t>
      </w:r>
      <w:r w:rsidRPr="00E129F3">
        <w:rPr>
          <w:rFonts w:ascii="Palatino Linotype" w:eastAsia="Palatino Linotype" w:hAnsi="Palatino Linotype" w:cs="Palatino Linotype"/>
          <w:sz w:val="24"/>
          <w:szCs w:val="24"/>
        </w:rPr>
        <w:t xml:space="preserve">artículo 21 en su párrafo noveno reconoce que la seguridad pública es una función del Estado a cargo de la Federación, las Entidades Federativas y </w:t>
      </w:r>
      <w:r w:rsidRPr="00E129F3">
        <w:rPr>
          <w:rFonts w:ascii="Palatino Linotype" w:eastAsia="Palatino Linotype" w:hAnsi="Palatino Linotype" w:cs="Palatino Linotype"/>
          <w:b/>
          <w:sz w:val="24"/>
          <w:szCs w:val="24"/>
        </w:rPr>
        <w:t>los Municipios</w:t>
      </w:r>
      <w:r w:rsidRPr="00E129F3">
        <w:rPr>
          <w:rFonts w:ascii="Palatino Linotype" w:eastAsia="Palatino Linotype" w:hAnsi="Palatino Linotype" w:cs="Palatino Linotype"/>
          <w:sz w:val="24"/>
          <w:szCs w:val="24"/>
        </w:rPr>
        <w:t xml:space="preserve">, </w:t>
      </w:r>
      <w:r w:rsidRPr="00E129F3">
        <w:rPr>
          <w:rFonts w:ascii="Palatino Linotype" w:eastAsia="Palatino Linotype" w:hAnsi="Palatino Linotype" w:cs="Palatino Linotype"/>
          <w:b/>
          <w:sz w:val="24"/>
          <w:szCs w:val="24"/>
        </w:rPr>
        <w:t>cuyos fines son salvaguardar la vida, las libertades, la integridad y el patrimonio de las pe</w:t>
      </w:r>
      <w:r w:rsidRPr="00E129F3">
        <w:rPr>
          <w:rFonts w:ascii="Palatino Linotype" w:eastAsia="Palatino Linotype" w:hAnsi="Palatino Linotype" w:cs="Palatino Linotype"/>
          <w:b/>
          <w:sz w:val="24"/>
          <w:szCs w:val="24"/>
        </w:rPr>
        <w:t xml:space="preserve">rsonas, así como contribuir a la generación </w:t>
      </w:r>
      <w:r w:rsidRPr="00E129F3">
        <w:rPr>
          <w:rFonts w:ascii="Palatino Linotype" w:eastAsia="Palatino Linotype" w:hAnsi="Palatino Linotype" w:cs="Palatino Linotype"/>
          <w:b/>
          <w:sz w:val="24"/>
          <w:szCs w:val="24"/>
        </w:rPr>
        <w:lastRenderedPageBreak/>
        <w:t>y preservación del orden público y la paz social</w:t>
      </w:r>
      <w:r w:rsidRPr="00E129F3">
        <w:rPr>
          <w:rFonts w:ascii="Palatino Linotype" w:eastAsia="Palatino Linotype" w:hAnsi="Palatino Linotype" w:cs="Palatino Linotype"/>
          <w:sz w:val="24"/>
          <w:szCs w:val="24"/>
        </w:rPr>
        <w:t>. Asimismo, señala que la actuación de las instituciones de seguridad pública se regirá por los principios de legalidad, objetividad, eficiencia, profesionalismo, h</w:t>
      </w:r>
      <w:r w:rsidRPr="00E129F3">
        <w:rPr>
          <w:rFonts w:ascii="Palatino Linotype" w:eastAsia="Palatino Linotype" w:hAnsi="Palatino Linotype" w:cs="Palatino Linotype"/>
          <w:sz w:val="24"/>
          <w:szCs w:val="24"/>
        </w:rPr>
        <w:t>onradez y respeto a los derechos humanos.</w:t>
      </w:r>
    </w:p>
    <w:p w:rsidR="00A14528" w:rsidRPr="00E129F3" w:rsidRDefault="00E4098D" w:rsidP="00237F41">
      <w:pPr>
        <w:spacing w:before="240" w:after="240" w:line="360" w:lineRule="auto"/>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Dicha circunstancia es replicada por la Ley de Seguridad del Estado de México en su artículo 1, fracciones II, III y V, las cuales señalan que dicho ordenamiento es de orden público, de interés social y de observan</w:t>
      </w:r>
      <w:r w:rsidRPr="00E129F3">
        <w:rPr>
          <w:rFonts w:ascii="Palatino Linotype" w:eastAsia="Palatino Linotype" w:hAnsi="Palatino Linotype" w:cs="Palatino Linotype"/>
          <w:sz w:val="24"/>
          <w:szCs w:val="24"/>
        </w:rPr>
        <w:t>cia general en todo el territorio del Estado de México y tiene por objeto establecer las bases de coordinación del Estado y los Municipios con la Federación, las Entidades Federativas, Municipios y Alcaldías de la Ciudad de México; integrar el Sistema Esta</w:t>
      </w:r>
      <w:r w:rsidRPr="00E129F3">
        <w:rPr>
          <w:rFonts w:ascii="Palatino Linotype" w:eastAsia="Palatino Linotype" w:hAnsi="Palatino Linotype" w:cs="Palatino Linotype"/>
          <w:sz w:val="24"/>
          <w:szCs w:val="24"/>
        </w:rPr>
        <w:t>tal de Seguridad Pública, que a su vez contribuirá con el Sistema Nacional de Seguridad Pública; para la construcción de las bases para una plena seguridad ciudadana.</w:t>
      </w:r>
    </w:p>
    <w:p w:rsidR="00A14528" w:rsidRPr="00E129F3" w:rsidRDefault="00E4098D" w:rsidP="00237F41">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De tal suerte que con lo señalado hasta este punto se advierte que la finalidad de la función de seguridad pública indudablemente tienen como eje central a la persona humana y, por ende, contribuyen al establecimiento de la seguridad ciudadana, la cual tie</w:t>
      </w:r>
      <w:r w:rsidRPr="00E129F3">
        <w:rPr>
          <w:rFonts w:ascii="Palatino Linotype" w:eastAsia="Palatino Linotype" w:hAnsi="Palatino Linotype" w:cs="Palatino Linotype"/>
          <w:sz w:val="24"/>
          <w:szCs w:val="24"/>
        </w:rPr>
        <w:t xml:space="preserve">ne por objeto proteger a las personas; asegurar el ejercicio de su ciudadanía, sus libertades y derechos fundamentales; establecer espacios de participación social corresponsable y armónica; propiciar la solución pacífica de los conflictos interpersonales </w:t>
      </w:r>
      <w:r w:rsidRPr="00E129F3">
        <w:rPr>
          <w:rFonts w:ascii="Palatino Linotype" w:eastAsia="Palatino Linotype" w:hAnsi="Palatino Linotype" w:cs="Palatino Linotype"/>
          <w:sz w:val="24"/>
          <w:szCs w:val="24"/>
        </w:rPr>
        <w:t>y sociales; fortalecer a las instituciones, y propiciar condiciones durables que permitan a los ciudadanos desarrollar sus capacidades, en un ambiente de paz y democracia.</w:t>
      </w:r>
    </w:p>
    <w:p w:rsidR="00A14528" w:rsidRPr="00E129F3" w:rsidRDefault="00E4098D" w:rsidP="00237F41">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lastRenderedPageBreak/>
        <w:t>Una vez acreditado el objeto de la seguridad pública, así como los sujetos encargado</w:t>
      </w:r>
      <w:r w:rsidRPr="00E129F3">
        <w:rPr>
          <w:rFonts w:ascii="Palatino Linotype" w:eastAsia="Palatino Linotype" w:hAnsi="Palatino Linotype" w:cs="Palatino Linotype"/>
          <w:sz w:val="24"/>
          <w:szCs w:val="24"/>
        </w:rPr>
        <w:t>s de ejecutar las acciones para consumar esta función, podemos observar con claridad la importancia de los elementos operativos que ejecutan estas acciones encaminadas a preservar el orden dentro de la dinámica social y podemos partir de este punto para de</w:t>
      </w:r>
      <w:r w:rsidRPr="00E129F3">
        <w:rPr>
          <w:rFonts w:ascii="Palatino Linotype" w:eastAsia="Palatino Linotype" w:hAnsi="Palatino Linotype" w:cs="Palatino Linotype"/>
          <w:sz w:val="24"/>
          <w:szCs w:val="24"/>
        </w:rPr>
        <w:t xml:space="preserve">terminar el riesgo de la divulgación de esta información y por ende, la procedencia de su clasificación como información reservada. </w:t>
      </w:r>
    </w:p>
    <w:p w:rsidR="00A14528" w:rsidRPr="00E129F3" w:rsidRDefault="00E4098D" w:rsidP="00237F41">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En primer momento podemos vislumbrar que el artículo 81, fracción II de la Ley de Seguridad del Estado de México dispone de</w:t>
      </w:r>
      <w:r w:rsidRPr="00E129F3">
        <w:rPr>
          <w:rFonts w:ascii="Palatino Linotype" w:eastAsia="Palatino Linotype" w:hAnsi="Palatino Linotype" w:cs="Palatino Linotype"/>
          <w:sz w:val="24"/>
          <w:szCs w:val="24"/>
        </w:rPr>
        <w:t xml:space="preserve"> manera expresa que toda información para la seguridad pública generada o en poder de Instituciones de Seguridad Pública o de cualquier instancia del Sistema Estatal debe clasificarse, sirve de referencia la siguiente cita:</w:t>
      </w:r>
    </w:p>
    <w:p w:rsidR="00A14528" w:rsidRPr="00E129F3" w:rsidRDefault="00E4098D">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sidRPr="00E129F3">
        <w:rPr>
          <w:rFonts w:ascii="Palatino Linotype" w:eastAsia="Palatino Linotype" w:hAnsi="Palatino Linotype" w:cs="Palatino Linotype"/>
          <w:i/>
        </w:rPr>
        <w:t>“</w:t>
      </w:r>
      <w:r w:rsidRPr="00E129F3">
        <w:rPr>
          <w:rFonts w:ascii="Palatino Linotype" w:eastAsia="Palatino Linotype" w:hAnsi="Palatino Linotype" w:cs="Palatino Linotype"/>
          <w:b/>
          <w:i/>
        </w:rPr>
        <w:t>Artículo 81.-</w:t>
      </w:r>
      <w:r w:rsidRPr="00E129F3">
        <w:rPr>
          <w:rFonts w:ascii="Palatino Linotype" w:eastAsia="Palatino Linotype" w:hAnsi="Palatino Linotype" w:cs="Palatino Linotype"/>
          <w:i/>
        </w:rPr>
        <w:t xml:space="preserve"> Toda información </w:t>
      </w:r>
      <w:r w:rsidRPr="00E129F3">
        <w:rPr>
          <w:rFonts w:ascii="Palatino Linotype" w:eastAsia="Palatino Linotype" w:hAnsi="Palatino Linotype" w:cs="Palatino Linotype"/>
          <w:i/>
        </w:rPr>
        <w:t>para la seguridad pública generada o en poder de Instituciones de Seguridad Pública o de cualquier instancia del Sistema Estatal debe registrarse, clasificarse y tratarse de conformidad con las disposiciones aplicables. No obstante lo anterior, esta inform</w:t>
      </w:r>
      <w:r w:rsidRPr="00E129F3">
        <w:rPr>
          <w:rFonts w:ascii="Palatino Linotype" w:eastAsia="Palatino Linotype" w:hAnsi="Palatino Linotype" w:cs="Palatino Linotype"/>
          <w:i/>
        </w:rPr>
        <w:t>ación se considerará reservada en los casos siguientes:</w:t>
      </w:r>
    </w:p>
    <w:p w:rsidR="00A14528" w:rsidRPr="00E129F3" w:rsidRDefault="00E4098D">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sidRPr="00E129F3">
        <w:rPr>
          <w:rFonts w:ascii="Palatino Linotype" w:eastAsia="Palatino Linotype" w:hAnsi="Palatino Linotype" w:cs="Palatino Linotype"/>
          <w:i/>
        </w:rPr>
        <w:t>…</w:t>
      </w:r>
    </w:p>
    <w:p w:rsidR="00A14528" w:rsidRPr="00E129F3" w:rsidRDefault="00E4098D">
      <w:pPr>
        <w:pBdr>
          <w:top w:val="nil"/>
          <w:left w:val="nil"/>
          <w:bottom w:val="nil"/>
          <w:right w:val="nil"/>
          <w:between w:val="nil"/>
        </w:pBdr>
        <w:spacing w:after="0" w:line="240" w:lineRule="auto"/>
        <w:ind w:left="1276" w:right="900"/>
        <w:jc w:val="both"/>
        <w:rPr>
          <w:rFonts w:ascii="Palatino Linotype" w:eastAsia="Palatino Linotype" w:hAnsi="Palatino Linotype" w:cs="Palatino Linotype"/>
          <w:i/>
        </w:rPr>
      </w:pPr>
      <w:r w:rsidRPr="00E129F3">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sidRPr="00E129F3">
        <w:rPr>
          <w:rFonts w:ascii="Palatino Linotype" w:eastAsia="Palatino Linotype" w:hAnsi="Palatino Linotype" w:cs="Palatino Linotype"/>
          <w:b/>
          <w:i/>
          <w:u w:val="single"/>
        </w:rPr>
        <w:t>México ;</w:t>
      </w:r>
      <w:proofErr w:type="gramEnd"/>
      <w:r w:rsidRPr="00E129F3">
        <w:rPr>
          <w:rFonts w:ascii="Palatino Linotype" w:eastAsia="Palatino Linotype" w:hAnsi="Palatino Linotype" w:cs="Palatino Linotype"/>
          <w:b/>
          <w:i/>
        </w:rPr>
        <w:t xml:space="preserve">” </w:t>
      </w:r>
    </w:p>
    <w:p w:rsidR="00A14528" w:rsidRPr="00E129F3" w:rsidRDefault="00A14528">
      <w:pPr>
        <w:pBdr>
          <w:top w:val="nil"/>
          <w:left w:val="nil"/>
          <w:bottom w:val="nil"/>
          <w:right w:val="nil"/>
          <w:between w:val="nil"/>
        </w:pBdr>
        <w:spacing w:after="0" w:line="360" w:lineRule="auto"/>
        <w:ind w:left="567" w:right="990"/>
        <w:jc w:val="both"/>
        <w:rPr>
          <w:rFonts w:ascii="Palatino Linotype" w:eastAsia="Palatino Linotype" w:hAnsi="Palatino Linotype" w:cs="Palatino Linotype"/>
          <w:b/>
          <w:i/>
          <w:u w:val="single"/>
        </w:rPr>
      </w:pPr>
    </w:p>
    <w:p w:rsidR="00A14528" w:rsidRPr="00E129F3" w:rsidRDefault="00E4098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 xml:space="preserve">En armonía con esta disposición normativa, la Ley General de Transparencia y Acceso a la Información Pública, en su artículo 113, fracción I señala que deberá reservarse la información que con su publicación se comprometa a la seguridad </w:t>
      </w:r>
      <w:r w:rsidRPr="00E129F3">
        <w:rPr>
          <w:rFonts w:ascii="Palatino Linotype" w:eastAsia="Palatino Linotype" w:hAnsi="Palatino Linotype" w:cs="Palatino Linotype"/>
          <w:sz w:val="24"/>
          <w:szCs w:val="24"/>
        </w:rPr>
        <w:lastRenderedPageBreak/>
        <w:t>pública y cuente co</w:t>
      </w:r>
      <w:r w:rsidRPr="00E129F3">
        <w:rPr>
          <w:rFonts w:ascii="Palatino Linotype" w:eastAsia="Palatino Linotype" w:hAnsi="Palatino Linotype" w:cs="Palatino Linotype"/>
          <w:sz w:val="24"/>
          <w:szCs w:val="24"/>
        </w:rPr>
        <w:t xml:space="preserve">n un efecto demostrable, posteriormente el artículo 140 fracción I de la Ley de Transparencia Local replica esta circunstancia de reserva, que señalan: </w:t>
      </w:r>
    </w:p>
    <w:p w:rsidR="00A14528" w:rsidRPr="00E129F3" w:rsidRDefault="00A14528">
      <w:pPr>
        <w:pBdr>
          <w:top w:val="nil"/>
          <w:left w:val="nil"/>
          <w:bottom w:val="nil"/>
          <w:right w:val="nil"/>
          <w:between w:val="nil"/>
        </w:pBdr>
        <w:tabs>
          <w:tab w:val="left" w:pos="284"/>
        </w:tabs>
        <w:spacing w:after="0" w:line="240" w:lineRule="auto"/>
        <w:ind w:left="567" w:right="709"/>
        <w:jc w:val="both"/>
        <w:rPr>
          <w:rFonts w:ascii="Palatino Linotype" w:eastAsia="Palatino Linotype" w:hAnsi="Palatino Linotype" w:cs="Palatino Linotype"/>
          <w:i/>
        </w:rPr>
      </w:pPr>
    </w:p>
    <w:p w:rsidR="00A14528" w:rsidRPr="00E129F3" w:rsidRDefault="00E4098D">
      <w:pPr>
        <w:pBdr>
          <w:top w:val="nil"/>
          <w:left w:val="nil"/>
          <w:bottom w:val="nil"/>
          <w:right w:val="nil"/>
          <w:between w:val="nil"/>
        </w:pBdr>
        <w:spacing w:after="120" w:line="360" w:lineRule="auto"/>
        <w:ind w:left="851" w:right="900"/>
        <w:jc w:val="both"/>
        <w:rPr>
          <w:rFonts w:ascii="Palatino Linotype" w:eastAsia="Palatino Linotype" w:hAnsi="Palatino Linotype" w:cs="Palatino Linotype"/>
          <w:b/>
        </w:rPr>
      </w:pPr>
      <w:r w:rsidRPr="00E129F3">
        <w:rPr>
          <w:rFonts w:ascii="Palatino Linotype" w:eastAsia="Palatino Linotype" w:hAnsi="Palatino Linotype" w:cs="Palatino Linotype"/>
          <w:b/>
        </w:rPr>
        <w:t>“Ley General de Transparencia y Acceso a la Información Pública:</w:t>
      </w:r>
    </w:p>
    <w:p w:rsidR="00A14528" w:rsidRPr="00E129F3" w:rsidRDefault="00E4098D">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i/>
        </w:rPr>
      </w:pPr>
      <w:r w:rsidRPr="00E129F3">
        <w:rPr>
          <w:rFonts w:ascii="Palatino Linotype" w:eastAsia="Palatino Linotype" w:hAnsi="Palatino Linotype" w:cs="Palatino Linotype"/>
          <w:b/>
          <w:i/>
        </w:rPr>
        <w:t>Artículo 113</w:t>
      </w:r>
      <w:r w:rsidRPr="00E129F3">
        <w:rPr>
          <w:rFonts w:ascii="Palatino Linotype" w:eastAsia="Palatino Linotype" w:hAnsi="Palatino Linotype" w:cs="Palatino Linotype"/>
          <w:i/>
        </w:rPr>
        <w:t>. Como información reservada podrá clasificarse aquella cuya publicación:</w:t>
      </w:r>
    </w:p>
    <w:p w:rsidR="00A14528" w:rsidRPr="00E129F3" w:rsidRDefault="00E4098D">
      <w:pPr>
        <w:pBdr>
          <w:top w:val="nil"/>
          <w:left w:val="nil"/>
          <w:bottom w:val="nil"/>
          <w:right w:val="nil"/>
          <w:between w:val="nil"/>
        </w:pBdr>
        <w:spacing w:after="120" w:line="276" w:lineRule="auto"/>
        <w:ind w:left="1134" w:right="900"/>
        <w:jc w:val="both"/>
        <w:rPr>
          <w:rFonts w:ascii="Palatino Linotype" w:eastAsia="Palatino Linotype" w:hAnsi="Palatino Linotype" w:cs="Palatino Linotype"/>
          <w:i/>
        </w:rPr>
      </w:pPr>
      <w:r w:rsidRPr="00E129F3">
        <w:rPr>
          <w:rFonts w:ascii="Palatino Linotype" w:eastAsia="Palatino Linotype" w:hAnsi="Palatino Linotype" w:cs="Palatino Linotype"/>
          <w:b/>
          <w:i/>
        </w:rPr>
        <w:t>I. Comprometa la seguridad nacional, la seguridad pública o la defensa nacional y cuente con un propósito genuino y un efecto demostrable</w:t>
      </w:r>
      <w:r w:rsidRPr="00E129F3">
        <w:rPr>
          <w:rFonts w:ascii="Palatino Linotype" w:eastAsia="Palatino Linotype" w:hAnsi="Palatino Linotype" w:cs="Palatino Linotype"/>
          <w:i/>
        </w:rPr>
        <w:t>;”</w:t>
      </w:r>
    </w:p>
    <w:p w:rsidR="00A14528" w:rsidRPr="00E129F3" w:rsidRDefault="00E4098D">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b/>
        </w:rPr>
      </w:pPr>
      <w:r w:rsidRPr="00E129F3">
        <w:rPr>
          <w:rFonts w:ascii="Palatino Linotype" w:eastAsia="Palatino Linotype" w:hAnsi="Palatino Linotype" w:cs="Palatino Linotype"/>
          <w:b/>
        </w:rPr>
        <w:t>“Ley de Transparencia y Acceso a la Inform</w:t>
      </w:r>
      <w:r w:rsidRPr="00E129F3">
        <w:rPr>
          <w:rFonts w:ascii="Palatino Linotype" w:eastAsia="Palatino Linotype" w:hAnsi="Palatino Linotype" w:cs="Palatino Linotype"/>
          <w:b/>
        </w:rPr>
        <w:t xml:space="preserve">ación Pública del Estado de México y Municipios: </w:t>
      </w:r>
    </w:p>
    <w:p w:rsidR="00A14528" w:rsidRPr="00E129F3" w:rsidRDefault="00E4098D">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i/>
        </w:rPr>
      </w:pPr>
      <w:r w:rsidRPr="00E129F3">
        <w:rPr>
          <w:rFonts w:ascii="Palatino Linotype" w:eastAsia="Palatino Linotype" w:hAnsi="Palatino Linotype" w:cs="Palatino Linotype"/>
          <w:b/>
          <w:i/>
        </w:rPr>
        <w:t>Artículo 140</w:t>
      </w:r>
      <w:r w:rsidRPr="00E129F3">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A14528" w:rsidRPr="00E129F3" w:rsidRDefault="00E4098D">
      <w:pPr>
        <w:pBdr>
          <w:top w:val="nil"/>
          <w:left w:val="nil"/>
          <w:bottom w:val="nil"/>
          <w:right w:val="nil"/>
          <w:between w:val="nil"/>
        </w:pBdr>
        <w:spacing w:after="120" w:line="276" w:lineRule="auto"/>
        <w:ind w:left="1134" w:right="900"/>
        <w:jc w:val="both"/>
        <w:rPr>
          <w:rFonts w:ascii="Palatino Linotype" w:eastAsia="Palatino Linotype" w:hAnsi="Palatino Linotype" w:cs="Palatino Linotype"/>
          <w:i/>
        </w:rPr>
      </w:pPr>
      <w:r w:rsidRPr="00E129F3">
        <w:rPr>
          <w:rFonts w:ascii="Palatino Linotype" w:eastAsia="Palatino Linotype" w:hAnsi="Palatino Linotype" w:cs="Palatino Linotype"/>
          <w:b/>
          <w:i/>
        </w:rPr>
        <w:t>I. Compro</w:t>
      </w:r>
      <w:r w:rsidRPr="00E129F3">
        <w:rPr>
          <w:rFonts w:ascii="Palatino Linotype" w:eastAsia="Palatino Linotype" w:hAnsi="Palatino Linotype" w:cs="Palatino Linotype"/>
          <w:b/>
          <w:i/>
        </w:rPr>
        <w:t>meta la seguridad pública y cuente con un propósito genuino y un efecto demostrable</w:t>
      </w:r>
      <w:r w:rsidRPr="00E129F3">
        <w:rPr>
          <w:rFonts w:ascii="Palatino Linotype" w:eastAsia="Palatino Linotype" w:hAnsi="Palatino Linotype" w:cs="Palatino Linotype"/>
          <w:i/>
        </w:rPr>
        <w:t>;”</w:t>
      </w:r>
    </w:p>
    <w:p w:rsidR="00A14528" w:rsidRPr="00E129F3" w:rsidRDefault="00E4098D">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Correlativo a lo anterior, los Lineamientos Generales en Materia de Clasificación y Desclasificación de la Información, así como para la Elaboración de Versiones Públicas, publicados el 16 de abril de 2016 y reformados el 18 de noviembre de 2022 señalan en</w:t>
      </w:r>
      <w:r w:rsidRPr="00E129F3">
        <w:rPr>
          <w:rFonts w:ascii="Palatino Linotype" w:eastAsia="Palatino Linotype" w:hAnsi="Palatino Linotype" w:cs="Palatino Linotype"/>
          <w:sz w:val="24"/>
          <w:szCs w:val="24"/>
        </w:rPr>
        <w:t xml:space="preserve"> su numeral décimo octavo que podrá considerarse como información reservada, aquella que comprometa la seguridad pública, al poner en peligro las funciones a cargo de la Federación, la Ciudad de México, los Estados y los Municipios, tendientes a preservar </w:t>
      </w:r>
      <w:r w:rsidRPr="00E129F3">
        <w:rPr>
          <w:rFonts w:ascii="Palatino Linotype" w:eastAsia="Palatino Linotype" w:hAnsi="Palatino Linotype" w:cs="Palatino Linotype"/>
          <w:sz w:val="24"/>
          <w:szCs w:val="24"/>
        </w:rPr>
        <w:t>y resguardar la vida, la salud, la integridad y el ejercicio de los derechos de las personas, así como para el mantenimiento del orden público.</w:t>
      </w:r>
    </w:p>
    <w:p w:rsidR="00E129F3" w:rsidRPr="00E129F3" w:rsidRDefault="00E129F3">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p>
    <w:p w:rsidR="00A14528" w:rsidRPr="00E129F3" w:rsidRDefault="00E4098D">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 xml:space="preserve">Es crucial señalar que estos Lineamientos señalan </w:t>
      </w:r>
      <w:r w:rsidRPr="00E129F3">
        <w:rPr>
          <w:rFonts w:ascii="Palatino Linotype" w:eastAsia="Palatino Linotype" w:hAnsi="Palatino Linotype" w:cs="Palatino Linotype"/>
          <w:b/>
          <w:sz w:val="24"/>
          <w:szCs w:val="24"/>
          <w:u w:val="single"/>
        </w:rPr>
        <w:t xml:space="preserve">que es susceptible de considerarse como reservada aquella que </w:t>
      </w:r>
      <w:r w:rsidRPr="00E129F3">
        <w:rPr>
          <w:rFonts w:ascii="Palatino Linotype" w:eastAsia="Palatino Linotype" w:hAnsi="Palatino Linotype" w:cs="Palatino Linotype"/>
          <w:b/>
          <w:sz w:val="24"/>
          <w:szCs w:val="24"/>
          <w:u w:val="single"/>
        </w:rPr>
        <w:t>revele datos que pudieran ser aprovechados para conocer la capacidad de reacción de las instituciones encargadas de la seguridad pública</w:t>
      </w:r>
      <w:r w:rsidRPr="00E129F3">
        <w:rPr>
          <w:rFonts w:ascii="Palatino Linotype" w:eastAsia="Palatino Linotype" w:hAnsi="Palatino Linotype" w:cs="Palatino Linotype"/>
          <w:sz w:val="24"/>
          <w:szCs w:val="24"/>
        </w:rPr>
        <w:t>, sus planes, estrategias, tecnología, información, sistemas de comunicaciones.</w:t>
      </w:r>
    </w:p>
    <w:p w:rsidR="00A14528" w:rsidRPr="00E129F3" w:rsidRDefault="00E4098D">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Hasta este punto tenemos que los instrum</w:t>
      </w:r>
      <w:r w:rsidRPr="00E129F3">
        <w:rPr>
          <w:rFonts w:ascii="Palatino Linotype" w:eastAsia="Palatino Linotype" w:hAnsi="Palatino Linotype" w:cs="Palatino Linotype"/>
          <w:sz w:val="24"/>
          <w:szCs w:val="24"/>
        </w:rPr>
        <w:t xml:space="preserve">entos normativos que debemos observar en estricto sentido disponen puntualmente la reserva de información para los casos en los que se revele información que pueda ser empleada para conocer la capacidad de reacción, es decir, todo lo relativo a servidores </w:t>
      </w:r>
      <w:r w:rsidRPr="00E129F3">
        <w:rPr>
          <w:rFonts w:ascii="Palatino Linotype" w:eastAsia="Palatino Linotype" w:hAnsi="Palatino Linotype" w:cs="Palatino Linotype"/>
          <w:sz w:val="24"/>
          <w:szCs w:val="24"/>
        </w:rPr>
        <w:t>públicos operativos que integran las instituciones de seguridad pública, ya que su divulgación podría ser utilizada para actualizar o potenciar una amenaza para la seguridad pública de la sociedad; teniendo esto en cuenta y trasladando estas premisas al ca</w:t>
      </w:r>
      <w:r w:rsidRPr="00E129F3">
        <w:rPr>
          <w:rFonts w:ascii="Palatino Linotype" w:eastAsia="Palatino Linotype" w:hAnsi="Palatino Linotype" w:cs="Palatino Linotype"/>
          <w:sz w:val="24"/>
          <w:szCs w:val="24"/>
        </w:rPr>
        <w:t>so particular se estima que con la entrega de información de los servidores públicos con funciones operativas adscritos a instituciones de seguridad pública, revela información actualizada sobre el número de policías operativos en activo a la fecha de la s</w:t>
      </w:r>
      <w:r w:rsidRPr="00E129F3">
        <w:rPr>
          <w:rFonts w:ascii="Palatino Linotype" w:eastAsia="Palatino Linotype" w:hAnsi="Palatino Linotype" w:cs="Palatino Linotype"/>
          <w:sz w:val="24"/>
          <w:szCs w:val="24"/>
        </w:rPr>
        <w:t>olicitud de información y en consecuencia su estado de fuerza vigente, lo cual no sólo contraviene lo dispuesto expresamente por las disposiciones previamente insertadas, sino que, además, pone en riesgo los valores jurídicos y los principios bajo los cual</w:t>
      </w:r>
      <w:r w:rsidRPr="00E129F3">
        <w:rPr>
          <w:rFonts w:ascii="Palatino Linotype" w:eastAsia="Palatino Linotype" w:hAnsi="Palatino Linotype" w:cs="Palatino Linotype"/>
          <w:sz w:val="24"/>
          <w:szCs w:val="24"/>
        </w:rPr>
        <w:t>es de las instituciones de seguridad pública se debe regir como son la legalidad, objetividad, eficiencia, profesionalismo, honradez y respeto a los derechos humanos reconocidos en la Constitución General.</w:t>
      </w:r>
    </w:p>
    <w:p w:rsidR="00A14528" w:rsidRPr="00E129F3" w:rsidRDefault="00E4098D">
      <w:pPr>
        <w:spacing w:before="240" w:after="240" w:line="360" w:lineRule="auto"/>
        <w:ind w:right="-3"/>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lastRenderedPageBreak/>
        <w:t>En conclusión, la reserva del personal operativo p</w:t>
      </w:r>
      <w:r w:rsidRPr="00E129F3">
        <w:rPr>
          <w:rFonts w:ascii="Palatino Linotype" w:eastAsia="Palatino Linotype" w:hAnsi="Palatino Linotype" w:cs="Palatino Linotype"/>
          <w:sz w:val="24"/>
          <w:szCs w:val="24"/>
        </w:rPr>
        <w:t>rocede por dos circunstancias:</w:t>
      </w:r>
    </w:p>
    <w:p w:rsidR="00A14528" w:rsidRPr="00E129F3" w:rsidRDefault="00E4098D">
      <w:pPr>
        <w:spacing w:before="240" w:after="240" w:line="360" w:lineRule="auto"/>
        <w:ind w:left="284" w:right="-3"/>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 xml:space="preserve">1. Se identifica en términos concretos cómo es que la información requerida podría comprometer el ejercicio de sus facultades constitucionales y, con ello, la seguridad pública, en virtud de que: </w:t>
      </w:r>
    </w:p>
    <w:p w:rsidR="00A14528" w:rsidRPr="00E129F3" w:rsidRDefault="00E4098D">
      <w:pPr>
        <w:spacing w:before="240" w:after="240" w:line="360" w:lineRule="auto"/>
        <w:ind w:left="567" w:right="-3"/>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a) La información podría ser</w:t>
      </w:r>
      <w:r w:rsidRPr="00E129F3">
        <w:rPr>
          <w:rFonts w:ascii="Palatino Linotype" w:eastAsia="Palatino Linotype" w:hAnsi="Palatino Linotype" w:cs="Palatino Linotype"/>
          <w:sz w:val="24"/>
          <w:szCs w:val="24"/>
        </w:rPr>
        <w:t xml:space="preserve"> aprovechada por los grupos criminales para conocer la capacidad de reacción </w:t>
      </w:r>
    </w:p>
    <w:p w:rsidR="00A14528" w:rsidRPr="00E129F3" w:rsidRDefault="00E4098D">
      <w:pPr>
        <w:spacing w:before="240" w:after="240" w:line="360" w:lineRule="auto"/>
        <w:ind w:left="567" w:right="-3"/>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 xml:space="preserve">b) Con dicha información se revelarían a detalle las características funcionales del personal y con ello, su organización para el cumplimiento de sus funciones; y </w:t>
      </w:r>
    </w:p>
    <w:p w:rsidR="00A14528" w:rsidRPr="00E129F3" w:rsidRDefault="00E4098D">
      <w:pPr>
        <w:spacing w:before="240" w:after="240" w:line="360" w:lineRule="auto"/>
        <w:ind w:left="284" w:right="-3"/>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 xml:space="preserve">2. Existe una </w:t>
      </w:r>
      <w:r w:rsidRPr="00E129F3">
        <w:rPr>
          <w:rFonts w:ascii="Palatino Linotype" w:eastAsia="Palatino Linotype" w:hAnsi="Palatino Linotype" w:cs="Palatino Linotype"/>
          <w:sz w:val="24"/>
          <w:szCs w:val="24"/>
        </w:rPr>
        <w:t xml:space="preserve">relación causal general entre la entrega de la información y la afectación a la seguridad pública, pues los grupos criminales estarían en posibilidad de obstaculizar o bloquear actividades encaminadas a preservar el orden dentro de la dinámica social. </w:t>
      </w:r>
    </w:p>
    <w:p w:rsidR="00A14528" w:rsidRPr="00E129F3" w:rsidRDefault="00E4098D">
      <w:pPr>
        <w:spacing w:before="240" w:after="240" w:line="360" w:lineRule="auto"/>
        <w:ind w:right="-3"/>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Por</w:t>
      </w:r>
      <w:r w:rsidRPr="00E129F3">
        <w:rPr>
          <w:rFonts w:ascii="Palatino Linotype" w:eastAsia="Palatino Linotype" w:hAnsi="Palatino Linotype" w:cs="Palatino Linotype"/>
          <w:sz w:val="24"/>
          <w:szCs w:val="24"/>
        </w:rPr>
        <w:t xml:space="preserve"> lo tanto, entre mayor información se dé a conocer respecto del </w:t>
      </w:r>
      <w:r w:rsidRPr="00E129F3">
        <w:rPr>
          <w:rFonts w:ascii="Palatino Linotype" w:eastAsia="Palatino Linotype" w:hAnsi="Palatino Linotype" w:cs="Palatino Linotype"/>
          <w:b/>
          <w:i/>
          <w:sz w:val="24"/>
          <w:szCs w:val="24"/>
        </w:rPr>
        <w:t xml:space="preserve">estado de fuerza </w:t>
      </w:r>
      <w:r w:rsidRPr="00E129F3">
        <w:rPr>
          <w:rFonts w:ascii="Palatino Linotype" w:eastAsia="Palatino Linotype" w:hAnsi="Palatino Linotype" w:cs="Palatino Linotype"/>
          <w:sz w:val="24"/>
          <w:szCs w:val="24"/>
        </w:rPr>
        <w:t>con que cuentan el Estado y Municipios, mayor es la probabilidad de que la información pueda implementarse como medio para actualizar o potenciar una amenaza en contra de la s</w:t>
      </w:r>
      <w:r w:rsidRPr="00E129F3">
        <w:rPr>
          <w:rFonts w:ascii="Palatino Linotype" w:eastAsia="Palatino Linotype" w:hAnsi="Palatino Linotype" w:cs="Palatino Linotype"/>
          <w:sz w:val="24"/>
          <w:szCs w:val="24"/>
        </w:rPr>
        <w:t xml:space="preserve">eguridad pública de los mismos. </w:t>
      </w:r>
    </w:p>
    <w:p w:rsidR="00A14528" w:rsidRPr="00E129F3" w:rsidRDefault="00E4098D">
      <w:pPr>
        <w:spacing w:before="240" w:after="240" w:line="360" w:lineRule="auto"/>
        <w:ind w:right="139"/>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No pasa inadvertido para la suscrita que en los casos en los que se publiciten diversas notas o documentos en los que se dé a conocer información estadística sobre el número de elementos de policía con los que cuentan los a</w:t>
      </w:r>
      <w:r w:rsidRPr="00E129F3">
        <w:rPr>
          <w:rFonts w:ascii="Palatino Linotype" w:eastAsia="Palatino Linotype" w:hAnsi="Palatino Linotype" w:cs="Palatino Linotype"/>
          <w:sz w:val="24"/>
          <w:szCs w:val="24"/>
        </w:rPr>
        <w:t xml:space="preserve">yuntamientos, </w:t>
      </w:r>
      <w:r w:rsidRPr="00E129F3">
        <w:rPr>
          <w:rFonts w:ascii="Palatino Linotype" w:eastAsia="Palatino Linotype" w:hAnsi="Palatino Linotype" w:cs="Palatino Linotype"/>
          <w:sz w:val="24"/>
          <w:szCs w:val="24"/>
        </w:rPr>
        <w:lastRenderedPageBreak/>
        <w:t>esta información no se encuentra actualizada, aunado a que no se hace una distinción entre el número de personal operativo y administrativo.</w:t>
      </w:r>
    </w:p>
    <w:p w:rsidR="00A14528" w:rsidRPr="00E129F3" w:rsidRDefault="00E4098D">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En consecuencia, la información de los elementos operativos adscrito a instituciones de seguridad pública,  deben recibir un tratamiento de carácter excepcional, y esto es en razón de que, son los responsables de procurar el orden, la estabilidad y la defe</w:t>
      </w:r>
      <w:r w:rsidRPr="00E129F3">
        <w:rPr>
          <w:rFonts w:ascii="Palatino Linotype" w:eastAsia="Palatino Linotype" w:hAnsi="Palatino Linotype" w:cs="Palatino Linotype"/>
          <w:sz w:val="24"/>
          <w:szCs w:val="24"/>
        </w:rPr>
        <w:t xml:space="preserve">nsa de la sociedad a la que pertenecen, por lo que, se estima que al proporcionar documentales en las que se aprecie dicha información dicha información se revela el número de servidores públicos operativos con funciones de seguridad pública activos en el </w:t>
      </w:r>
      <w:r w:rsidRPr="00E129F3">
        <w:rPr>
          <w:rFonts w:ascii="Palatino Linotype" w:eastAsia="Palatino Linotype" w:hAnsi="Palatino Linotype" w:cs="Palatino Linotype"/>
          <w:sz w:val="24"/>
          <w:szCs w:val="24"/>
        </w:rPr>
        <w:t>Sujeto obligado; información con la que se da a conocer el estado de fuerza y la capacidad de reacción del órgano público.</w:t>
      </w:r>
    </w:p>
    <w:p w:rsidR="00A14528" w:rsidRPr="00E129F3" w:rsidRDefault="00E4098D">
      <w:pPr>
        <w:spacing w:before="240" w:after="240" w:line="360" w:lineRule="auto"/>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Ahora bien, la suscrita considera que es de vital importancia señalar que para los casos en los que los particulares deseen conocer l</w:t>
      </w:r>
      <w:r w:rsidRPr="00E129F3">
        <w:rPr>
          <w:rFonts w:ascii="Palatino Linotype" w:eastAsia="Palatino Linotype" w:hAnsi="Palatino Linotype" w:cs="Palatino Linotype"/>
          <w:sz w:val="24"/>
          <w:szCs w:val="24"/>
        </w:rPr>
        <w:t>as remuneraciones de los elementos operativos de las instituciones de seguridad pública, estas se pueden otorgar mediante el tabulador de sueldos, pues en este soporte se asientan los puestos funcionales y las remuneraciones, lo anterior encuentra sustento</w:t>
      </w:r>
      <w:r w:rsidRPr="00E129F3">
        <w:rPr>
          <w:rFonts w:ascii="Palatino Linotype" w:eastAsia="Palatino Linotype" w:hAnsi="Palatino Linotype" w:cs="Palatino Linotype"/>
          <w:sz w:val="24"/>
          <w:szCs w:val="24"/>
        </w:rPr>
        <w:t xml:space="preserve"> en el Instructivo de</w:t>
      </w:r>
      <w:r w:rsidR="00E129F3" w:rsidRPr="00E129F3">
        <w:rPr>
          <w:rFonts w:ascii="Palatino Linotype" w:eastAsia="Palatino Linotype" w:hAnsi="Palatino Linotype" w:cs="Palatino Linotype"/>
          <w:sz w:val="24"/>
          <w:szCs w:val="24"/>
        </w:rPr>
        <w:t>l módulo 4 para la entrega del Informe T</w:t>
      </w:r>
      <w:r w:rsidRPr="00E129F3">
        <w:rPr>
          <w:rFonts w:ascii="Palatino Linotype" w:eastAsia="Palatino Linotype" w:hAnsi="Palatino Linotype" w:cs="Palatino Linotype"/>
          <w:sz w:val="24"/>
          <w:szCs w:val="24"/>
        </w:rPr>
        <w:t>rimestral 2023, en dicho documento obran los siguientes elementos:</w:t>
      </w:r>
    </w:p>
    <w:p w:rsidR="00A14528" w:rsidRPr="00E129F3" w:rsidRDefault="00A14528">
      <w:pPr>
        <w:spacing w:before="240" w:after="240" w:line="360" w:lineRule="auto"/>
        <w:ind w:right="139"/>
        <w:jc w:val="both"/>
        <w:rPr>
          <w:noProof/>
        </w:rPr>
      </w:pPr>
      <w:bookmarkStart w:id="3" w:name="_heading=h.fald234fiuyg" w:colFirst="0" w:colLast="0"/>
      <w:bookmarkStart w:id="4" w:name="_heading=h.6x66xkp9czwl" w:colFirst="0" w:colLast="0"/>
      <w:bookmarkEnd w:id="3"/>
      <w:bookmarkEnd w:id="4"/>
    </w:p>
    <w:p w:rsidR="00E129F3" w:rsidRPr="00E129F3" w:rsidRDefault="00E129F3" w:rsidP="00E129F3">
      <w:pPr>
        <w:spacing w:before="240" w:after="240" w:line="360" w:lineRule="auto"/>
        <w:ind w:right="139"/>
        <w:jc w:val="center"/>
        <w:rPr>
          <w:noProof/>
        </w:rPr>
      </w:pPr>
      <w:r w:rsidRPr="00E129F3">
        <w:rPr>
          <w:noProof/>
        </w:rPr>
        <w:lastRenderedPageBreak/>
        <w:drawing>
          <wp:inline distT="0" distB="0" distL="0" distR="0" wp14:anchorId="3CFAC6AB" wp14:editId="7BA474FF">
            <wp:extent cx="5580000" cy="4826873"/>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0000" cy="4826873"/>
                    </a:xfrm>
                    <a:prstGeom prst="rect">
                      <a:avLst/>
                    </a:prstGeom>
                  </pic:spPr>
                </pic:pic>
              </a:graphicData>
            </a:graphic>
          </wp:inline>
        </w:drawing>
      </w:r>
    </w:p>
    <w:p w:rsidR="00E129F3" w:rsidRPr="00E129F3" w:rsidRDefault="00E129F3" w:rsidP="00E129F3">
      <w:pPr>
        <w:spacing w:before="240" w:after="240" w:line="360" w:lineRule="auto"/>
        <w:ind w:right="139"/>
        <w:jc w:val="center"/>
        <w:rPr>
          <w:noProof/>
        </w:rPr>
      </w:pPr>
      <w:r w:rsidRPr="00E129F3">
        <w:rPr>
          <w:noProof/>
        </w:rPr>
        <w:drawing>
          <wp:inline distT="0" distB="0" distL="0" distR="0" wp14:anchorId="6F294389" wp14:editId="1D10C400">
            <wp:extent cx="4320000" cy="173826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 b="70494"/>
                    <a:stretch/>
                  </pic:blipFill>
                  <pic:spPr bwMode="auto">
                    <a:xfrm>
                      <a:off x="0" y="0"/>
                      <a:ext cx="4320000" cy="1738260"/>
                    </a:xfrm>
                    <a:prstGeom prst="rect">
                      <a:avLst/>
                    </a:prstGeom>
                    <a:ln>
                      <a:noFill/>
                    </a:ln>
                    <a:extLst>
                      <a:ext uri="{53640926-AAD7-44D8-BBD7-CCE9431645EC}">
                        <a14:shadowObscured xmlns:a14="http://schemas.microsoft.com/office/drawing/2010/main"/>
                      </a:ext>
                    </a:extLst>
                  </pic:spPr>
                </pic:pic>
              </a:graphicData>
            </a:graphic>
          </wp:inline>
        </w:drawing>
      </w:r>
    </w:p>
    <w:p w:rsidR="00E129F3" w:rsidRPr="00E129F3" w:rsidRDefault="00E129F3" w:rsidP="00E129F3">
      <w:pPr>
        <w:spacing w:before="240" w:after="240" w:line="360" w:lineRule="auto"/>
        <w:ind w:right="139"/>
        <w:jc w:val="center"/>
        <w:rPr>
          <w:noProof/>
        </w:rPr>
      </w:pPr>
      <w:r w:rsidRPr="00E129F3">
        <w:rPr>
          <w:noProof/>
        </w:rPr>
        <w:lastRenderedPageBreak/>
        <w:drawing>
          <wp:inline distT="0" distB="0" distL="0" distR="0" wp14:anchorId="273BF6C3" wp14:editId="42766A9C">
            <wp:extent cx="4320000" cy="2089095"/>
            <wp:effectExtent l="0" t="0" r="444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64538"/>
                    <a:stretch/>
                  </pic:blipFill>
                  <pic:spPr bwMode="auto">
                    <a:xfrm>
                      <a:off x="0" y="0"/>
                      <a:ext cx="4320000" cy="2089095"/>
                    </a:xfrm>
                    <a:prstGeom prst="rect">
                      <a:avLst/>
                    </a:prstGeom>
                    <a:ln>
                      <a:noFill/>
                    </a:ln>
                    <a:extLst>
                      <a:ext uri="{53640926-AAD7-44D8-BBD7-CCE9431645EC}">
                        <a14:shadowObscured xmlns:a14="http://schemas.microsoft.com/office/drawing/2010/main"/>
                      </a:ext>
                    </a:extLst>
                  </pic:spPr>
                </pic:pic>
              </a:graphicData>
            </a:graphic>
          </wp:inline>
        </w:drawing>
      </w:r>
    </w:p>
    <w:p w:rsidR="00A14528" w:rsidRPr="00E129F3" w:rsidRDefault="00E4098D">
      <w:pPr>
        <w:spacing w:before="240" w:after="240" w:line="360" w:lineRule="auto"/>
        <w:ind w:right="139"/>
        <w:jc w:val="both"/>
        <w:rPr>
          <w:rFonts w:ascii="Palatino Linotype" w:eastAsia="Palatino Linotype" w:hAnsi="Palatino Linotype" w:cs="Palatino Linotype"/>
          <w:sz w:val="24"/>
          <w:szCs w:val="24"/>
        </w:rPr>
      </w:pPr>
      <w:bookmarkStart w:id="5" w:name="_heading=h.3znysh7" w:colFirst="0" w:colLast="0"/>
      <w:bookmarkEnd w:id="5"/>
      <w:r w:rsidRPr="00E129F3">
        <w:rPr>
          <w:rFonts w:ascii="Palatino Linotype" w:eastAsia="Palatino Linotype" w:hAnsi="Palatino Linotype" w:cs="Palatino Linotype"/>
          <w:sz w:val="24"/>
          <w:szCs w:val="24"/>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rsidR="00A14528" w:rsidRPr="00E129F3" w:rsidRDefault="00E4098D">
      <w:pPr>
        <w:spacing w:before="240" w:after="240" w:line="360" w:lineRule="auto"/>
        <w:ind w:right="139"/>
        <w:jc w:val="both"/>
        <w:rPr>
          <w:rFonts w:ascii="Palatino Linotype" w:eastAsia="Palatino Linotype" w:hAnsi="Palatino Linotype" w:cs="Palatino Linotype"/>
          <w:sz w:val="24"/>
          <w:szCs w:val="24"/>
        </w:rPr>
      </w:pPr>
      <w:r w:rsidRPr="00E129F3">
        <w:rPr>
          <w:rFonts w:ascii="Palatino Linotype" w:eastAsia="Palatino Linotype" w:hAnsi="Palatino Linotype" w:cs="Palatino Linotype"/>
          <w:sz w:val="24"/>
          <w:szCs w:val="24"/>
        </w:rPr>
        <w:t>Es por to</w:t>
      </w:r>
      <w:r w:rsidRPr="00E129F3">
        <w:rPr>
          <w:rFonts w:ascii="Palatino Linotype" w:eastAsia="Palatino Linotype" w:hAnsi="Palatino Linotype" w:cs="Palatino Linotype"/>
          <w:sz w:val="24"/>
          <w:szCs w:val="24"/>
        </w:rPr>
        <w:t>do lo anteriormente expuesto que considero que en las líneas argumentativas que anteceden, se acreditó de manera fehaciente que esta información debe ser reservada pues su entrega revela datos que pudieran ser aprovechados para conocer la capacidad de reac</w:t>
      </w:r>
      <w:r w:rsidRPr="00E129F3">
        <w:rPr>
          <w:rFonts w:ascii="Palatino Linotype" w:eastAsia="Palatino Linotype" w:hAnsi="Palatino Linotype" w:cs="Palatino Linotype"/>
          <w:sz w:val="24"/>
          <w:szCs w:val="24"/>
        </w:rPr>
        <w:t xml:space="preserve">ción de las instituciones encargadas de la seguridad pública y </w:t>
      </w:r>
      <w:r w:rsidRPr="00E129F3">
        <w:rPr>
          <w:rFonts w:ascii="Palatino Linotype" w:eastAsia="Palatino Linotype" w:hAnsi="Palatino Linotype" w:cs="Palatino Linotype"/>
          <w:b/>
          <w:sz w:val="24"/>
          <w:szCs w:val="24"/>
          <w:u w:val="single"/>
        </w:rPr>
        <w:t xml:space="preserve">facilitaría a las células delictivas el neutralizar las acciones implementadas o por implementar para la preservación de la paz pública, afectando así su estado de fuerza, o bien les permita </w:t>
      </w:r>
      <w:r w:rsidRPr="00E129F3">
        <w:rPr>
          <w:rFonts w:ascii="Palatino Linotype" w:eastAsia="Palatino Linotype" w:hAnsi="Palatino Linotype" w:cs="Palatino Linotype"/>
          <w:sz w:val="24"/>
          <w:szCs w:val="24"/>
        </w:rPr>
        <w:t>re</w:t>
      </w:r>
      <w:r w:rsidRPr="00E129F3">
        <w:rPr>
          <w:rFonts w:ascii="Palatino Linotype" w:eastAsia="Palatino Linotype" w:hAnsi="Palatino Linotype" w:cs="Palatino Linotype"/>
          <w:sz w:val="24"/>
          <w:szCs w:val="24"/>
        </w:rPr>
        <w:t>alizar actos para amenazar, inhibir, extorsionar o corromper las funciones del personal operativo, lo que causaría una vulneración a la Seguridad Municipal, por lo tanto la suscrita no comparte las consideraciones vertidas en la resolución respecto del tra</w:t>
      </w:r>
      <w:r w:rsidRPr="00E129F3">
        <w:rPr>
          <w:rFonts w:ascii="Palatino Linotype" w:eastAsia="Palatino Linotype" w:hAnsi="Palatino Linotype" w:cs="Palatino Linotype"/>
          <w:sz w:val="24"/>
          <w:szCs w:val="24"/>
        </w:rPr>
        <w:t xml:space="preserve">tamiento que se le da a la información relativa a elementos operativos de instituciones de seguridad pública, y  por ende formula el presente </w:t>
      </w:r>
      <w:r w:rsidRPr="00E129F3">
        <w:rPr>
          <w:rFonts w:ascii="Palatino Linotype" w:eastAsia="Palatino Linotype" w:hAnsi="Palatino Linotype" w:cs="Palatino Linotype"/>
          <w:b/>
          <w:sz w:val="24"/>
          <w:szCs w:val="24"/>
        </w:rPr>
        <w:t>Voto particular</w:t>
      </w:r>
      <w:r w:rsidRPr="00E129F3">
        <w:rPr>
          <w:rFonts w:ascii="Palatino Linotype" w:eastAsia="Palatino Linotype" w:hAnsi="Palatino Linotype" w:cs="Palatino Linotype"/>
          <w:sz w:val="24"/>
          <w:szCs w:val="24"/>
        </w:rPr>
        <w:t>.</w:t>
      </w:r>
      <w:r w:rsidRPr="00E129F3">
        <w:rPr>
          <w:rFonts w:ascii="Palatino Linotype" w:eastAsia="Palatino Linotype" w:hAnsi="Palatino Linotype" w:cs="Palatino Linotype"/>
          <w:sz w:val="24"/>
          <w:szCs w:val="24"/>
        </w:rPr>
        <w:t xml:space="preserve"> </w:t>
      </w:r>
    </w:p>
    <w:p w:rsidR="00A14528" w:rsidRPr="00E129F3" w:rsidRDefault="00A14528">
      <w:pPr>
        <w:spacing w:before="240" w:after="240" w:line="360" w:lineRule="auto"/>
        <w:ind w:right="139"/>
        <w:jc w:val="both"/>
        <w:rPr>
          <w:rFonts w:ascii="Palatino Linotype" w:eastAsia="Palatino Linotype" w:hAnsi="Palatino Linotype" w:cs="Palatino Linotype"/>
          <w:sz w:val="24"/>
          <w:szCs w:val="24"/>
        </w:rPr>
      </w:pPr>
    </w:p>
    <w:p w:rsidR="00A14528" w:rsidRPr="00E129F3" w:rsidRDefault="00A14528">
      <w:pPr>
        <w:spacing w:after="0" w:line="360" w:lineRule="auto"/>
        <w:ind w:right="139"/>
        <w:jc w:val="both"/>
        <w:rPr>
          <w:rFonts w:ascii="Palatino Linotype" w:eastAsia="Palatino Linotype" w:hAnsi="Palatino Linotype" w:cs="Palatino Linotype"/>
        </w:rPr>
      </w:pPr>
    </w:p>
    <w:p w:rsidR="00A14528" w:rsidRPr="00E129F3" w:rsidRDefault="00A14528">
      <w:pPr>
        <w:spacing w:after="0" w:line="360" w:lineRule="auto"/>
        <w:ind w:right="139"/>
        <w:jc w:val="both"/>
        <w:rPr>
          <w:rFonts w:ascii="Palatino Linotype" w:eastAsia="Palatino Linotype" w:hAnsi="Palatino Linotype" w:cs="Palatino Linotype"/>
        </w:rPr>
      </w:pPr>
    </w:p>
    <w:p w:rsidR="00A14528" w:rsidRPr="00E129F3" w:rsidRDefault="00A14528">
      <w:pPr>
        <w:spacing w:after="0" w:line="360" w:lineRule="auto"/>
        <w:ind w:right="139"/>
        <w:jc w:val="both"/>
        <w:rPr>
          <w:rFonts w:ascii="Palatino Linotype" w:eastAsia="Palatino Linotype" w:hAnsi="Palatino Linotype" w:cs="Palatino Linotype"/>
        </w:rPr>
      </w:pPr>
    </w:p>
    <w:p w:rsidR="00A14528" w:rsidRPr="00E129F3" w:rsidRDefault="00A14528">
      <w:pPr>
        <w:spacing w:after="0" w:line="360" w:lineRule="auto"/>
        <w:ind w:right="139"/>
        <w:jc w:val="both"/>
        <w:rPr>
          <w:rFonts w:ascii="Palatino Linotype" w:eastAsia="Palatino Linotype" w:hAnsi="Palatino Linotype" w:cs="Palatino Linotype"/>
        </w:rPr>
      </w:pPr>
    </w:p>
    <w:p w:rsidR="00A14528" w:rsidRPr="00E129F3" w:rsidRDefault="00A14528">
      <w:pPr>
        <w:spacing w:after="0" w:line="360" w:lineRule="auto"/>
        <w:ind w:right="139"/>
        <w:jc w:val="both"/>
        <w:rPr>
          <w:rFonts w:ascii="Palatino Linotype" w:eastAsia="Palatino Linotype" w:hAnsi="Palatino Linotype" w:cs="Palatino Linotype"/>
        </w:rPr>
      </w:pPr>
    </w:p>
    <w:p w:rsidR="00A14528" w:rsidRPr="00E129F3" w:rsidRDefault="00A14528">
      <w:pPr>
        <w:spacing w:after="0" w:line="360" w:lineRule="auto"/>
        <w:ind w:right="139"/>
        <w:jc w:val="both"/>
        <w:rPr>
          <w:rFonts w:ascii="Palatino Linotype" w:eastAsia="Palatino Linotype" w:hAnsi="Palatino Linotype" w:cs="Palatino Linotype"/>
        </w:rPr>
      </w:pPr>
    </w:p>
    <w:p w:rsidR="00A14528" w:rsidRPr="00E129F3" w:rsidRDefault="00A14528">
      <w:pPr>
        <w:spacing w:after="0" w:line="360" w:lineRule="auto"/>
        <w:ind w:right="139"/>
        <w:jc w:val="both"/>
        <w:rPr>
          <w:rFonts w:ascii="Palatino Linotype" w:eastAsia="Palatino Linotype" w:hAnsi="Palatino Linotype" w:cs="Palatino Linotype"/>
        </w:rPr>
      </w:pPr>
    </w:p>
    <w:p w:rsidR="00A14528" w:rsidRPr="00E129F3" w:rsidRDefault="00A14528">
      <w:pPr>
        <w:spacing w:after="0" w:line="360" w:lineRule="auto"/>
        <w:ind w:right="139"/>
        <w:jc w:val="both"/>
        <w:rPr>
          <w:rFonts w:ascii="Palatino Linotype" w:eastAsia="Palatino Linotype" w:hAnsi="Palatino Linotype" w:cs="Palatino Linotype"/>
        </w:rPr>
      </w:pPr>
    </w:p>
    <w:p w:rsidR="00A14528" w:rsidRPr="00E129F3" w:rsidRDefault="00A14528">
      <w:pPr>
        <w:spacing w:after="0" w:line="360" w:lineRule="auto"/>
        <w:ind w:right="139"/>
        <w:jc w:val="both"/>
        <w:rPr>
          <w:rFonts w:ascii="Palatino Linotype" w:eastAsia="Palatino Linotype" w:hAnsi="Palatino Linotype" w:cs="Palatino Linotype"/>
        </w:rPr>
      </w:pPr>
    </w:p>
    <w:p w:rsidR="00A14528" w:rsidRPr="00E129F3" w:rsidRDefault="00A14528">
      <w:pPr>
        <w:spacing w:after="0" w:line="360" w:lineRule="auto"/>
        <w:ind w:right="139"/>
        <w:jc w:val="both"/>
        <w:rPr>
          <w:rFonts w:ascii="Palatino Linotype" w:eastAsia="Palatino Linotype" w:hAnsi="Palatino Linotype" w:cs="Palatino Linotype"/>
        </w:rPr>
      </w:pPr>
    </w:p>
    <w:p w:rsidR="00A14528" w:rsidRPr="00E129F3" w:rsidRDefault="00A14528">
      <w:pPr>
        <w:spacing w:after="0" w:line="360" w:lineRule="auto"/>
        <w:ind w:right="139"/>
        <w:jc w:val="both"/>
        <w:rPr>
          <w:rFonts w:ascii="Palatino Linotype" w:eastAsia="Palatino Linotype" w:hAnsi="Palatino Linotype" w:cs="Palatino Linotype"/>
        </w:rPr>
      </w:pPr>
    </w:p>
    <w:p w:rsidR="00A14528" w:rsidRPr="00E129F3" w:rsidRDefault="00A14528">
      <w:pPr>
        <w:spacing w:after="0" w:line="360" w:lineRule="auto"/>
        <w:ind w:right="139"/>
        <w:jc w:val="both"/>
        <w:rPr>
          <w:rFonts w:ascii="Palatino Linotype" w:eastAsia="Palatino Linotype" w:hAnsi="Palatino Linotype" w:cs="Palatino Linotype"/>
        </w:rPr>
      </w:pPr>
    </w:p>
    <w:p w:rsidR="00A14528" w:rsidRPr="00E129F3" w:rsidRDefault="00A14528">
      <w:pPr>
        <w:spacing w:after="0" w:line="360" w:lineRule="auto"/>
        <w:ind w:right="139"/>
        <w:jc w:val="both"/>
        <w:rPr>
          <w:rFonts w:ascii="Palatino Linotype" w:eastAsia="Palatino Linotype" w:hAnsi="Palatino Linotype" w:cs="Palatino Linotype"/>
        </w:rPr>
      </w:pPr>
    </w:p>
    <w:p w:rsidR="00A14528" w:rsidRPr="00E129F3" w:rsidRDefault="00A14528">
      <w:pPr>
        <w:spacing w:after="0" w:line="360" w:lineRule="auto"/>
        <w:ind w:right="139"/>
        <w:jc w:val="both"/>
        <w:rPr>
          <w:rFonts w:ascii="Palatino Linotype" w:eastAsia="Palatino Linotype" w:hAnsi="Palatino Linotype" w:cs="Palatino Linotype"/>
        </w:rPr>
      </w:pPr>
    </w:p>
    <w:p w:rsidR="00A14528" w:rsidRPr="00E129F3" w:rsidRDefault="00A14528">
      <w:pPr>
        <w:spacing w:after="0" w:line="360" w:lineRule="auto"/>
        <w:ind w:right="139"/>
        <w:jc w:val="both"/>
        <w:rPr>
          <w:rFonts w:ascii="Palatino Linotype" w:eastAsia="Palatino Linotype" w:hAnsi="Palatino Linotype" w:cs="Palatino Linotype"/>
        </w:rPr>
      </w:pPr>
    </w:p>
    <w:p w:rsidR="00A14528" w:rsidRPr="00E129F3" w:rsidRDefault="00A14528">
      <w:pPr>
        <w:spacing w:after="0" w:line="360" w:lineRule="auto"/>
        <w:ind w:right="139"/>
        <w:jc w:val="both"/>
        <w:rPr>
          <w:rFonts w:ascii="Palatino Linotype" w:eastAsia="Palatino Linotype" w:hAnsi="Palatino Linotype" w:cs="Palatino Linotype"/>
        </w:rPr>
      </w:pPr>
    </w:p>
    <w:p w:rsidR="00A14528" w:rsidRPr="00E129F3" w:rsidRDefault="00A14528">
      <w:pPr>
        <w:spacing w:after="0" w:line="360" w:lineRule="auto"/>
        <w:ind w:right="139"/>
        <w:jc w:val="both"/>
        <w:rPr>
          <w:rFonts w:ascii="Palatino Linotype" w:eastAsia="Palatino Linotype" w:hAnsi="Palatino Linotype" w:cs="Palatino Linotype"/>
        </w:rPr>
      </w:pPr>
      <w:bookmarkStart w:id="6" w:name="_heading=h.gjdgxs" w:colFirst="0" w:colLast="0"/>
      <w:bookmarkEnd w:id="6"/>
    </w:p>
    <w:sectPr w:rsidR="00A14528" w:rsidRPr="00E129F3">
      <w:headerReference w:type="default" r:id="rId10"/>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98D" w:rsidRDefault="00E4098D">
      <w:pPr>
        <w:spacing w:after="0" w:line="240" w:lineRule="auto"/>
      </w:pPr>
      <w:r>
        <w:separator/>
      </w:r>
    </w:p>
  </w:endnote>
  <w:endnote w:type="continuationSeparator" w:id="0">
    <w:p w:rsidR="00E4098D" w:rsidRDefault="00E4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98D" w:rsidRDefault="00E4098D">
      <w:pPr>
        <w:spacing w:after="0" w:line="240" w:lineRule="auto"/>
      </w:pPr>
      <w:r>
        <w:separator/>
      </w:r>
    </w:p>
  </w:footnote>
  <w:footnote w:type="continuationSeparator" w:id="0">
    <w:p w:rsidR="00E4098D" w:rsidRDefault="00E40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528" w:rsidRDefault="00E4098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-1245232</wp:posOffset>
          </wp:positionH>
          <wp:positionV relativeFrom="paragraph">
            <wp:posOffset>-452115</wp:posOffset>
          </wp:positionV>
          <wp:extent cx="7510145" cy="9883775"/>
          <wp:effectExtent l="0" t="0" r="0" b="0"/>
          <wp:wrapNone/>
          <wp:docPr id="10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A14528" w:rsidRDefault="00E4098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rsidR="00A14528" w:rsidRDefault="00E4098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RECURSOS DE REVISIÓN: 07679/INFOEM/IP/RR/2023 </w:t>
    </w:r>
  </w:p>
  <w:p w:rsidR="00A14528" w:rsidRDefault="00A1452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C46A8"/>
    <w:multiLevelType w:val="multilevel"/>
    <w:tmpl w:val="DDA820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28"/>
    <w:rsid w:val="00237F41"/>
    <w:rsid w:val="00A14528"/>
    <w:rsid w:val="00E129F3"/>
    <w:rsid w:val="00E40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B6C4C-C04C-4EDC-B91B-660E08D8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RpNx7kTNhznquYq0sTl02XcjCQ==">CgMxLjAyCWguMzBqMHpsbDIJaC40ZDM0b2c4Mg5oLmZhbGQyMzRmaXV5ZzIOaC42eDY2eGtwOWN6d2wyCWguM3pueXNoNzIIaC5namRneHM4AHIhMXUtdllCM1FUVEFRd0NCeXFCX1JhT0trbFZOWlpRZ0tN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2224</Words>
  <Characters>12237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dcterms:created xsi:type="dcterms:W3CDTF">2024-02-09T19:10:00Z</dcterms:created>
  <dcterms:modified xsi:type="dcterms:W3CDTF">2024-02-12T16:02:00Z</dcterms:modified>
</cp:coreProperties>
</file>