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2FFF7" w14:textId="612F8828" w:rsidR="00BF5B6F" w:rsidRDefault="003B2387" w:rsidP="00BF5B6F">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sidR="00DE0C32">
        <w:rPr>
          <w:rFonts w:ascii="Palatino Linotype" w:eastAsia="Palatino Linotype" w:hAnsi="Palatino Linotype" w:cs="Palatino Linotype"/>
          <w:b/>
          <w:color w:val="000000"/>
          <w:sz w:val="24"/>
          <w:szCs w:val="24"/>
        </w:rPr>
        <w:t xml:space="preserve">LA TRIGÉSIMA </w:t>
      </w:r>
      <w:r w:rsidR="00654750">
        <w:rPr>
          <w:rFonts w:ascii="Palatino Linotype" w:eastAsia="Palatino Linotype" w:hAnsi="Palatino Linotype" w:cs="Palatino Linotype"/>
          <w:b/>
          <w:color w:val="000000"/>
          <w:sz w:val="24"/>
          <w:szCs w:val="24"/>
        </w:rPr>
        <w:t>NOVEN</w:t>
      </w:r>
      <w:r w:rsidR="003222CB">
        <w:rPr>
          <w:rFonts w:ascii="Palatino Linotype" w:eastAsia="Palatino Linotype" w:hAnsi="Palatino Linotype" w:cs="Palatino Linotype"/>
          <w:b/>
          <w:color w:val="000000"/>
          <w:sz w:val="24"/>
          <w:szCs w:val="24"/>
        </w:rPr>
        <w:t>A</w:t>
      </w:r>
      <w:r w:rsidR="00DE0C32">
        <w:rPr>
          <w:rFonts w:ascii="Palatino Linotype" w:eastAsia="Palatino Linotype" w:hAnsi="Palatino Linotype" w:cs="Palatino Linotype"/>
          <w:b/>
          <w:color w:val="000000"/>
          <w:sz w:val="24"/>
          <w:szCs w:val="24"/>
        </w:rPr>
        <w:t xml:space="preserve"> SESIÓN ORDINARIA DEL </w:t>
      </w:r>
      <w:r w:rsidR="00654750">
        <w:rPr>
          <w:rFonts w:ascii="Palatino Linotype" w:eastAsia="Palatino Linotype" w:hAnsi="Palatino Linotype" w:cs="Palatino Linotype"/>
          <w:b/>
          <w:color w:val="000000"/>
          <w:sz w:val="24"/>
          <w:szCs w:val="24"/>
        </w:rPr>
        <w:t xml:space="preserve">TRECE </w:t>
      </w:r>
      <w:r w:rsidR="003222CB">
        <w:rPr>
          <w:rFonts w:ascii="Palatino Linotype" w:eastAsia="Palatino Linotype" w:hAnsi="Palatino Linotype" w:cs="Palatino Linotype"/>
          <w:b/>
          <w:color w:val="000000"/>
          <w:sz w:val="24"/>
          <w:szCs w:val="24"/>
        </w:rPr>
        <w:t>DE NOVIEMBRE</w:t>
      </w:r>
      <w:r>
        <w:rPr>
          <w:rFonts w:ascii="Palatino Linotype" w:eastAsia="Palatino Linotype" w:hAnsi="Palatino Linotype" w:cs="Palatino Linotype"/>
          <w:b/>
          <w:color w:val="000000"/>
          <w:sz w:val="24"/>
          <w:szCs w:val="24"/>
        </w:rPr>
        <w:t xml:space="preserve"> DE DOS MIL VEINTICUATRO, </w:t>
      </w:r>
      <w:r>
        <w:rPr>
          <w:rFonts w:ascii="Palatino Linotype" w:eastAsia="Palatino Linotype" w:hAnsi="Palatino Linotype" w:cs="Palatino Linotype"/>
          <w:b/>
          <w:sz w:val="24"/>
          <w:szCs w:val="24"/>
        </w:rPr>
        <w:t xml:space="preserve">EN EL RECURSO DE REVISIÓN </w:t>
      </w:r>
      <w:r w:rsidR="00884322" w:rsidRPr="00884322">
        <w:rPr>
          <w:rFonts w:ascii="Palatino Linotype" w:eastAsia="Palatino Linotype" w:hAnsi="Palatino Linotype" w:cs="Palatino Linotype"/>
          <w:b/>
          <w:sz w:val="24"/>
          <w:szCs w:val="24"/>
        </w:rPr>
        <w:t>0</w:t>
      </w:r>
      <w:r w:rsidR="00B7040D">
        <w:rPr>
          <w:rFonts w:ascii="Palatino Linotype" w:eastAsia="Palatino Linotype" w:hAnsi="Palatino Linotype" w:cs="Palatino Linotype"/>
          <w:b/>
          <w:sz w:val="24"/>
          <w:szCs w:val="24"/>
        </w:rPr>
        <w:t>5</w:t>
      </w:r>
      <w:r w:rsidR="00654750">
        <w:rPr>
          <w:rFonts w:ascii="Palatino Linotype" w:eastAsia="Palatino Linotype" w:hAnsi="Palatino Linotype" w:cs="Palatino Linotype"/>
          <w:b/>
          <w:sz w:val="24"/>
          <w:szCs w:val="24"/>
        </w:rPr>
        <w:t>900</w:t>
      </w:r>
      <w:r w:rsidR="00884322" w:rsidRPr="00884322">
        <w:rPr>
          <w:rFonts w:ascii="Palatino Linotype" w:eastAsia="Palatino Linotype" w:hAnsi="Palatino Linotype" w:cs="Palatino Linotype"/>
          <w:b/>
          <w:sz w:val="24"/>
          <w:szCs w:val="24"/>
        </w:rPr>
        <w:t>/INFOEM/IP/RR/2024</w:t>
      </w:r>
      <w:r>
        <w:rPr>
          <w:rFonts w:ascii="Palatino Linotype" w:eastAsia="Palatino Linotype" w:hAnsi="Palatino Linotype" w:cs="Palatino Linotype"/>
          <w:b/>
          <w:sz w:val="24"/>
          <w:szCs w:val="24"/>
        </w:rPr>
        <w:t xml:space="preserve">. </w:t>
      </w:r>
      <w:bookmarkStart w:id="1" w:name="_heading=h.1t3h5sf" w:colFirst="0" w:colLast="0"/>
      <w:bookmarkEnd w:id="1"/>
    </w:p>
    <w:p w14:paraId="20997B72" w14:textId="23627970" w:rsidR="00E95837" w:rsidRDefault="003B2387" w:rsidP="00BF5B6F">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sidR="00884322" w:rsidRPr="00884322">
        <w:rPr>
          <w:rFonts w:ascii="Palatino Linotype" w:eastAsia="Palatino Linotype" w:hAnsi="Palatino Linotype" w:cs="Palatino Linotype"/>
          <w:b/>
        </w:rPr>
        <w:t>0</w:t>
      </w:r>
      <w:r w:rsidR="009F7583">
        <w:rPr>
          <w:rFonts w:ascii="Palatino Linotype" w:eastAsia="Palatino Linotype" w:hAnsi="Palatino Linotype" w:cs="Palatino Linotype"/>
          <w:b/>
        </w:rPr>
        <w:t>5900</w:t>
      </w:r>
      <w:r w:rsidR="00884322" w:rsidRPr="00884322">
        <w:rPr>
          <w:rFonts w:ascii="Palatino Linotype" w:eastAsia="Palatino Linotype" w:hAnsi="Palatino Linotype" w:cs="Palatino Linotype"/>
          <w:b/>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B2186E0" w14:textId="72B66D13" w:rsidR="00E95837" w:rsidRDefault="003B2387">
      <w:pPr>
        <w:spacing w:after="0" w:line="360" w:lineRule="auto"/>
        <w:jc w:val="both"/>
        <w:rPr>
          <w:rFonts w:ascii="Palatino Linotype" w:eastAsia="Palatino Linotype" w:hAnsi="Palatino Linotype" w:cs="Palatino Linotype"/>
        </w:rPr>
      </w:pPr>
      <w:bookmarkStart w:id="2" w:name="_heading=h.4d34og8"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 considero que en el caso de</w:t>
      </w:r>
      <w:r w:rsidR="0003413F">
        <w:rPr>
          <w:rFonts w:ascii="Palatino Linotype" w:eastAsia="Palatino Linotype" w:hAnsi="Palatino Linotype" w:cs="Palatino Linotype"/>
        </w:rPr>
        <w:t xml:space="preserve"> la </w:t>
      </w:r>
      <w:r w:rsidR="009F7583">
        <w:rPr>
          <w:rFonts w:ascii="Palatino Linotype" w:eastAsia="Palatino Linotype" w:hAnsi="Palatino Linotype" w:cs="Palatino Linotype"/>
        </w:rPr>
        <w:t xml:space="preserve">conciliación de </w:t>
      </w:r>
      <w:r w:rsidR="00884322" w:rsidRPr="00884322">
        <w:rPr>
          <w:rFonts w:ascii="Palatino Linotype" w:eastAsia="Palatino Linotype" w:hAnsi="Palatino Linotype" w:cs="Palatino Linotype"/>
        </w:rPr>
        <w:t xml:space="preserve">nómina de </w:t>
      </w:r>
      <w:r w:rsidR="00884322">
        <w:rPr>
          <w:rFonts w:ascii="Palatino Linotype" w:eastAsia="Palatino Linotype" w:hAnsi="Palatino Linotype" w:cs="Palatino Linotype"/>
        </w:rPr>
        <w:t>los p</w:t>
      </w:r>
      <w:r w:rsidR="00884322" w:rsidRPr="00884322">
        <w:rPr>
          <w:rFonts w:ascii="Palatino Linotype" w:eastAsia="Palatino Linotype" w:hAnsi="Palatino Linotype" w:cs="Palatino Linotype"/>
        </w:rPr>
        <w:t>olicías adscri</w:t>
      </w:r>
      <w:r w:rsidR="00884322">
        <w:rPr>
          <w:rFonts w:ascii="Palatino Linotype" w:eastAsia="Palatino Linotype" w:hAnsi="Palatino Linotype" w:cs="Palatino Linotype"/>
        </w:rPr>
        <w:t xml:space="preserve">tos a la Dirección de Seguridad </w:t>
      </w:r>
      <w:r w:rsidR="00884322" w:rsidRPr="00884322">
        <w:rPr>
          <w:rFonts w:ascii="Palatino Linotype" w:eastAsia="Palatino Linotype" w:hAnsi="Palatino Linotype" w:cs="Palatino Linotype"/>
        </w:rPr>
        <w:t>Pública</w:t>
      </w:r>
      <w:r w:rsidR="00460C88">
        <w:rPr>
          <w:rFonts w:ascii="Palatino Linotype" w:eastAsia="Palatino Linotype" w:hAnsi="Palatino Linotype" w:cs="Palatino Linotype"/>
        </w:rPr>
        <w:t xml:space="preserve"> y Vialidad </w:t>
      </w:r>
      <w:r w:rsidR="00884322">
        <w:rPr>
          <w:rFonts w:ascii="Palatino Linotype" w:eastAsia="Palatino Linotype" w:hAnsi="Palatino Linotype" w:cs="Palatino Linotype"/>
        </w:rPr>
        <w:t xml:space="preserve">del Ayuntamiento de </w:t>
      </w:r>
      <w:r w:rsidR="003222CB">
        <w:rPr>
          <w:rFonts w:ascii="Palatino Linotype" w:eastAsia="Palatino Linotype" w:hAnsi="Palatino Linotype" w:cs="Palatino Linotype"/>
        </w:rPr>
        <w:t xml:space="preserve">Tepetlixpa </w:t>
      </w:r>
      <w:r>
        <w:rPr>
          <w:rFonts w:ascii="Palatino Linotype" w:eastAsia="Palatino Linotype" w:hAnsi="Palatino Linotype" w:cs="Palatino Linotype"/>
        </w:rPr>
        <w:t xml:space="preserve">deben tomarse en cuenta las consideraciones que a continuación se exponen. </w:t>
      </w:r>
    </w:p>
    <w:p w14:paraId="10401DA3" w14:textId="77777777" w:rsidR="00E95837" w:rsidRDefault="00E95837">
      <w:pPr>
        <w:spacing w:after="0" w:line="360" w:lineRule="auto"/>
        <w:jc w:val="both"/>
        <w:rPr>
          <w:rFonts w:ascii="Palatino Linotype" w:eastAsia="Palatino Linotype" w:hAnsi="Palatino Linotype" w:cs="Palatino Linotype"/>
        </w:rPr>
      </w:pPr>
    </w:p>
    <w:p w14:paraId="06BDBD07"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14:paraId="38095B9B" w14:textId="77777777" w:rsidR="00E95837" w:rsidRDefault="00E95837">
      <w:pPr>
        <w:spacing w:after="0" w:line="360" w:lineRule="auto"/>
        <w:jc w:val="both"/>
        <w:rPr>
          <w:rFonts w:ascii="Palatino Linotype" w:eastAsia="Palatino Linotype" w:hAnsi="Palatino Linotype" w:cs="Palatino Linotype"/>
        </w:rPr>
      </w:pPr>
    </w:p>
    <w:p w14:paraId="5A0C2DA3"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14:paraId="203FA860" w14:textId="77777777" w:rsidR="00E95837" w:rsidRDefault="00E95837">
      <w:pPr>
        <w:spacing w:after="0" w:line="360" w:lineRule="auto"/>
        <w:jc w:val="both"/>
        <w:rPr>
          <w:rFonts w:ascii="Palatino Linotype" w:eastAsia="Palatino Linotype" w:hAnsi="Palatino Linotype" w:cs="Palatino Linotype"/>
        </w:rPr>
      </w:pPr>
    </w:p>
    <w:p w14:paraId="452B1C67"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21ED77BB" w14:textId="77777777" w:rsidR="00E95837" w:rsidRDefault="00E95837">
      <w:pPr>
        <w:spacing w:after="0" w:line="360" w:lineRule="auto"/>
        <w:jc w:val="both"/>
        <w:rPr>
          <w:rFonts w:ascii="Palatino Linotype" w:eastAsia="Palatino Linotype" w:hAnsi="Palatino Linotype" w:cs="Palatino Linotype"/>
        </w:rPr>
      </w:pPr>
    </w:p>
    <w:p w14:paraId="2E171262"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628FE16" w14:textId="77777777" w:rsidR="00E95837" w:rsidRDefault="00E95837">
      <w:pPr>
        <w:spacing w:after="0" w:line="360" w:lineRule="auto"/>
        <w:jc w:val="both"/>
        <w:rPr>
          <w:rFonts w:ascii="Palatino Linotype" w:eastAsia="Palatino Linotype" w:hAnsi="Palatino Linotype" w:cs="Palatino Linotype"/>
        </w:rPr>
      </w:pPr>
    </w:p>
    <w:p w14:paraId="2DA86C95" w14:textId="77777777" w:rsidR="00E95837" w:rsidRDefault="003B2387">
      <w:pPr>
        <w:spacing w:after="0" w:line="360" w:lineRule="auto"/>
        <w:jc w:val="both"/>
        <w:rPr>
          <w:rFonts w:ascii="Palatino Linotype" w:eastAsia="Palatino Linotype" w:hAnsi="Palatino Linotype" w:cs="Palatino Linotype"/>
        </w:rPr>
      </w:pPr>
      <w:bookmarkStart w:id="3" w:name="_heading=h.gjdgxs" w:colFirst="0" w:colLast="0"/>
      <w:bookmarkEnd w:id="3"/>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315A5AC2" w14:textId="77777777" w:rsidR="00E95837" w:rsidRDefault="00E95837">
      <w:pPr>
        <w:spacing w:after="0" w:line="360" w:lineRule="auto"/>
        <w:jc w:val="both"/>
        <w:rPr>
          <w:rFonts w:ascii="Palatino Linotype" w:eastAsia="Palatino Linotype" w:hAnsi="Palatino Linotype" w:cs="Palatino Linotype"/>
        </w:rPr>
      </w:pPr>
    </w:p>
    <w:p w14:paraId="72589B04"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4C3FE0CA" w14:textId="77777777" w:rsidR="00E95837" w:rsidRDefault="00E95837">
      <w:pPr>
        <w:spacing w:after="0" w:line="240" w:lineRule="auto"/>
        <w:ind w:left="851" w:right="900"/>
        <w:jc w:val="both"/>
        <w:rPr>
          <w:rFonts w:ascii="Palatino Linotype" w:eastAsia="Palatino Linotype" w:hAnsi="Palatino Linotype" w:cs="Palatino Linotype"/>
          <w:i/>
        </w:rPr>
      </w:pPr>
    </w:p>
    <w:p w14:paraId="499F746F" w14:textId="77777777" w:rsidR="00E95837" w:rsidRDefault="003B2387" w:rsidP="001224FB">
      <w:pPr>
        <w:spacing w:after="0" w:line="240"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05429201" w14:textId="77777777" w:rsidR="00E95837" w:rsidRDefault="003B2387" w:rsidP="001224FB">
      <w:pPr>
        <w:spacing w:after="0" w:line="240"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5E7F55F" w14:textId="77777777" w:rsidR="00E95837" w:rsidRDefault="003B2387" w:rsidP="001224FB">
      <w:pPr>
        <w:spacing w:after="0" w:line="240" w:lineRule="auto"/>
        <w:ind w:left="851" w:right="1417"/>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14:paraId="0EBD2285" w14:textId="77777777" w:rsidR="00E95837" w:rsidRDefault="00E95837">
      <w:pPr>
        <w:spacing w:after="0" w:line="360" w:lineRule="auto"/>
        <w:ind w:left="567" w:right="990"/>
        <w:jc w:val="both"/>
        <w:rPr>
          <w:rFonts w:ascii="Palatino Linotype" w:eastAsia="Palatino Linotype" w:hAnsi="Palatino Linotype" w:cs="Palatino Linotype"/>
          <w:b/>
          <w:i/>
          <w:u w:val="single"/>
        </w:rPr>
      </w:pPr>
    </w:p>
    <w:p w14:paraId="08E1F61A"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5FAAF63F" w14:textId="77777777" w:rsidR="00E95837" w:rsidRDefault="00E95837">
      <w:pPr>
        <w:tabs>
          <w:tab w:val="left" w:pos="284"/>
        </w:tabs>
        <w:spacing w:after="0" w:line="240" w:lineRule="auto"/>
        <w:ind w:left="567" w:right="709"/>
        <w:jc w:val="both"/>
        <w:rPr>
          <w:rFonts w:ascii="Palatino Linotype" w:eastAsia="Palatino Linotype" w:hAnsi="Palatino Linotype" w:cs="Palatino Linotype"/>
          <w:i/>
        </w:rPr>
      </w:pPr>
    </w:p>
    <w:p w14:paraId="3CB5AE92" w14:textId="77777777" w:rsidR="00E95837" w:rsidRDefault="003B2387" w:rsidP="001224FB">
      <w:pPr>
        <w:spacing w:after="120" w:line="360" w:lineRule="auto"/>
        <w:ind w:left="851" w:right="1417"/>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14:paraId="20F6EF28" w14:textId="77777777" w:rsidR="00E95837" w:rsidRDefault="003B2387" w:rsidP="001224FB">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113</w:t>
      </w:r>
      <w:r>
        <w:rPr>
          <w:rFonts w:ascii="Palatino Linotype" w:eastAsia="Palatino Linotype" w:hAnsi="Palatino Linotype" w:cs="Palatino Linotype"/>
          <w:i/>
        </w:rPr>
        <w:t>. Como información reservada podrá clasificarse aquella cuya publicación:</w:t>
      </w:r>
    </w:p>
    <w:p w14:paraId="3C419C63" w14:textId="77777777" w:rsidR="00E95837" w:rsidRDefault="003B2387" w:rsidP="001224FB">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14:paraId="3C19470D" w14:textId="77777777" w:rsidR="00E95837" w:rsidRDefault="003B2387" w:rsidP="001224FB">
      <w:pPr>
        <w:spacing w:after="120" w:line="276" w:lineRule="auto"/>
        <w:ind w:left="851" w:right="1417"/>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14:paraId="30C78355" w14:textId="77777777" w:rsidR="00E95837" w:rsidRDefault="003B2387" w:rsidP="001224FB">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710623E6" w14:textId="77777777" w:rsidR="00E95837" w:rsidRDefault="003B2387" w:rsidP="001224FB">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14:paraId="139C2E76" w14:textId="77777777" w:rsidR="00E95837" w:rsidRDefault="00E95837">
      <w:pPr>
        <w:spacing w:after="120" w:line="276" w:lineRule="auto"/>
        <w:ind w:left="567" w:right="900"/>
        <w:jc w:val="both"/>
        <w:rPr>
          <w:rFonts w:ascii="Palatino Linotype" w:eastAsia="Palatino Linotype" w:hAnsi="Palatino Linotype" w:cs="Palatino Linotype"/>
          <w:i/>
          <w:sz w:val="8"/>
          <w:szCs w:val="8"/>
        </w:rPr>
      </w:pPr>
    </w:p>
    <w:p w14:paraId="69AF1ABD"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7DA1B580" w14:textId="77777777" w:rsidR="00E95837" w:rsidRDefault="00E95837">
      <w:pPr>
        <w:spacing w:after="0" w:line="360" w:lineRule="auto"/>
        <w:jc w:val="both"/>
        <w:rPr>
          <w:rFonts w:ascii="Palatino Linotype" w:eastAsia="Palatino Linotype" w:hAnsi="Palatino Linotype" w:cs="Palatino Linotype"/>
        </w:rPr>
      </w:pPr>
    </w:p>
    <w:p w14:paraId="3FBCDE78"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14:paraId="4BAF7BE2" w14:textId="77777777" w:rsidR="00E95837" w:rsidRDefault="00E95837">
      <w:pPr>
        <w:spacing w:after="0" w:line="360" w:lineRule="auto"/>
        <w:jc w:val="both"/>
        <w:rPr>
          <w:rFonts w:ascii="Palatino Linotype" w:eastAsia="Palatino Linotype" w:hAnsi="Palatino Linotype" w:cs="Palatino Linotype"/>
        </w:rPr>
      </w:pPr>
    </w:p>
    <w:p w14:paraId="26306239"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2934E55F" w14:textId="77777777" w:rsidR="00E95837" w:rsidRDefault="00E95837">
      <w:pPr>
        <w:spacing w:after="0" w:line="360" w:lineRule="auto"/>
        <w:jc w:val="both"/>
        <w:rPr>
          <w:rFonts w:ascii="Palatino Linotype" w:eastAsia="Palatino Linotype" w:hAnsi="Palatino Linotype" w:cs="Palatino Linotype"/>
        </w:rPr>
      </w:pPr>
    </w:p>
    <w:p w14:paraId="6D503DFB" w14:textId="77777777"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14:paraId="3A66C989" w14:textId="77777777" w:rsidR="00E95837" w:rsidRDefault="003B2387">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144E5048" w14:textId="77777777"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14:paraId="1B6AA6E3" w14:textId="77777777" w:rsidR="00E95837" w:rsidRDefault="003B2387">
      <w:pPr>
        <w:spacing w:before="240" w:after="240" w:line="360" w:lineRule="auto"/>
        <w:ind w:left="567" w:right="900"/>
        <w:jc w:val="both"/>
        <w:rPr>
          <w:rFonts w:ascii="Palatino Linotype" w:eastAsia="Palatino Linotype" w:hAnsi="Palatino Linotype" w:cs="Palatino Linotype"/>
        </w:rPr>
      </w:pPr>
      <w:bookmarkStart w:id="5" w:name="_heading=h.1fob9te" w:colFirst="0" w:colLast="0"/>
      <w:bookmarkEnd w:id="5"/>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659105F0" w14:textId="77777777"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079DC03A" w14:textId="77777777"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14:paraId="49E42419" w14:textId="77777777"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5049A14E" w14:textId="77777777" w:rsidR="00E95837" w:rsidRDefault="003B2387">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33BE1F74" w14:textId="77777777" w:rsidR="00E95837" w:rsidRDefault="00E95837">
      <w:pPr>
        <w:spacing w:after="0" w:line="360" w:lineRule="auto"/>
        <w:ind w:right="139"/>
        <w:jc w:val="both"/>
        <w:rPr>
          <w:rFonts w:ascii="Palatino Linotype" w:eastAsia="Palatino Linotype" w:hAnsi="Palatino Linotype" w:cs="Palatino Linotype"/>
        </w:rPr>
      </w:pPr>
    </w:p>
    <w:p w14:paraId="1FC9711F" w14:textId="6CBB1FF9" w:rsidR="00E95837" w:rsidRPr="007D0E8A" w:rsidRDefault="003B2387" w:rsidP="007D0E8A">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 xml:space="preserve">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w:t>
      </w:r>
      <w:r w:rsidR="00EB665C">
        <w:rPr>
          <w:rFonts w:ascii="Palatino Linotype" w:eastAsia="Palatino Linotype" w:hAnsi="Palatino Linotype" w:cs="Palatino Linotype"/>
        </w:rPr>
        <w:t>Obligado</w:t>
      </w:r>
      <w:r>
        <w:rPr>
          <w:rFonts w:ascii="Palatino Linotype" w:eastAsia="Palatino Linotype" w:hAnsi="Palatino Linotype" w:cs="Palatino Linotype"/>
        </w:rPr>
        <w:t>; información con la que se da a conocer el estado de fuerza y la capacidad de reacción del órgano público.</w:t>
      </w:r>
      <w:bookmarkStart w:id="7" w:name="_heading=h.30j0zll" w:colFirst="0" w:colLast="0"/>
      <w:bookmarkStart w:id="8" w:name="_heading=h.3znysh7" w:colFirst="0" w:colLast="0"/>
      <w:bookmarkEnd w:id="7"/>
      <w:bookmarkEnd w:id="8"/>
    </w:p>
    <w:p w14:paraId="0E056CC9" w14:textId="77777777" w:rsidR="00DE0C32" w:rsidRPr="00DE0C32" w:rsidRDefault="007D0E8A" w:rsidP="00DE0C32">
      <w:pPr>
        <w:spacing w:before="240" w:after="240" w:line="360" w:lineRule="auto"/>
        <w:jc w:val="both"/>
        <w:rPr>
          <w:rFonts w:ascii="Palatino Linotype" w:eastAsia="Palatino Linotype" w:hAnsi="Palatino Linotype" w:cs="Palatino Linotype"/>
        </w:rPr>
      </w:pPr>
      <w:r w:rsidRPr="007D0E8A">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w:t>
      </w:r>
      <w:r w:rsidRPr="007D0E8A">
        <w:rPr>
          <w:rFonts w:ascii="Palatino Linotype" w:eastAsia="Palatino Linotype" w:hAnsi="Palatino Linotype" w:cs="Palatino Linotype"/>
        </w:rPr>
        <w:lastRenderedPageBreak/>
        <w:t xml:space="preserve">se asientan los puestos funcionales y las remuneraciones, lo anterior encuentra sustento en el Instructivo del módulo 4 </w:t>
      </w:r>
      <w:r w:rsidRPr="00DE0C32">
        <w:rPr>
          <w:rFonts w:ascii="Palatino Linotype" w:eastAsia="Palatino Linotype" w:hAnsi="Palatino Linotype" w:cs="Palatino Linotype"/>
        </w:rPr>
        <w:t>para la ent</w:t>
      </w:r>
      <w:r w:rsidR="00DE0C32" w:rsidRPr="00DE0C32">
        <w:rPr>
          <w:rFonts w:ascii="Palatino Linotype" w:eastAsia="Palatino Linotype" w:hAnsi="Palatino Linotype" w:cs="Palatino Linotype"/>
        </w:rPr>
        <w:t>rega del informe trimestral 2024, el cual establece que en dicho documento obran los siguientes elementos:</w:t>
      </w:r>
    </w:p>
    <w:p w14:paraId="012B092E" w14:textId="342F2A7E" w:rsidR="00DE0C32" w:rsidRDefault="00B969AD" w:rsidP="00DE0C32">
      <w:pPr>
        <w:spacing w:after="0" w:line="360" w:lineRule="auto"/>
        <w:jc w:val="center"/>
        <w:rPr>
          <w:rFonts w:ascii="Palatino Linotype" w:eastAsia="Palatino Linotype" w:hAnsi="Palatino Linotype" w:cs="Palatino Linotype"/>
          <w:sz w:val="24"/>
          <w:szCs w:val="24"/>
        </w:rPr>
      </w:pPr>
      <w:r>
        <w:rPr>
          <w:rFonts w:ascii="Palatino Linotype" w:hAnsi="Palatino Linotype"/>
          <w:noProof/>
          <w:color w:val="000000"/>
          <w:bdr w:val="single" w:sz="2" w:space="0" w:color="000000" w:frame="1"/>
        </w:rPr>
        <w:drawing>
          <wp:inline distT="0" distB="0" distL="0" distR="0" wp14:anchorId="21F6EF6A" wp14:editId="44E029ED">
            <wp:extent cx="4622157" cy="5693133"/>
            <wp:effectExtent l="0" t="0" r="7620" b="3175"/>
            <wp:docPr id="201260269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02692" name="Imagen 1" descr="Tabl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8508" cy="5762540"/>
                    </a:xfrm>
                    <a:prstGeom prst="rect">
                      <a:avLst/>
                    </a:prstGeom>
                    <a:noFill/>
                    <a:ln>
                      <a:noFill/>
                    </a:ln>
                  </pic:spPr>
                </pic:pic>
              </a:graphicData>
            </a:graphic>
          </wp:inline>
        </w:drawing>
      </w:r>
    </w:p>
    <w:p w14:paraId="59F656A6" w14:textId="4EFF6F9B" w:rsidR="00DE0C32" w:rsidRDefault="00B969AD" w:rsidP="00B969AD">
      <w:pPr>
        <w:spacing w:after="0" w:line="360" w:lineRule="auto"/>
        <w:jc w:val="center"/>
        <w:rPr>
          <w:rFonts w:ascii="Palatino Linotype" w:eastAsia="Palatino Linotype" w:hAnsi="Palatino Linotype" w:cs="Palatino Linotype"/>
        </w:rPr>
      </w:pPr>
      <w:r>
        <w:rPr>
          <w:rFonts w:ascii="Palatino Linotype" w:hAnsi="Palatino Linotype"/>
          <w:noProof/>
          <w:color w:val="000000"/>
          <w:bdr w:val="single" w:sz="2" w:space="0" w:color="000000" w:frame="1"/>
        </w:rPr>
        <w:lastRenderedPageBreak/>
        <w:drawing>
          <wp:inline distT="0" distB="0" distL="0" distR="0" wp14:anchorId="0042DD2D" wp14:editId="08D99FE2">
            <wp:extent cx="4714875" cy="4257675"/>
            <wp:effectExtent l="0" t="0" r="9525" b="9525"/>
            <wp:docPr id="68728292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82923" name="Imagen 2"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4257675"/>
                    </a:xfrm>
                    <a:prstGeom prst="rect">
                      <a:avLst/>
                    </a:prstGeom>
                    <a:noFill/>
                    <a:ln>
                      <a:noFill/>
                    </a:ln>
                  </pic:spPr>
                </pic:pic>
              </a:graphicData>
            </a:graphic>
          </wp:inline>
        </w:drawing>
      </w:r>
      <w:bookmarkStart w:id="9" w:name="_heading=h.fald234fiuyg" w:colFirst="0" w:colLast="0"/>
      <w:bookmarkEnd w:id="9"/>
    </w:p>
    <w:p w14:paraId="4013FE0D" w14:textId="77777777" w:rsidR="00B969AD" w:rsidRDefault="00B969AD" w:rsidP="00B969AD">
      <w:pPr>
        <w:spacing w:after="0" w:line="360" w:lineRule="auto"/>
        <w:jc w:val="center"/>
        <w:rPr>
          <w:rFonts w:ascii="Palatino Linotype" w:eastAsia="Palatino Linotype" w:hAnsi="Palatino Linotype" w:cs="Palatino Linotype"/>
        </w:rPr>
      </w:pPr>
    </w:p>
    <w:p w14:paraId="5A66FC0A" w14:textId="77777777" w:rsidR="007D0E8A" w:rsidRPr="007D0E8A" w:rsidRDefault="007D0E8A" w:rsidP="007D0E8A">
      <w:pPr>
        <w:spacing w:after="0" w:line="360" w:lineRule="auto"/>
        <w:ind w:right="139"/>
        <w:jc w:val="both"/>
        <w:rPr>
          <w:rFonts w:ascii="Palatino Linotype" w:eastAsia="Palatino Linotype" w:hAnsi="Palatino Linotype" w:cs="Palatino Linotype"/>
        </w:rPr>
      </w:pPr>
      <w:r w:rsidRPr="007D0E8A">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14:paraId="3BDFEE64" w14:textId="77777777" w:rsidR="00E95837" w:rsidRDefault="00E95837">
      <w:pPr>
        <w:spacing w:after="0" w:line="360" w:lineRule="auto"/>
        <w:ind w:right="139"/>
        <w:jc w:val="both"/>
        <w:rPr>
          <w:rFonts w:ascii="Palatino Linotype" w:eastAsia="Palatino Linotype" w:hAnsi="Palatino Linotype" w:cs="Palatino Linotype"/>
        </w:rPr>
      </w:pPr>
    </w:p>
    <w:p w14:paraId="5F54B26B" w14:textId="77777777" w:rsidR="001224FB" w:rsidRDefault="003B2387" w:rsidP="001224FB">
      <w:pPr>
        <w:spacing w:after="0" w:line="360" w:lineRule="auto"/>
        <w:ind w:right="139"/>
        <w:jc w:val="both"/>
        <w:rPr>
          <w:rFonts w:ascii="Palatino Linotype" w:eastAsia="Palatino Linotype" w:hAnsi="Palatino Linotype" w:cs="Palatino Linotype"/>
        </w:rPr>
        <w:sectPr w:rsidR="001224FB">
          <w:headerReference w:type="default" r:id="rId9"/>
          <w:footerReference w:type="default" r:id="rId10"/>
          <w:pgSz w:w="12240" w:h="15840"/>
          <w:pgMar w:top="1871" w:right="900" w:bottom="2835" w:left="1701" w:header="709" w:footer="584" w:gutter="0"/>
          <w:pgNumType w:start="1"/>
          <w:cols w:space="720"/>
        </w:sectPr>
      </w:pPr>
      <w:bookmarkStart w:id="10" w:name="_heading=h.jkaxn8mgxy7q" w:colFirst="0" w:colLast="0"/>
      <w:bookmarkEnd w:id="10"/>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w:t>
      </w:r>
      <w:r>
        <w:rPr>
          <w:rFonts w:ascii="Palatino Linotype" w:eastAsia="Palatino Linotype" w:hAnsi="Palatino Linotype" w:cs="Palatino Linotype"/>
          <w:b/>
          <w:u w:val="single"/>
        </w:rPr>
        <w:lastRenderedPageBreak/>
        <w:t xml:space="preserve">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w:t>
      </w:r>
      <w:bookmarkStart w:id="11" w:name="_GoBack"/>
      <w:bookmarkEnd w:id="11"/>
      <w:r>
        <w:rPr>
          <w:rFonts w:ascii="Palatino Linotype" w:eastAsia="Palatino Linotype" w:hAnsi="Palatino Linotype" w:cs="Palatino Linotype"/>
        </w:rPr>
        <w:t>sente voto particular.</w:t>
      </w:r>
    </w:p>
    <w:p w14:paraId="4DDB3296" w14:textId="5B7ED558" w:rsidR="00E95837" w:rsidRDefault="00E95837" w:rsidP="001224FB">
      <w:pPr>
        <w:spacing w:after="0" w:line="360" w:lineRule="auto"/>
        <w:ind w:right="139"/>
        <w:jc w:val="both"/>
        <w:rPr>
          <w:rFonts w:ascii="Palatino Linotype" w:eastAsia="Palatino Linotype" w:hAnsi="Palatino Linotype" w:cs="Palatino Linotype"/>
        </w:rPr>
      </w:pPr>
    </w:p>
    <w:sectPr w:rsidR="00E95837">
      <w:headerReference w:type="default" r:id="rId11"/>
      <w:footerReference w:type="default" r:id="rId12"/>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369B0" w14:textId="77777777" w:rsidR="00335464" w:rsidRDefault="003B2387">
      <w:pPr>
        <w:spacing w:after="0" w:line="240" w:lineRule="auto"/>
      </w:pPr>
      <w:r>
        <w:separator/>
      </w:r>
    </w:p>
  </w:endnote>
  <w:endnote w:type="continuationSeparator" w:id="0">
    <w:p w14:paraId="0198BB5F" w14:textId="77777777" w:rsidR="00335464" w:rsidRDefault="003B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45A4" w14:textId="77777777" w:rsidR="00E95837" w:rsidRDefault="003B238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B665C">
      <w:rPr>
        <w:rFonts w:ascii="Times New Roman" w:eastAsia="Times New Roman" w:hAnsi="Times New Roman" w:cs="Times New Roman"/>
        <w:b/>
        <w:noProof/>
        <w:color w:val="000000"/>
        <w:sz w:val="24"/>
        <w:szCs w:val="24"/>
      </w:rPr>
      <w:t>9</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B665C">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275785B0" w14:textId="77777777" w:rsidR="00E95837" w:rsidRDefault="00E9583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9F5E" w14:textId="155B38F0" w:rsidR="001224FB" w:rsidRDefault="001224FB">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B665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4"/>
        <w:szCs w:val="24"/>
      </w:rPr>
      <w:t>0</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B665C">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7BD1A31A" w14:textId="77777777" w:rsidR="001224FB" w:rsidRDefault="001224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70B0" w14:textId="77777777" w:rsidR="00335464" w:rsidRDefault="003B2387">
      <w:pPr>
        <w:spacing w:after="0" w:line="240" w:lineRule="auto"/>
      </w:pPr>
      <w:r>
        <w:separator/>
      </w:r>
    </w:p>
  </w:footnote>
  <w:footnote w:type="continuationSeparator" w:id="0">
    <w:p w14:paraId="345FAE78" w14:textId="77777777" w:rsidR="00335464" w:rsidRDefault="003B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EB87" w14:textId="77777777"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6BC1AF5B" wp14:editId="00712BDA">
          <wp:simplePos x="0" y="0"/>
          <wp:positionH relativeFrom="column">
            <wp:posOffset>-1341739</wp:posOffset>
          </wp:positionH>
          <wp:positionV relativeFrom="paragraph">
            <wp:posOffset>-453371</wp:posOffset>
          </wp:positionV>
          <wp:extent cx="7510145" cy="9883775"/>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28058664" w14:textId="77777777"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770176FA" w14:textId="6C87B743"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884322" w:rsidRPr="00884322">
      <w:rPr>
        <w:rFonts w:ascii="Palatino Linotype" w:eastAsia="Palatino Linotype" w:hAnsi="Palatino Linotype" w:cs="Palatino Linotype"/>
        <w:b/>
        <w:color w:val="000000"/>
        <w:sz w:val="20"/>
        <w:szCs w:val="20"/>
      </w:rPr>
      <w:t>0</w:t>
    </w:r>
    <w:r w:rsidR="00B7040D">
      <w:rPr>
        <w:rFonts w:ascii="Palatino Linotype" w:eastAsia="Palatino Linotype" w:hAnsi="Palatino Linotype" w:cs="Palatino Linotype"/>
        <w:b/>
        <w:color w:val="000000"/>
        <w:sz w:val="20"/>
        <w:szCs w:val="20"/>
      </w:rPr>
      <w:t>59</w:t>
    </w:r>
    <w:r w:rsidR="00654750">
      <w:rPr>
        <w:rFonts w:ascii="Palatino Linotype" w:eastAsia="Palatino Linotype" w:hAnsi="Palatino Linotype" w:cs="Palatino Linotype"/>
        <w:b/>
        <w:color w:val="000000"/>
        <w:sz w:val="20"/>
        <w:szCs w:val="20"/>
      </w:rPr>
      <w:t>00</w:t>
    </w:r>
    <w:r w:rsidR="00884322" w:rsidRPr="00884322">
      <w:rPr>
        <w:rFonts w:ascii="Palatino Linotype" w:eastAsia="Palatino Linotype" w:hAnsi="Palatino Linotype" w:cs="Palatino Linotype"/>
        <w:b/>
        <w:color w:val="000000"/>
        <w:sz w:val="20"/>
        <w:szCs w:val="20"/>
      </w:rPr>
      <w:t>/INFOEM/IP/RR/2024</w:t>
    </w:r>
  </w:p>
  <w:p w14:paraId="0E3E4E0F" w14:textId="76EB5EB3" w:rsidR="00E95837" w:rsidRDefault="003B2387" w:rsidP="00B7040D">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3222CB" w:rsidRPr="003222CB">
      <w:rPr>
        <w:rFonts w:ascii="Palatino Linotype" w:eastAsia="Palatino Linotype" w:hAnsi="Palatino Linotype" w:cs="Palatino Linotype"/>
        <w:b/>
        <w:color w:val="000000"/>
        <w:sz w:val="20"/>
        <w:szCs w:val="20"/>
      </w:rPr>
      <w:t>Ayuntamiento de Tepetlixpa</w:t>
    </w:r>
  </w:p>
  <w:p w14:paraId="07454508" w14:textId="731F3121"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B7040D">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w:t>
    </w:r>
    <w:r w:rsidR="00B7040D">
      <w:rPr>
        <w:rFonts w:ascii="Palatino Linotype" w:eastAsia="Palatino Linotype" w:hAnsi="Palatino Linotype" w:cs="Palatino Linotype"/>
        <w:b/>
        <w:color w:val="000000"/>
        <w:sz w:val="20"/>
        <w:szCs w:val="20"/>
      </w:rPr>
      <w:t>Guadalupe Ramírez Peña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E348" w14:textId="7CD1F502" w:rsidR="001224FB" w:rsidRDefault="001224FB">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7"/>
    <w:rsid w:val="0003413F"/>
    <w:rsid w:val="000F26C9"/>
    <w:rsid w:val="001224FB"/>
    <w:rsid w:val="003222CB"/>
    <w:rsid w:val="00335464"/>
    <w:rsid w:val="00366E5E"/>
    <w:rsid w:val="003B2387"/>
    <w:rsid w:val="00460C88"/>
    <w:rsid w:val="00654750"/>
    <w:rsid w:val="006B031F"/>
    <w:rsid w:val="006B11F7"/>
    <w:rsid w:val="00776454"/>
    <w:rsid w:val="007D0E8A"/>
    <w:rsid w:val="00884322"/>
    <w:rsid w:val="009F7583"/>
    <w:rsid w:val="00B7040D"/>
    <w:rsid w:val="00B969AD"/>
    <w:rsid w:val="00BF3016"/>
    <w:rsid w:val="00BF5B6F"/>
    <w:rsid w:val="00DE0C32"/>
    <w:rsid w:val="00E95837"/>
    <w:rsid w:val="00EB6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91FAE"/>
  <w15:docId w15:val="{533C4693-A2BB-480C-8FD1-FAB7911D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vM3DIR52SvSXGq/9+22mZPkFA==">CgMxLjAyCWguM2R5NnZrbTIJaC4xdDNoNXNmMgloLjRkMzRvZzgyCGguZ2pkZ3hzMgloLjJldDkycDAyCWguMWZvYjl0ZTIIaC50eWpjd3QyCWguMzBqMHpsbDIOaC5mYWxkMjM0Zml1eWcyCWguM3pueXNoNzIOaC5qa2F4bjhtZ3h5N3E4AHIhMTVySDQ5SXY3WW85blgzWU9jLUJSbEVhYUhwamw3ZGM1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1836</Words>
  <Characters>10100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6</cp:revision>
  <cp:lastPrinted>2024-09-17T16:12:00Z</cp:lastPrinted>
  <dcterms:created xsi:type="dcterms:W3CDTF">2024-11-14T21:35:00Z</dcterms:created>
  <dcterms:modified xsi:type="dcterms:W3CDTF">2024-11-15T21:09:00Z</dcterms:modified>
</cp:coreProperties>
</file>