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4543" w14:textId="1AEF352E" w:rsidR="004504A9" w:rsidRDefault="004504A9" w:rsidP="004504A9">
      <w:pPr>
        <w:tabs>
          <w:tab w:val="left" w:pos="1843"/>
        </w:tabs>
        <w:spacing w:after="0" w:line="360" w:lineRule="auto"/>
        <w:jc w:val="both"/>
        <w:rPr>
          <w:rFonts w:ascii="Palatino Linotype" w:hAnsi="Palatino Linotype" w:cs="Tahoma"/>
          <w:b/>
        </w:rPr>
      </w:pPr>
      <w:r w:rsidRPr="00274A5F">
        <w:rPr>
          <w:rFonts w:ascii="Palatino Linotype" w:hAnsi="Palatino Linotype" w:cs="Tahoma"/>
          <w:b/>
        </w:rPr>
        <w:t>VOTO PARTICULAR QUE FORMULA L</w:t>
      </w:r>
      <w:r>
        <w:rPr>
          <w:rFonts w:ascii="Palatino Linotype" w:hAnsi="Palatino Linotype" w:cs="Tahoma"/>
          <w:b/>
        </w:rPr>
        <w:t>A</w:t>
      </w:r>
      <w:r w:rsidRPr="00274A5F">
        <w:rPr>
          <w:rFonts w:ascii="Palatino Linotype" w:hAnsi="Palatino Linotype" w:cs="Tahoma"/>
          <w:b/>
        </w:rPr>
        <w:t xml:space="preserve"> COMISIONAD</w:t>
      </w:r>
      <w:r>
        <w:rPr>
          <w:rFonts w:ascii="Palatino Linotype" w:hAnsi="Palatino Linotype" w:cs="Tahoma"/>
          <w:b/>
        </w:rPr>
        <w:t>A</w:t>
      </w:r>
      <w:r w:rsidRPr="00274A5F">
        <w:rPr>
          <w:rFonts w:ascii="Palatino Linotype" w:hAnsi="Palatino Linotype" w:cs="Tahoma"/>
          <w:b/>
        </w:rPr>
        <w:t xml:space="preserve"> </w:t>
      </w:r>
      <w:r>
        <w:rPr>
          <w:rFonts w:ascii="Palatino Linotype" w:hAnsi="Palatino Linotype" w:cs="Tahoma"/>
          <w:b/>
        </w:rPr>
        <w:t>SHARON CRISTINA MORALES MARTÍNEZ</w:t>
      </w:r>
      <w:r w:rsidRPr="00274A5F">
        <w:rPr>
          <w:rFonts w:ascii="Palatino Linotype" w:hAnsi="Palatino Linotype" w:cs="Tahoma"/>
          <w:b/>
        </w:rPr>
        <w:t xml:space="preserve">, A LA RESOLUCIÓN DEL RECURSO DE REVISIÓN </w:t>
      </w:r>
      <w:r>
        <w:rPr>
          <w:rFonts w:ascii="Palatino Linotype" w:eastAsia="Palatino Linotype" w:hAnsi="Palatino Linotype" w:cs="Palatino Linotype"/>
          <w:b/>
        </w:rPr>
        <w:t>03212</w:t>
      </w:r>
      <w:r w:rsidRPr="00274A5F">
        <w:rPr>
          <w:rFonts w:ascii="Palatino Linotype" w:eastAsia="Palatino Linotype" w:hAnsi="Palatino Linotype" w:cs="Palatino Linotype"/>
          <w:b/>
        </w:rPr>
        <w:t>/INFOEM/IP/RR/202</w:t>
      </w:r>
      <w:r>
        <w:rPr>
          <w:rFonts w:ascii="Palatino Linotype" w:eastAsia="Palatino Linotype" w:hAnsi="Palatino Linotype" w:cs="Palatino Linotype"/>
          <w:b/>
        </w:rPr>
        <w:t>3</w:t>
      </w:r>
      <w:r>
        <w:rPr>
          <w:rFonts w:ascii="Palatino Linotype" w:eastAsia="Palatino Linotype" w:hAnsi="Palatino Linotype" w:cs="Palatino Linotype"/>
          <w:b/>
        </w:rPr>
        <w:t xml:space="preserve"> Y ACUMULADO</w:t>
      </w:r>
      <w:r w:rsidRPr="00274A5F">
        <w:rPr>
          <w:rFonts w:ascii="Palatino Linotype" w:hAnsi="Palatino Linotype"/>
          <w:b/>
          <w:lang w:val="es-MX"/>
        </w:rPr>
        <w:t>,</w:t>
      </w:r>
      <w:r w:rsidRPr="00274A5F">
        <w:rPr>
          <w:rFonts w:ascii="Palatino Linotype" w:hAnsi="Palatino Linotype" w:cs="Tahoma"/>
          <w:b/>
        </w:rPr>
        <w:t xml:space="preserve"> PROMOVIDO EN CONTRA DE</w:t>
      </w:r>
      <w:r>
        <w:rPr>
          <w:rFonts w:ascii="Palatino Linotype" w:hAnsi="Palatino Linotype" w:cs="Tahoma"/>
          <w:b/>
        </w:rPr>
        <w:t xml:space="preserve">L AYUNTAMIENTO DE </w:t>
      </w:r>
      <w:r>
        <w:rPr>
          <w:rFonts w:ascii="Palatino Linotype" w:hAnsi="Palatino Linotype" w:cs="Tahoma"/>
          <w:b/>
        </w:rPr>
        <w:t>ATIZAPÁN DE ZARAGOZA</w:t>
      </w:r>
      <w:r>
        <w:rPr>
          <w:rFonts w:ascii="Palatino Linotype" w:hAnsi="Palatino Linotype" w:cs="Tahoma"/>
          <w:b/>
        </w:rPr>
        <w:t>.</w:t>
      </w:r>
    </w:p>
    <w:p w14:paraId="5503C48D" w14:textId="77777777" w:rsidR="004504A9" w:rsidRPr="00274A5F" w:rsidRDefault="004504A9" w:rsidP="004504A9">
      <w:pPr>
        <w:tabs>
          <w:tab w:val="left" w:pos="1843"/>
        </w:tabs>
        <w:spacing w:after="0" w:line="360" w:lineRule="auto"/>
        <w:jc w:val="both"/>
        <w:rPr>
          <w:rFonts w:ascii="Palatino Linotype" w:hAnsi="Palatino Linotype" w:cs="Arial"/>
          <w:b/>
          <w:sz w:val="24"/>
          <w:szCs w:val="24"/>
        </w:rPr>
      </w:pPr>
    </w:p>
    <w:p w14:paraId="0C982B52" w14:textId="0CAB48FB" w:rsidR="004504A9" w:rsidRDefault="004504A9" w:rsidP="004504A9">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03212</w:t>
      </w:r>
      <w:r w:rsidRPr="00274A5F">
        <w:rPr>
          <w:rFonts w:ascii="Palatino Linotype" w:eastAsia="Palatino Linotype" w:hAnsi="Palatino Linotype" w:cs="Palatino Linotype"/>
          <w:b/>
        </w:rPr>
        <w:t>/INFOEM/IP/RR/</w:t>
      </w:r>
      <w:r>
        <w:rPr>
          <w:rFonts w:ascii="Palatino Linotype" w:eastAsia="Palatino Linotype" w:hAnsi="Palatino Linotype" w:cs="Palatino Linotype"/>
          <w:b/>
        </w:rPr>
        <w:t>2023</w:t>
      </w:r>
      <w:r>
        <w:rPr>
          <w:rFonts w:ascii="Palatino Linotype" w:hAnsi="Palatino Linotype"/>
          <w:b/>
          <w:lang w:val="es-MX"/>
        </w:rPr>
        <w:t xml:space="preserve"> y acumulado.</w:t>
      </w:r>
    </w:p>
    <w:p w14:paraId="44C290F3" w14:textId="77777777" w:rsidR="004504A9" w:rsidRPr="00DF0541" w:rsidRDefault="004504A9" w:rsidP="004504A9">
      <w:pPr>
        <w:tabs>
          <w:tab w:val="left" w:pos="1843"/>
        </w:tabs>
        <w:spacing w:after="0" w:line="360" w:lineRule="auto"/>
        <w:jc w:val="both"/>
        <w:rPr>
          <w:rFonts w:ascii="Palatino Linotype" w:hAnsi="Palatino Linotype"/>
          <w:b/>
          <w:lang w:val="es-MX"/>
        </w:rPr>
      </w:pPr>
    </w:p>
    <w:p w14:paraId="773FA1E6" w14:textId="7C75D9DF" w:rsidR="004504A9" w:rsidRDefault="004504A9" w:rsidP="004504A9">
      <w:pPr>
        <w:spacing w:after="0"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 el Particular solicitó</w:t>
      </w:r>
      <w:r>
        <w:rPr>
          <w:rFonts w:ascii="Palatino Linotype" w:hAnsi="Palatino Linotype" w:cs="Tahoma"/>
          <w:i/>
          <w:iCs/>
        </w:rPr>
        <w:t xml:space="preserve"> </w:t>
      </w:r>
      <w:r>
        <w:rPr>
          <w:rFonts w:ascii="Palatino Linotype" w:hAnsi="Palatino Linotype" w:cs="Tahoma"/>
        </w:rPr>
        <w:t xml:space="preserve">la nómina del </w:t>
      </w:r>
      <w:r>
        <w:rPr>
          <w:rFonts w:ascii="Palatino Linotype" w:hAnsi="Palatino Linotype" w:cs="Tahoma"/>
        </w:rPr>
        <w:t>Ayuntamiento</w:t>
      </w:r>
      <w:r w:rsidRPr="000C73AC">
        <w:rPr>
          <w:rFonts w:ascii="Palatino Linotype" w:hAnsi="Palatino Linotype" w:cs="Tahoma"/>
        </w:rPr>
        <w:t xml:space="preserve">; </w:t>
      </w:r>
      <w:r>
        <w:rPr>
          <w:rFonts w:ascii="Palatino Linotype" w:hAnsi="Palatino Linotype" w:cs="Tahoma"/>
        </w:rPr>
        <w:t>al respecto, se ordenó la entrega de la información; no obstante, se precisó que, para el caso</w:t>
      </w:r>
      <w:r>
        <w:rPr>
          <w:rFonts w:ascii="Palatino Linotype" w:hAnsi="Palatino Linotype" w:cs="Tahoma"/>
        </w:rPr>
        <w:t xml:space="preserve">, </w:t>
      </w:r>
      <w:r>
        <w:rPr>
          <w:rFonts w:ascii="Palatino Linotype" w:hAnsi="Palatino Linotype" w:cs="Tahoma"/>
        </w:rPr>
        <w:t xml:space="preserve">que contengan el nombre </w:t>
      </w:r>
      <w:r w:rsidRPr="00A757FC">
        <w:rPr>
          <w:rFonts w:ascii="Palatino Linotype" w:eastAsia="Calibri" w:hAnsi="Palatino Linotype" w:cs="Tahoma"/>
          <w:bCs/>
        </w:rPr>
        <w:t>d</w:t>
      </w:r>
      <w:r>
        <w:rPr>
          <w:rFonts w:ascii="Palatino Linotype" w:eastAsia="Calibri" w:hAnsi="Palatino Linotype" w:cs="Tahoma"/>
          <w:bCs/>
        </w:rPr>
        <w:t xml:space="preserve">el personal operativo de la Dirección de Seguridad Pública, </w:t>
      </w:r>
      <w:r>
        <w:rPr>
          <w:rFonts w:ascii="Palatino Linotype" w:eastAsia="Palatino Linotype" w:hAnsi="Palatino Linotype" w:cs="Palatino Linotype"/>
        </w:rPr>
        <w:t>los mismos deberán clasificarse como reservados en términos de lo establecido por el artículo 140, fracciones VI y</w:t>
      </w:r>
      <w:r w:rsidRPr="00BB66B3">
        <w:rPr>
          <w:rFonts w:ascii="Palatino Linotype" w:hAnsi="Palatino Linotype" w:cs="Tahoma"/>
          <w:color w:val="0D0D0D" w:themeColor="text1" w:themeTint="F2"/>
        </w:rPr>
        <w:t xml:space="preserve"> VII</w:t>
      </w:r>
      <w:r>
        <w:rPr>
          <w:rFonts w:ascii="Palatino Linotype" w:hAnsi="Palatino Linotype" w:cs="Tahoma"/>
          <w:color w:val="0D0D0D" w:themeColor="text1" w:themeTint="F2"/>
        </w:rPr>
        <w:t xml:space="preserve">I, </w:t>
      </w:r>
      <w:r>
        <w:rPr>
          <w:rFonts w:ascii="Palatino Linotype" w:eastAsia="Palatino Linotype" w:hAnsi="Palatino Linotype" w:cs="Palatino Linotype"/>
        </w:rPr>
        <w:t xml:space="preserve">de la Ley de Transparencia y Acceso a la Información pública del Estado de México y Municipios. </w:t>
      </w:r>
    </w:p>
    <w:p w14:paraId="5F32FCC6" w14:textId="77777777" w:rsidR="004504A9" w:rsidRPr="00274A5F" w:rsidRDefault="004504A9" w:rsidP="004504A9">
      <w:pPr>
        <w:spacing w:after="0" w:line="360" w:lineRule="auto"/>
        <w:jc w:val="both"/>
        <w:rPr>
          <w:rFonts w:ascii="Palatino Linotype" w:hAnsi="Palatino Linotype" w:cs="Tahoma"/>
        </w:rPr>
      </w:pPr>
    </w:p>
    <w:p w14:paraId="42181A76" w14:textId="77777777" w:rsidR="004504A9" w:rsidRDefault="004504A9" w:rsidP="004504A9">
      <w:pPr>
        <w:spacing w:after="0" w:line="360" w:lineRule="auto"/>
        <w:jc w:val="both"/>
        <w:rPr>
          <w:rFonts w:ascii="Palatino Linotype" w:hAnsi="Palatino Linotype" w:cs="Tahoma"/>
        </w:rPr>
      </w:pPr>
      <w:r>
        <w:rPr>
          <w:rFonts w:ascii="Palatino Linotype" w:eastAsia="Calibri" w:hAnsi="Palatino Linotype" w:cs="Tahoma"/>
        </w:rPr>
        <w:t>De lo anterior</w:t>
      </w:r>
      <w:r w:rsidRPr="00767A96">
        <w:rPr>
          <w:rFonts w:ascii="Palatino Linotype" w:eastAsia="Calibri" w:hAnsi="Palatino Linotype" w:cs="Tahoma"/>
        </w:rPr>
        <w:t xml:space="preserve">, emito </w:t>
      </w:r>
      <w:r>
        <w:rPr>
          <w:rFonts w:ascii="Palatino Linotype" w:eastAsia="Calibri" w:hAnsi="Palatino Linotype" w:cs="Tahoma"/>
        </w:rPr>
        <w:t xml:space="preserve">voto particular </w:t>
      </w:r>
      <w:r w:rsidRPr="00767A96">
        <w:rPr>
          <w:rFonts w:ascii="Palatino Linotype" w:eastAsia="Calibri" w:hAnsi="Palatino Linotype" w:cs="Tahoma"/>
        </w:rPr>
        <w:t xml:space="preserve">en virtud </w:t>
      </w:r>
      <w:r>
        <w:rPr>
          <w:rFonts w:ascii="Palatino Linotype" w:eastAsia="Calibri" w:hAnsi="Palatino Linotype" w:cs="Tahoma"/>
        </w:rPr>
        <w:t xml:space="preserve">de </w:t>
      </w:r>
      <w:r w:rsidRPr="00767A96">
        <w:rPr>
          <w:rFonts w:ascii="Palatino Linotype" w:eastAsia="Calibri" w:hAnsi="Palatino Linotype" w:cs="Tahoma"/>
        </w:rPr>
        <w:t xml:space="preserve">que </w:t>
      </w:r>
      <w:r>
        <w:rPr>
          <w:rFonts w:ascii="Palatino Linotype" w:eastAsia="Calibri" w:hAnsi="Palatino Linotype" w:cs="Tahoma"/>
        </w:rPr>
        <w:t xml:space="preserve">presenté la Resolución citada al rubro conforme al criterio mayoritario del Pleno de este Instituto, por lo tanto, es necesario señalar que </w:t>
      </w:r>
      <w:r>
        <w:rPr>
          <w:rFonts w:ascii="Palatino Linotype" w:hAnsi="Palatino Linotype" w:cs="Tahoma"/>
        </w:rPr>
        <w:t xml:space="preserve">el tema de la reserva de la información debe analizarse de forma tal que se plantee en el estudio la prueba de daño que permite a este Organismo Garante confirmar que la entrega </w:t>
      </w:r>
      <w:r>
        <w:rPr>
          <w:rFonts w:ascii="Palatino Linotype" w:hAnsi="Palatino Linotype" w:cs="Tahoma"/>
        </w:rPr>
        <w:lastRenderedPageBreak/>
        <w:t xml:space="preserve">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31BBF53D" w14:textId="77777777" w:rsidR="004504A9" w:rsidRPr="00274A5F" w:rsidRDefault="004504A9" w:rsidP="004504A9">
      <w:pPr>
        <w:spacing w:after="0" w:line="360" w:lineRule="auto"/>
        <w:jc w:val="both"/>
        <w:rPr>
          <w:rFonts w:ascii="Palatino Linotype" w:hAnsi="Palatino Linotype" w:cs="Tahoma"/>
        </w:rPr>
      </w:pPr>
    </w:p>
    <w:p w14:paraId="12BBECDF"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Lo anterior en virtud de que, para que proceda o no la reserva; no basta con que se actualice el dispositivo normativo 140 de la Ley de la materia,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4E7AD3F8" w14:textId="77777777" w:rsidR="004504A9" w:rsidRPr="00274A5F" w:rsidRDefault="004504A9" w:rsidP="004504A9">
      <w:pPr>
        <w:spacing w:after="0" w:line="360" w:lineRule="auto"/>
        <w:jc w:val="both"/>
        <w:rPr>
          <w:rFonts w:ascii="Palatino Linotype" w:hAnsi="Palatino Linotype" w:cs="Tahoma"/>
        </w:rPr>
      </w:pPr>
    </w:p>
    <w:p w14:paraId="5922AA55"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21ED6588" w14:textId="77777777" w:rsidR="004504A9" w:rsidRPr="00274A5F" w:rsidRDefault="004504A9" w:rsidP="004504A9">
      <w:pPr>
        <w:spacing w:after="0" w:line="360" w:lineRule="auto"/>
        <w:jc w:val="both"/>
        <w:rPr>
          <w:rFonts w:ascii="Palatino Linotype" w:hAnsi="Palatino Linotype"/>
        </w:rPr>
      </w:pPr>
    </w:p>
    <w:p w14:paraId="2B5CE667" w14:textId="77777777" w:rsidR="004504A9" w:rsidRPr="00274A5F" w:rsidRDefault="004504A9" w:rsidP="004504A9">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w:t>
      </w:r>
      <w:r w:rsidRPr="00274A5F">
        <w:rPr>
          <w:rFonts w:ascii="Palatino Linotype" w:hAnsi="Palatino Linotype" w:cs="Segoe UI"/>
        </w:rPr>
        <w:lastRenderedPageBreak/>
        <w:t xml:space="preserve">lo que encuentra sustento en las tesis jurisprudenciales emitidas por la Suprema Corte de Justicia de la Nación, que son del literal siguiente: </w:t>
      </w:r>
    </w:p>
    <w:p w14:paraId="25FFC8A6" w14:textId="77777777" w:rsidR="004504A9" w:rsidRPr="00274A5F" w:rsidRDefault="004504A9" w:rsidP="004504A9">
      <w:pPr>
        <w:spacing w:after="0" w:line="360" w:lineRule="auto"/>
        <w:jc w:val="both"/>
        <w:rPr>
          <w:rFonts w:ascii="Palatino Linotype" w:hAnsi="Palatino Linotype" w:cs="Segoe UI"/>
        </w:rPr>
      </w:pPr>
    </w:p>
    <w:p w14:paraId="60C149DE" w14:textId="77777777" w:rsidR="004504A9" w:rsidRPr="00274A5F" w:rsidRDefault="004504A9" w:rsidP="004504A9">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23BA103" w14:textId="77777777" w:rsidR="004504A9" w:rsidRPr="00274A5F" w:rsidRDefault="004504A9" w:rsidP="004504A9">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49CE859" w14:textId="77777777" w:rsidR="004504A9" w:rsidRPr="00274A5F" w:rsidRDefault="004504A9" w:rsidP="004504A9">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w:t>
      </w:r>
      <w:r w:rsidRPr="00274A5F">
        <w:rPr>
          <w:rFonts w:ascii="Palatino Linotype" w:hAnsi="Palatino Linotype"/>
          <w:i/>
          <w:iCs/>
          <w:sz w:val="20"/>
          <w:szCs w:val="20"/>
          <w:lang w:eastAsia="es-MX"/>
        </w:rPr>
        <w:lastRenderedPageBreak/>
        <w:t>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28A8CB4" w14:textId="77777777" w:rsidR="004504A9" w:rsidRPr="00274A5F" w:rsidRDefault="004504A9" w:rsidP="004504A9">
      <w:pPr>
        <w:spacing w:after="0" w:line="360" w:lineRule="auto"/>
        <w:jc w:val="both"/>
        <w:rPr>
          <w:rFonts w:ascii="Palatino Linotype" w:hAnsi="Palatino Linotype" w:cs="Arial"/>
        </w:rPr>
      </w:pPr>
    </w:p>
    <w:p w14:paraId="58449E4B"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799955"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lastRenderedPageBreak/>
        <w:t>También, el Juicio de Amparo Indirecto 1232/2017 resuelto por el Juzgado Cuarto de Distrito en Materia Administrativa en la Ciudad de México, cuya síntesis se expone en el libro Casos Paradigmáticos (Esquivel,</w:t>
      </w:r>
      <w:r>
        <w:rPr>
          <w:rFonts w:ascii="Palatino Linotype" w:hAnsi="Palatino Linotype" w:cs="Tahoma"/>
        </w:rPr>
        <w:t xml:space="preserve"> </w:t>
      </w:r>
      <w:proofErr w:type="spellStart"/>
      <w:r w:rsidRPr="00274A5F">
        <w:rPr>
          <w:rFonts w:ascii="Palatino Linotype" w:hAnsi="Palatino Linotype" w:cs="Tahoma"/>
        </w:rPr>
        <w:t>Yasmin</w:t>
      </w:r>
      <w:proofErr w:type="spellEnd"/>
      <w:r w:rsidRPr="00274A5F">
        <w:rPr>
          <w:rFonts w:ascii="Palatino Linotype" w:hAnsi="Palatino Linotype" w:cs="Tahoma"/>
        </w:rPr>
        <w:t xml:space="preserve">,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2FC35E8" w14:textId="77777777" w:rsidR="004504A9" w:rsidRPr="00274A5F" w:rsidRDefault="004504A9" w:rsidP="004504A9">
      <w:pPr>
        <w:spacing w:after="0" w:line="360" w:lineRule="auto"/>
        <w:jc w:val="both"/>
        <w:rPr>
          <w:rFonts w:ascii="Palatino Linotype" w:hAnsi="Palatino Linotype" w:cs="Tahoma"/>
        </w:rPr>
      </w:pPr>
    </w:p>
    <w:p w14:paraId="00ACF1EE" w14:textId="77777777" w:rsidR="004504A9" w:rsidRPr="00274A5F" w:rsidRDefault="004504A9" w:rsidP="004504A9">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05C9F97A" w14:textId="77777777" w:rsidR="004504A9" w:rsidRPr="00274A5F" w:rsidRDefault="004504A9" w:rsidP="004504A9">
      <w:pPr>
        <w:spacing w:after="0" w:line="360" w:lineRule="auto"/>
        <w:jc w:val="both"/>
        <w:rPr>
          <w:rFonts w:ascii="Palatino Linotype" w:hAnsi="Palatino Linotype" w:cs="Tahoma"/>
        </w:rPr>
      </w:pPr>
    </w:p>
    <w:p w14:paraId="307471C6" w14:textId="77777777" w:rsidR="004504A9" w:rsidRPr="00274A5F" w:rsidRDefault="004504A9" w:rsidP="004504A9">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7E3D7D98" w14:textId="77777777" w:rsidR="004504A9" w:rsidRPr="00274A5F" w:rsidRDefault="004504A9" w:rsidP="004504A9">
      <w:pPr>
        <w:spacing w:after="0" w:line="360" w:lineRule="auto"/>
        <w:jc w:val="both"/>
        <w:rPr>
          <w:rFonts w:ascii="Palatino Linotype" w:hAnsi="Palatino Linotype" w:cs="Tahoma"/>
        </w:rPr>
      </w:pPr>
    </w:p>
    <w:p w14:paraId="180827C5" w14:textId="77777777" w:rsidR="004504A9" w:rsidRPr="00274A5F" w:rsidRDefault="004504A9" w:rsidP="004504A9">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w:t>
      </w:r>
      <w:r w:rsidRPr="00274A5F">
        <w:rPr>
          <w:rFonts w:ascii="Palatino Linotype" w:hAnsi="Palatino Linotype" w:cs="Tahoma"/>
        </w:rPr>
        <w:lastRenderedPageBreak/>
        <w:t>de clasificación y desclasificación de la información, así como para la elaboración de versiones públicas.</w:t>
      </w:r>
    </w:p>
    <w:p w14:paraId="0BEA6FE2" w14:textId="77777777" w:rsidR="004504A9" w:rsidRPr="00274A5F" w:rsidRDefault="004504A9" w:rsidP="004504A9">
      <w:pPr>
        <w:spacing w:after="0" w:line="360" w:lineRule="auto"/>
        <w:jc w:val="both"/>
        <w:rPr>
          <w:rFonts w:ascii="Palatino Linotype" w:hAnsi="Palatino Linotype" w:cs="Tahoma"/>
        </w:rPr>
      </w:pPr>
    </w:p>
    <w:p w14:paraId="3BD2F73C" w14:textId="77777777" w:rsidR="004504A9" w:rsidRDefault="004504A9" w:rsidP="004504A9">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763933D" w14:textId="77777777" w:rsidR="004504A9" w:rsidRPr="00274A5F" w:rsidRDefault="004504A9" w:rsidP="004504A9">
      <w:pPr>
        <w:spacing w:after="0" w:line="360" w:lineRule="auto"/>
        <w:jc w:val="both"/>
        <w:rPr>
          <w:rFonts w:ascii="Palatino Linotype" w:hAnsi="Palatino Linotype" w:cs="Tahoma"/>
        </w:rPr>
      </w:pPr>
    </w:p>
    <w:p w14:paraId="321447DA" w14:textId="77777777" w:rsidR="004504A9" w:rsidRPr="00274A5F" w:rsidRDefault="004504A9" w:rsidP="004504A9">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4F1554FB" w14:textId="77777777" w:rsidR="004504A9" w:rsidRPr="00274A5F" w:rsidRDefault="004504A9" w:rsidP="004504A9">
      <w:pPr>
        <w:spacing w:after="0" w:line="360" w:lineRule="auto"/>
        <w:jc w:val="both"/>
        <w:rPr>
          <w:rFonts w:ascii="Palatino Linotype" w:hAnsi="Palatino Linotype" w:cs="Tahoma"/>
        </w:rPr>
      </w:pPr>
    </w:p>
    <w:p w14:paraId="0069F269" w14:textId="77777777" w:rsidR="004504A9" w:rsidRPr="00274A5F" w:rsidRDefault="004504A9" w:rsidP="004504A9">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7B8555B8" w14:textId="77777777" w:rsidR="004504A9" w:rsidRPr="00274A5F" w:rsidRDefault="004504A9" w:rsidP="004504A9">
      <w:pPr>
        <w:spacing w:after="0" w:line="360" w:lineRule="auto"/>
        <w:jc w:val="both"/>
        <w:rPr>
          <w:rFonts w:ascii="Palatino Linotype" w:hAnsi="Palatino Linotype" w:cs="Tahoma"/>
        </w:rPr>
      </w:pPr>
    </w:p>
    <w:p w14:paraId="45368129"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 xml:space="preserve">De acuerdo con lo ya señalado por la Corte, si bien, no existe disposición que de manera textual determine que los Organismos Garantes tienen atribuciones para hacer la prueba de </w:t>
      </w:r>
      <w:r w:rsidRPr="00274A5F">
        <w:rPr>
          <w:rFonts w:ascii="Palatino Linotype" w:hAnsi="Palatino Linotype" w:cs="Tahoma"/>
        </w:rPr>
        <w:lastRenderedPageBreak/>
        <w:t>daño, no es posible que ninguna instancia involucrada en garantizar el derecho humano de acceso a la información, reserve información sin analizar la prueba de daño.</w:t>
      </w:r>
    </w:p>
    <w:p w14:paraId="5705D9C9" w14:textId="77777777" w:rsidR="004504A9" w:rsidRPr="00274A5F" w:rsidRDefault="004504A9" w:rsidP="004504A9">
      <w:pPr>
        <w:spacing w:after="0" w:line="360" w:lineRule="auto"/>
        <w:jc w:val="both"/>
        <w:rPr>
          <w:rFonts w:ascii="Palatino Linotype" w:eastAsia="Palatino Linotype" w:hAnsi="Palatino Linotype" w:cs="Palatino Linotype"/>
        </w:rPr>
      </w:pPr>
    </w:p>
    <w:p w14:paraId="1680D056" w14:textId="77777777" w:rsidR="004504A9" w:rsidRPr="00274A5F" w:rsidRDefault="004504A9" w:rsidP="004504A9">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6C51E53" w14:textId="77777777" w:rsidR="004504A9" w:rsidRPr="00274A5F" w:rsidRDefault="004504A9" w:rsidP="004504A9">
      <w:pPr>
        <w:spacing w:after="0" w:line="360" w:lineRule="auto"/>
        <w:jc w:val="both"/>
        <w:rPr>
          <w:rFonts w:ascii="Palatino Linotype" w:hAnsi="Palatino Linotype" w:cs="Tahoma"/>
        </w:rPr>
      </w:pPr>
    </w:p>
    <w:p w14:paraId="33294100" w14:textId="77777777" w:rsidR="004504A9" w:rsidRPr="00274A5F" w:rsidRDefault="004504A9" w:rsidP="004504A9">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Bajo esa lógica, estimo que en el presente caso, si bien la naturaleza de la información solicitada en efecto es la de reservada </w:t>
      </w:r>
      <w:r>
        <w:rPr>
          <w:rFonts w:ascii="Palatino Linotype" w:eastAsia="Palatino Linotype" w:hAnsi="Palatino Linotype" w:cs="Palatino Linotype"/>
        </w:rPr>
        <w:t>en términos de</w:t>
      </w:r>
      <w:r w:rsidRPr="00274A5F">
        <w:rPr>
          <w:rFonts w:ascii="Palatino Linotype" w:eastAsia="Palatino Linotype" w:hAnsi="Palatino Linotype" w:cs="Palatino Linotype"/>
        </w:rPr>
        <w:t xml:space="preserve"> la Ley de Transparencia y Acceso a la Información Pública del Estado de México y Municipios, </w:t>
      </w:r>
      <w:r>
        <w:rPr>
          <w:rFonts w:ascii="Palatino Linotype" w:eastAsia="Palatino Linotype" w:hAnsi="Palatino Linotype" w:cs="Palatino Linotype"/>
        </w:rPr>
        <w:t xml:space="preserve">sin embargo, </w:t>
      </w:r>
      <w:r w:rsidRPr="00274A5F">
        <w:rPr>
          <w:rFonts w:ascii="Palatino Linotype" w:eastAsia="Palatino Linotype" w:hAnsi="Palatino Linotype" w:cs="Palatino Linotype"/>
        </w:rPr>
        <w:t>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50AF7796" w14:textId="77777777" w:rsidR="004504A9" w:rsidRPr="00274A5F" w:rsidRDefault="004504A9" w:rsidP="004504A9">
      <w:pPr>
        <w:spacing w:after="0" w:line="360" w:lineRule="auto"/>
        <w:jc w:val="both"/>
        <w:rPr>
          <w:rFonts w:ascii="Palatino Linotype" w:hAnsi="Palatino Linotype" w:cs="Tahoma"/>
        </w:rPr>
      </w:pPr>
    </w:p>
    <w:p w14:paraId="768BA67B"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w:t>
      </w:r>
      <w:r>
        <w:rPr>
          <w:rFonts w:ascii="Palatino Linotype" w:hAnsi="Palatino Linotype" w:cs="Tahoma"/>
        </w:rPr>
        <w:t>misma</w:t>
      </w:r>
      <w:r w:rsidRPr="00274A5F">
        <w:rPr>
          <w:rFonts w:ascii="Palatino Linotype" w:hAnsi="Palatino Linotype" w:cs="Tahoma"/>
        </w:rPr>
        <w:t xml:space="preserve">. </w:t>
      </w:r>
    </w:p>
    <w:p w14:paraId="667EB996" w14:textId="77777777" w:rsidR="004504A9" w:rsidRPr="00274A5F" w:rsidRDefault="004504A9" w:rsidP="004504A9">
      <w:pPr>
        <w:spacing w:after="0" w:line="360" w:lineRule="auto"/>
        <w:jc w:val="both"/>
        <w:rPr>
          <w:rFonts w:ascii="Palatino Linotype" w:hAnsi="Palatino Linotype" w:cs="Tahoma"/>
        </w:rPr>
      </w:pPr>
    </w:p>
    <w:p w14:paraId="26A2A7E7" w14:textId="77777777" w:rsidR="004504A9" w:rsidRDefault="004504A9" w:rsidP="004504A9">
      <w:pPr>
        <w:spacing w:after="0" w:line="360" w:lineRule="auto"/>
        <w:jc w:val="both"/>
        <w:rPr>
          <w:rFonts w:ascii="Palatino Linotype" w:hAnsi="Palatino Linotype" w:cs="Tahoma"/>
        </w:rPr>
      </w:pPr>
      <w:r w:rsidRPr="00274A5F">
        <w:rPr>
          <w:rFonts w:ascii="Palatino Linotype" w:hAnsi="Palatino Linotype" w:cs="Tahoma"/>
        </w:rPr>
        <w:lastRenderedPageBreak/>
        <w:t xml:space="preserve">En otras palabras, la determinación que </w:t>
      </w:r>
      <w:r>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9101EC9" w14:textId="77777777" w:rsidR="004504A9" w:rsidRPr="00274A5F" w:rsidRDefault="004504A9" w:rsidP="004504A9">
      <w:pPr>
        <w:spacing w:after="0" w:line="360" w:lineRule="auto"/>
        <w:jc w:val="both"/>
        <w:rPr>
          <w:rFonts w:ascii="Palatino Linotype" w:hAnsi="Palatino Linotype" w:cs="Tahoma"/>
        </w:rPr>
      </w:pPr>
    </w:p>
    <w:p w14:paraId="0A79E502"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015324FE" w14:textId="77777777" w:rsidR="004504A9" w:rsidRPr="00274A5F" w:rsidRDefault="004504A9" w:rsidP="004504A9">
      <w:pPr>
        <w:spacing w:after="0" w:line="360" w:lineRule="auto"/>
        <w:jc w:val="both"/>
        <w:rPr>
          <w:rFonts w:ascii="Palatino Linotype" w:hAnsi="Palatino Linotype" w:cs="Tahoma"/>
        </w:rPr>
      </w:pPr>
    </w:p>
    <w:p w14:paraId="6DBEDEA4"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E702686" w14:textId="77777777" w:rsidR="004504A9" w:rsidRPr="00274A5F" w:rsidRDefault="004504A9" w:rsidP="004504A9">
      <w:pPr>
        <w:spacing w:after="0" w:line="360" w:lineRule="auto"/>
        <w:jc w:val="both"/>
        <w:rPr>
          <w:rFonts w:ascii="Palatino Linotype" w:hAnsi="Palatino Linotype" w:cs="Tahoma"/>
        </w:rPr>
      </w:pPr>
    </w:p>
    <w:p w14:paraId="3F82CC1B" w14:textId="77777777" w:rsidR="004504A9" w:rsidRPr="00274A5F" w:rsidRDefault="004504A9" w:rsidP="004504A9">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17DCF117" w14:textId="77777777" w:rsidR="004504A9" w:rsidRPr="00274A5F" w:rsidRDefault="004504A9" w:rsidP="004504A9">
      <w:pPr>
        <w:spacing w:after="0" w:line="360" w:lineRule="auto"/>
        <w:jc w:val="both"/>
        <w:rPr>
          <w:rFonts w:ascii="Palatino Linotype" w:hAnsi="Palatino Linotype" w:cs="Tahoma"/>
        </w:rPr>
      </w:pPr>
    </w:p>
    <w:p w14:paraId="1219CB90" w14:textId="77777777" w:rsidR="004504A9" w:rsidRDefault="004504A9" w:rsidP="004504A9">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r>
        <w:rPr>
          <w:rFonts w:ascii="Palatino Linotype" w:hAnsi="Palatino Linotype" w:cs="Tahoma"/>
          <w:lang w:val="es-MX"/>
        </w:rPr>
        <w:t>---------------------------</w:t>
      </w:r>
    </w:p>
    <w:p w14:paraId="02A2FC61" w14:textId="77777777" w:rsidR="004504A9" w:rsidRDefault="004504A9" w:rsidP="004504A9">
      <w:pPr>
        <w:spacing w:after="0" w:line="360" w:lineRule="auto"/>
        <w:jc w:val="both"/>
        <w:rPr>
          <w:rFonts w:ascii="Palatino Linotype" w:hAnsi="Palatino Linotype" w:cs="Tahoma"/>
        </w:rPr>
      </w:pPr>
    </w:p>
    <w:p w14:paraId="41B8B708" w14:textId="77777777" w:rsidR="004504A9" w:rsidRDefault="004504A9" w:rsidP="004504A9">
      <w:pPr>
        <w:spacing w:after="0" w:line="360" w:lineRule="auto"/>
        <w:jc w:val="both"/>
        <w:rPr>
          <w:rFonts w:ascii="Palatino Linotype" w:hAnsi="Palatino Linotype" w:cs="Tahoma"/>
        </w:rPr>
      </w:pPr>
    </w:p>
    <w:p w14:paraId="665284AC" w14:textId="77777777" w:rsidR="004504A9" w:rsidRDefault="004504A9" w:rsidP="004504A9">
      <w:pPr>
        <w:spacing w:after="0" w:line="360" w:lineRule="auto"/>
        <w:jc w:val="both"/>
        <w:rPr>
          <w:rFonts w:ascii="Palatino Linotype" w:hAnsi="Palatino Linotype" w:cs="Tahoma"/>
        </w:rPr>
      </w:pPr>
    </w:p>
    <w:p w14:paraId="06B8B85E" w14:textId="77777777" w:rsidR="004504A9" w:rsidRDefault="004504A9" w:rsidP="004504A9">
      <w:pPr>
        <w:spacing w:after="0" w:line="360" w:lineRule="auto"/>
        <w:jc w:val="both"/>
        <w:rPr>
          <w:rFonts w:ascii="Palatino Linotype" w:hAnsi="Palatino Linotype" w:cs="Tahoma"/>
        </w:rPr>
      </w:pPr>
    </w:p>
    <w:p w14:paraId="7785A79E" w14:textId="77777777" w:rsidR="004504A9" w:rsidRDefault="004504A9" w:rsidP="004504A9">
      <w:pPr>
        <w:spacing w:after="0" w:line="360" w:lineRule="auto"/>
        <w:jc w:val="both"/>
        <w:rPr>
          <w:rFonts w:ascii="Palatino Linotype" w:hAnsi="Palatino Linotype" w:cs="Tahoma"/>
        </w:rPr>
      </w:pPr>
    </w:p>
    <w:p w14:paraId="5D7C3E73" w14:textId="77777777" w:rsidR="004504A9" w:rsidRDefault="004504A9" w:rsidP="004504A9">
      <w:pPr>
        <w:spacing w:after="0" w:line="360" w:lineRule="auto"/>
        <w:jc w:val="both"/>
        <w:rPr>
          <w:rFonts w:ascii="Palatino Linotype" w:hAnsi="Palatino Linotype" w:cs="Tahoma"/>
        </w:rPr>
      </w:pPr>
    </w:p>
    <w:p w14:paraId="0274AAE8" w14:textId="77777777" w:rsidR="004504A9" w:rsidRDefault="004504A9" w:rsidP="004504A9">
      <w:pPr>
        <w:spacing w:after="0" w:line="360" w:lineRule="auto"/>
        <w:jc w:val="both"/>
        <w:rPr>
          <w:rFonts w:ascii="Palatino Linotype" w:hAnsi="Palatino Linotype" w:cs="Tahoma"/>
        </w:rPr>
      </w:pPr>
    </w:p>
    <w:p w14:paraId="50CD33B0" w14:textId="77777777" w:rsidR="004504A9" w:rsidRDefault="004504A9" w:rsidP="004504A9">
      <w:pPr>
        <w:spacing w:after="0" w:line="360" w:lineRule="auto"/>
        <w:jc w:val="both"/>
        <w:rPr>
          <w:rFonts w:ascii="Palatino Linotype" w:hAnsi="Palatino Linotype" w:cs="Tahoma"/>
        </w:rPr>
      </w:pPr>
    </w:p>
    <w:p w14:paraId="6B44C3A0" w14:textId="77777777" w:rsidR="004504A9" w:rsidRDefault="004504A9" w:rsidP="004504A9">
      <w:pPr>
        <w:spacing w:after="0" w:line="360" w:lineRule="auto"/>
        <w:jc w:val="both"/>
        <w:rPr>
          <w:rFonts w:ascii="Palatino Linotype" w:hAnsi="Palatino Linotype" w:cs="Tahoma"/>
        </w:rPr>
      </w:pPr>
    </w:p>
    <w:p w14:paraId="4811B60E" w14:textId="77777777" w:rsidR="004504A9" w:rsidRDefault="004504A9" w:rsidP="004504A9">
      <w:pPr>
        <w:spacing w:after="0" w:line="360" w:lineRule="auto"/>
        <w:jc w:val="both"/>
        <w:rPr>
          <w:rFonts w:ascii="Palatino Linotype" w:hAnsi="Palatino Linotype" w:cs="Tahoma"/>
        </w:rPr>
      </w:pPr>
    </w:p>
    <w:p w14:paraId="6A820456" w14:textId="77777777" w:rsidR="004504A9" w:rsidRDefault="004504A9" w:rsidP="004504A9">
      <w:pPr>
        <w:spacing w:after="0" w:line="360" w:lineRule="auto"/>
        <w:jc w:val="both"/>
        <w:rPr>
          <w:rFonts w:ascii="Palatino Linotype" w:hAnsi="Palatino Linotype" w:cs="Tahoma"/>
        </w:rPr>
      </w:pPr>
    </w:p>
    <w:p w14:paraId="18ED3B80" w14:textId="77777777" w:rsidR="004504A9" w:rsidRDefault="004504A9" w:rsidP="004504A9">
      <w:pPr>
        <w:spacing w:after="0" w:line="360" w:lineRule="auto"/>
        <w:jc w:val="both"/>
        <w:rPr>
          <w:rFonts w:ascii="Palatino Linotype" w:hAnsi="Palatino Linotype" w:cs="Tahoma"/>
        </w:rPr>
      </w:pPr>
    </w:p>
    <w:p w14:paraId="60105253" w14:textId="77777777" w:rsidR="004504A9" w:rsidRDefault="004504A9" w:rsidP="004504A9">
      <w:pPr>
        <w:spacing w:after="0" w:line="360" w:lineRule="auto"/>
        <w:jc w:val="both"/>
        <w:rPr>
          <w:rFonts w:ascii="Palatino Linotype" w:hAnsi="Palatino Linotype" w:cs="Tahoma"/>
        </w:rPr>
      </w:pPr>
    </w:p>
    <w:p w14:paraId="6D331629" w14:textId="77777777" w:rsidR="004504A9" w:rsidRDefault="004504A9" w:rsidP="004504A9">
      <w:pPr>
        <w:spacing w:after="0" w:line="360" w:lineRule="auto"/>
        <w:jc w:val="both"/>
        <w:rPr>
          <w:rFonts w:ascii="Palatino Linotype" w:hAnsi="Palatino Linotype" w:cs="Tahoma"/>
        </w:rPr>
      </w:pPr>
    </w:p>
    <w:p w14:paraId="5BE62532" w14:textId="77777777" w:rsidR="004504A9" w:rsidRDefault="004504A9" w:rsidP="004504A9">
      <w:pPr>
        <w:spacing w:after="0" w:line="360" w:lineRule="auto"/>
        <w:jc w:val="both"/>
        <w:rPr>
          <w:rFonts w:ascii="Palatino Linotype" w:hAnsi="Palatino Linotype" w:cs="Tahoma"/>
        </w:rPr>
      </w:pPr>
    </w:p>
    <w:p w14:paraId="272DC436" w14:textId="77777777" w:rsidR="004504A9" w:rsidRDefault="004504A9" w:rsidP="004504A9">
      <w:pPr>
        <w:spacing w:after="0" w:line="360" w:lineRule="auto"/>
        <w:jc w:val="both"/>
        <w:rPr>
          <w:rFonts w:ascii="Palatino Linotype" w:hAnsi="Palatino Linotype" w:cs="Tahoma"/>
        </w:rPr>
      </w:pPr>
    </w:p>
    <w:p w14:paraId="21CD0550" w14:textId="77777777" w:rsidR="004504A9" w:rsidRDefault="004504A9" w:rsidP="004504A9">
      <w:pPr>
        <w:spacing w:after="0" w:line="360" w:lineRule="auto"/>
        <w:jc w:val="both"/>
        <w:rPr>
          <w:rFonts w:ascii="Palatino Linotype" w:hAnsi="Palatino Linotype" w:cs="Tahoma"/>
        </w:rPr>
      </w:pPr>
    </w:p>
    <w:p w14:paraId="5151A2A8" w14:textId="77777777" w:rsidR="004504A9" w:rsidRDefault="004504A9" w:rsidP="004504A9">
      <w:pPr>
        <w:spacing w:after="0" w:line="360" w:lineRule="auto"/>
        <w:jc w:val="both"/>
        <w:rPr>
          <w:rFonts w:ascii="Palatino Linotype" w:hAnsi="Palatino Linotype" w:cs="Tahoma"/>
        </w:rPr>
      </w:pPr>
    </w:p>
    <w:p w14:paraId="43D9E3A5" w14:textId="77777777" w:rsidR="004504A9" w:rsidRPr="00885189" w:rsidRDefault="004504A9" w:rsidP="004504A9">
      <w:pPr>
        <w:spacing w:after="0" w:line="360" w:lineRule="auto"/>
        <w:jc w:val="both"/>
        <w:rPr>
          <w:rFonts w:ascii="Palatino Linotype" w:hAnsi="Palatino Linotype" w:cs="Tahoma"/>
        </w:rPr>
      </w:pPr>
    </w:p>
    <w:p w14:paraId="18FEF7E7" w14:textId="77777777" w:rsidR="004504A9" w:rsidRDefault="004504A9" w:rsidP="004504A9"/>
    <w:p w14:paraId="08790CEC" w14:textId="77777777" w:rsidR="004504A9" w:rsidRDefault="004504A9" w:rsidP="004504A9"/>
    <w:p w14:paraId="26F16F76" w14:textId="77777777" w:rsidR="004504A9" w:rsidRDefault="004504A9" w:rsidP="004504A9"/>
    <w:p w14:paraId="72105335" w14:textId="77777777" w:rsidR="00184371" w:rsidRDefault="00184371"/>
    <w:sectPr w:rsidR="00184371" w:rsidSect="00E912F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7B7" w14:textId="77777777" w:rsidR="00E912F5" w:rsidRDefault="00E912F5" w:rsidP="004504A9">
      <w:pPr>
        <w:spacing w:after="0" w:line="240" w:lineRule="auto"/>
      </w:pPr>
      <w:r>
        <w:separator/>
      </w:r>
    </w:p>
  </w:endnote>
  <w:endnote w:type="continuationSeparator" w:id="0">
    <w:p w14:paraId="0DA0ABFE" w14:textId="77777777" w:rsidR="00E912F5" w:rsidRDefault="00E912F5" w:rsidP="0045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4A2A45AC" w14:textId="77777777" w:rsidR="00000000" w:rsidRDefault="0000000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14:paraId="52BFC075"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2538" w14:textId="77777777" w:rsidR="00E912F5" w:rsidRDefault="00E912F5" w:rsidP="004504A9">
      <w:pPr>
        <w:spacing w:after="0" w:line="240" w:lineRule="auto"/>
      </w:pPr>
      <w:r>
        <w:separator/>
      </w:r>
    </w:p>
  </w:footnote>
  <w:footnote w:type="continuationSeparator" w:id="0">
    <w:p w14:paraId="39942978" w14:textId="77777777" w:rsidR="00E912F5" w:rsidRDefault="00E912F5" w:rsidP="0045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7CAEF151" w14:textId="77777777" w:rsidTr="004504A9">
      <w:trPr>
        <w:trHeight w:val="2127"/>
      </w:trPr>
      <w:tc>
        <w:tcPr>
          <w:tcW w:w="2977" w:type="dxa"/>
          <w:vAlign w:val="bottom"/>
        </w:tcPr>
        <w:p w14:paraId="174DBE69" w14:textId="77777777" w:rsidR="00000000" w:rsidRDefault="00000000"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3BD9BF5" wp14:editId="5C14D32E">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C8E92FF" w14:textId="77777777" w:rsidR="00000000" w:rsidRDefault="00000000" w:rsidP="0077694E">
          <w:pPr>
            <w:pStyle w:val="Encabezado"/>
            <w:tabs>
              <w:tab w:val="clear" w:pos="4252"/>
              <w:tab w:val="center" w:pos="2614"/>
            </w:tabs>
          </w:pPr>
        </w:p>
      </w:tc>
      <w:tc>
        <w:tcPr>
          <w:tcW w:w="5954" w:type="dxa"/>
          <w:vAlign w:val="center"/>
        </w:tcPr>
        <w:p w14:paraId="24A9F3BD" w14:textId="77777777" w:rsidR="00000000" w:rsidRPr="0041405C" w:rsidRDefault="00000000" w:rsidP="004101F6">
          <w:pPr>
            <w:pStyle w:val="Encabezado"/>
            <w:jc w:val="both"/>
            <w:rPr>
              <w:rFonts w:ascii="Palatino Linotype" w:hAnsi="Palatino Linotype" w:cs="Tahoma"/>
              <w:b/>
            </w:rPr>
          </w:pPr>
          <w:r w:rsidRPr="0041405C">
            <w:rPr>
              <w:rFonts w:ascii="Palatino Linotype" w:hAnsi="Palatino Linotype" w:cs="Tahoma"/>
              <w:b/>
            </w:rPr>
            <w:t>Voto Particular</w:t>
          </w:r>
        </w:p>
        <w:p w14:paraId="26F86EDB" w14:textId="000226C8" w:rsidR="00000000" w:rsidRPr="0041405C" w:rsidRDefault="00000000"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Recurso de Revisión:</w:t>
          </w:r>
          <w:r w:rsidR="004504A9">
            <w:rPr>
              <w:rFonts w:ascii="Palatino Linotype" w:hAnsi="Palatino Linotype" w:cs="Tahoma"/>
              <w:b/>
            </w:rPr>
            <w:t xml:space="preserve"> </w:t>
          </w:r>
          <w:r w:rsidR="004504A9" w:rsidRPr="004504A9">
            <w:rPr>
              <w:rFonts w:ascii="Palatino Linotype" w:hAnsi="Palatino Linotype" w:cs="Tahoma"/>
              <w:bCs/>
            </w:rPr>
            <w:t>03212</w:t>
          </w:r>
          <w:r w:rsidRPr="004504A9">
            <w:rPr>
              <w:rFonts w:ascii="Palatino Linotype" w:eastAsia="Palatino Linotype" w:hAnsi="Palatino Linotype" w:cs="Palatino Linotype"/>
              <w:bCs/>
            </w:rPr>
            <w:t>/INFOEM/IP/RR/</w:t>
          </w:r>
          <w:r w:rsidRPr="004504A9">
            <w:rPr>
              <w:rFonts w:ascii="Palatino Linotype" w:eastAsia="Palatino Linotype" w:hAnsi="Palatino Linotype" w:cs="Palatino Linotype"/>
              <w:bCs/>
            </w:rPr>
            <w:t>202</w:t>
          </w:r>
          <w:r w:rsidR="004504A9">
            <w:rPr>
              <w:rFonts w:ascii="Palatino Linotype" w:eastAsia="Palatino Linotype" w:hAnsi="Palatino Linotype" w:cs="Palatino Linotype"/>
              <w:bCs/>
            </w:rPr>
            <w:t>3</w:t>
          </w:r>
          <w:r w:rsidRPr="004504A9">
            <w:rPr>
              <w:rFonts w:ascii="Palatino Linotype" w:eastAsia="Palatino Linotype" w:hAnsi="Palatino Linotype" w:cs="Palatino Linotype"/>
              <w:bCs/>
            </w:rPr>
            <w:t xml:space="preserve"> y acumulado</w:t>
          </w:r>
        </w:p>
        <w:p w14:paraId="23C18F31" w14:textId="2179185A" w:rsidR="00000000" w:rsidRPr="0041405C" w:rsidRDefault="00000000"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Pr="004504A9">
            <w:rPr>
              <w:rFonts w:ascii="Palatino Linotype" w:eastAsia="Palatino Linotype" w:hAnsi="Palatino Linotype" w:cs="Palatino Linotype"/>
              <w:lang w:val="es-MX"/>
            </w:rPr>
            <w:t xml:space="preserve">Ayuntamiento de </w:t>
          </w:r>
          <w:r w:rsidR="004504A9" w:rsidRPr="004504A9">
            <w:rPr>
              <w:rFonts w:ascii="Palatino Linotype" w:eastAsia="Palatino Linotype" w:hAnsi="Palatino Linotype" w:cs="Palatino Linotype"/>
              <w:lang w:val="es-MX"/>
            </w:rPr>
            <w:t>Atizapán de Zaragoza</w:t>
          </w:r>
        </w:p>
        <w:p w14:paraId="539F1727" w14:textId="4F311C97" w:rsidR="00000000" w:rsidRPr="0041405C" w:rsidRDefault="00000000"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4504A9">
            <w:rPr>
              <w:rFonts w:ascii="Palatino Linotype" w:hAnsi="Palatino Linotype"/>
              <w:bCs/>
            </w:rPr>
            <w:t>Sharon Cristina Morales Martínez</w:t>
          </w:r>
        </w:p>
        <w:p w14:paraId="19481088" w14:textId="77777777" w:rsidR="00000000" w:rsidRPr="001106EA" w:rsidRDefault="00000000" w:rsidP="00F75AEE">
          <w:pPr>
            <w:pStyle w:val="Encabezado"/>
            <w:jc w:val="both"/>
            <w:rPr>
              <w:rFonts w:ascii="Tahoma" w:hAnsi="Tahoma" w:cs="Tahoma"/>
            </w:rPr>
          </w:pPr>
        </w:p>
      </w:tc>
    </w:tr>
  </w:tbl>
  <w:p w14:paraId="5E6CAE4E" w14:textId="77777777"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00779824">
    <w:abstractNumId w:val="0"/>
  </w:num>
  <w:num w:numId="2" w16cid:durableId="193293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9"/>
    <w:rsid w:val="00184371"/>
    <w:rsid w:val="004504A9"/>
    <w:rsid w:val="00E912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E2C8"/>
  <w15:chartTrackingRefBased/>
  <w15:docId w15:val="{367B5787-84AF-4369-AA95-DE8E96E3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A9"/>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04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04A9"/>
    <w:rPr>
      <w:kern w:val="0"/>
      <w:lang w:val="es-ES"/>
      <w14:ligatures w14:val="none"/>
    </w:rPr>
  </w:style>
  <w:style w:type="paragraph" w:styleId="Piedepgina">
    <w:name w:val="footer"/>
    <w:basedOn w:val="Normal"/>
    <w:link w:val="PiedepginaCar"/>
    <w:uiPriority w:val="99"/>
    <w:unhideWhenUsed/>
    <w:rsid w:val="004504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04A9"/>
    <w:rPr>
      <w:kern w:val="0"/>
      <w:lang w:val="es-ES"/>
      <w14:ligatures w14:val="none"/>
    </w:rPr>
  </w:style>
  <w:style w:type="table" w:styleId="Tablaconcuadrcula">
    <w:name w:val="Table Grid"/>
    <w:basedOn w:val="Tablanormal"/>
    <w:uiPriority w:val="39"/>
    <w:rsid w:val="004504A9"/>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2302</Words>
  <Characters>12665</Characters>
  <Application>Microsoft Office Word</Application>
  <DocSecurity>0</DocSecurity>
  <Lines>105</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dc:creator>
  <cp:keywords/>
  <dc:description/>
  <cp:lastModifiedBy>IVAN PEÑA</cp:lastModifiedBy>
  <cp:revision>1</cp:revision>
  <dcterms:created xsi:type="dcterms:W3CDTF">2024-01-19T01:35:00Z</dcterms:created>
  <dcterms:modified xsi:type="dcterms:W3CDTF">2024-01-19T01:42:00Z</dcterms:modified>
</cp:coreProperties>
</file>