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D6B" w:rsidRDefault="00B43D6B">
      <w:pPr>
        <w:spacing w:after="0" w:line="360" w:lineRule="auto"/>
        <w:jc w:val="both"/>
        <w:rPr>
          <w:rFonts w:ascii="Palatino Linotype" w:eastAsia="Palatino Linotype" w:hAnsi="Palatino Linotype" w:cs="Palatino Linotype"/>
          <w:b/>
        </w:rPr>
      </w:pPr>
      <w:bookmarkStart w:id="0" w:name="_heading=h.4s2qapfj6qj3" w:colFirst="0" w:colLast="0"/>
      <w:bookmarkEnd w:id="0"/>
    </w:p>
    <w:p w:rsidR="00B43D6B" w:rsidRDefault="00C235C0">
      <w:pPr>
        <w:spacing w:after="0" w:line="360" w:lineRule="auto"/>
        <w:jc w:val="both"/>
        <w:rPr>
          <w:rFonts w:ascii="Palatino Linotype" w:eastAsia="Palatino Linotype" w:hAnsi="Palatino Linotype" w:cs="Palatino Linotype"/>
          <w:b/>
          <w:color w:val="FF0000"/>
        </w:rPr>
      </w:pPr>
      <w:bookmarkStart w:id="1" w:name="_heading=h.gjdgxs" w:colFirst="0" w:colLast="0"/>
      <w:bookmarkEnd w:id="1"/>
      <w:r>
        <w:rPr>
          <w:rFonts w:ascii="Palatino Linotype" w:eastAsia="Palatino Linotype" w:hAnsi="Palatino Linotype" w:cs="Palatino Linotype"/>
          <w:b/>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w:t>
      </w:r>
      <w:bookmarkStart w:id="2" w:name="_GoBack"/>
      <w:bookmarkEnd w:id="2"/>
      <w:r>
        <w:rPr>
          <w:rFonts w:ascii="Palatino Linotype" w:eastAsia="Palatino Linotype" w:hAnsi="Palatino Linotype" w:cs="Palatino Linotype"/>
          <w:b/>
        </w:rPr>
        <w:t>EN LA PRIMERA SESIÓN ORDINARIA DEL DIECISIETE DE ENERO DE DOS MIL VEINTICUATRO, EN EL RECURSO DE REVISIÓN 04107/INFOEM/IP/RR/2023.</w:t>
      </w:r>
    </w:p>
    <w:p w:rsidR="00B43D6B" w:rsidRDefault="00B43D6B">
      <w:pPr>
        <w:spacing w:after="0" w:line="360" w:lineRule="auto"/>
        <w:jc w:val="both"/>
        <w:rPr>
          <w:rFonts w:ascii="Palatino Linotype" w:eastAsia="Palatino Linotype" w:hAnsi="Palatino Linotype" w:cs="Palatino Linotype"/>
          <w:b/>
        </w:rPr>
      </w:pPr>
    </w:p>
    <w:p w:rsidR="00B43D6B" w:rsidRDefault="00C235C0">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la suscrita emite </w:t>
      </w:r>
      <w:r>
        <w:rPr>
          <w:rFonts w:ascii="Palatino Linotype" w:eastAsia="Palatino Linotype" w:hAnsi="Palatino Linotype" w:cs="Palatino Linotype"/>
          <w:b/>
        </w:rPr>
        <w:t xml:space="preserve">VOTO PARTICULAR </w:t>
      </w:r>
      <w:r>
        <w:rPr>
          <w:rFonts w:ascii="Palatino Linotype" w:eastAsia="Palatino Linotype" w:hAnsi="Palatino Linotype" w:cs="Palatino Linotype"/>
        </w:rPr>
        <w:t xml:space="preserve">respecto a la resolución dictada en el recurso de revisión número </w:t>
      </w:r>
      <w:r>
        <w:rPr>
          <w:rFonts w:ascii="Palatino Linotype" w:eastAsia="Palatino Linotype" w:hAnsi="Palatino Linotype" w:cs="Palatino Linotype"/>
          <w:b/>
        </w:rPr>
        <w:t>04107/INFOEM/IP/RR/2023</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pronunciada por el Pleno de este Instituto ante el proyecto presentado por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el cual es al tenor siguiente:</w:t>
      </w:r>
    </w:p>
    <w:p w:rsidR="00B43D6B" w:rsidRDefault="00B43D6B">
      <w:pPr>
        <w:spacing w:after="0" w:line="360" w:lineRule="auto"/>
        <w:jc w:val="both"/>
        <w:rPr>
          <w:rFonts w:ascii="Palatino Linotype" w:eastAsia="Palatino Linotype" w:hAnsi="Palatino Linotype" w:cs="Palatino Linotype"/>
        </w:rPr>
      </w:pPr>
    </w:p>
    <w:p w:rsidR="00B43D6B" w:rsidRDefault="00C235C0">
      <w:pPr>
        <w:numPr>
          <w:ilvl w:val="0"/>
          <w:numId w:val="2"/>
        </w:numPr>
        <w:spacing w:after="0" w:line="360" w:lineRule="auto"/>
        <w:ind w:left="567" w:hanging="141"/>
        <w:jc w:val="both"/>
        <w:rPr>
          <w:rFonts w:ascii="Palatino Linotype" w:eastAsia="Palatino Linotype" w:hAnsi="Palatino Linotype" w:cs="Palatino Linotype"/>
          <w:b/>
        </w:rPr>
      </w:pPr>
      <w:r>
        <w:rPr>
          <w:rFonts w:ascii="Palatino Linotype" w:eastAsia="Palatino Linotype" w:hAnsi="Palatino Linotype" w:cs="Palatino Linotype"/>
          <w:b/>
        </w:rPr>
        <w:t>Antecedentes.</w:t>
      </w:r>
    </w:p>
    <w:p w:rsidR="00B43D6B" w:rsidRDefault="00B43D6B">
      <w:pPr>
        <w:spacing w:after="0" w:line="360" w:lineRule="auto"/>
        <w:ind w:left="567"/>
        <w:jc w:val="both"/>
        <w:rPr>
          <w:rFonts w:ascii="Palatino Linotype" w:eastAsia="Palatino Linotype" w:hAnsi="Palatino Linotype" w:cs="Palatino Linotype"/>
          <w:b/>
        </w:rPr>
      </w:pPr>
    </w:p>
    <w:p w:rsidR="00B43D6B" w:rsidRDefault="00C235C0">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asunto que nos ocupa, la parte Recurrente solicitó al Ayuntamiento de Tonanitla, en su carácter de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proporcionará la siguiente información: </w:t>
      </w:r>
    </w:p>
    <w:p w:rsidR="00B43D6B" w:rsidRDefault="00C235C0">
      <w:pPr>
        <w:tabs>
          <w:tab w:val="left" w:pos="851"/>
        </w:tabs>
        <w:ind w:left="851" w:right="901"/>
        <w:jc w:val="both"/>
        <w:rPr>
          <w:rFonts w:ascii="Palatino Linotype" w:eastAsia="Palatino Linotype" w:hAnsi="Palatino Linotype" w:cs="Palatino Linotype"/>
          <w:i/>
        </w:rPr>
      </w:pPr>
      <w:r>
        <w:rPr>
          <w:rFonts w:ascii="Palatino Linotype" w:eastAsia="Palatino Linotype" w:hAnsi="Palatino Linotype" w:cs="Palatino Linotype"/>
          <w:i/>
        </w:rPr>
        <w:t xml:space="preserve">“SE SOLICITA AL TESORERO DEL DIF, INFORME SI CUENTA CON LA CERTIFICACION DE COMPETENCIA LABORAL DE LOS SERVIDORES PUBLICOS CON TITULO PROFESIONAL Y LA EXPERIENCIA NECESARIA PARA OCUPARA LA TESORERIA DEL DIF DE CONFORMIDAD CON LEY ORGÁNICA MUNICIPAL DEL ESTADO DE MÉXICO Artículo 32. Para ocupar las titularidades de la Secretaría, la Tesorería, la Dirección de Obras Públicas, de Desarrollo Económico, de Turismo, de Ecología, </w:t>
      </w:r>
      <w:r>
        <w:rPr>
          <w:rFonts w:ascii="Palatino Linotype" w:eastAsia="Palatino Linotype" w:hAnsi="Palatino Linotype" w:cs="Palatino Linotype"/>
          <w:i/>
        </w:rPr>
        <w:lastRenderedPageBreak/>
        <w:t xml:space="preserve">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III. Contar con título profesional o acreditar experiencia mínima de un año en la materia, ante la o el Presidente o el Ayuntamiento, cuando sea el caso, para el desempeño de los cargos que así lo requieran; IV. Contar con certificación de competencia laboral en la materia del cargo que se desempeñará, expedida por institución con reconocimiento de validez oficial. Este requisito deberá acreditarse dentro de los seis meses siguientes a la fecha en que inicien sus funciones;” </w:t>
      </w:r>
      <w:r>
        <w:rPr>
          <w:rFonts w:ascii="Palatino Linotype" w:eastAsia="Palatino Linotype" w:hAnsi="Palatino Linotype" w:cs="Palatino Linotype"/>
        </w:rPr>
        <w:t>(Sic).</w:t>
      </w:r>
    </w:p>
    <w:p w:rsidR="00B43D6B" w:rsidRDefault="00B43D6B">
      <w:pPr>
        <w:spacing w:line="360" w:lineRule="auto"/>
        <w:ind w:right="49"/>
        <w:jc w:val="both"/>
        <w:rPr>
          <w:rFonts w:ascii="Palatino Linotype" w:eastAsia="Palatino Linotype" w:hAnsi="Palatino Linotype" w:cs="Palatino Linotype"/>
        </w:rPr>
      </w:pPr>
    </w:p>
    <w:p w:rsidR="00B43D6B" w:rsidRDefault="00C235C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Director General del Sistema Municipal para el Desarrollo Integral de la Familia Tonanitla, anexar diversas documentales con las cuales pretende acreditar que el servidor público mencionado en la solicitud de acceso a la información se encuentra en proceso de certificación.</w:t>
      </w:r>
    </w:p>
    <w:p w:rsidR="00B43D6B" w:rsidRDefault="00C235C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Una vez conocida la respuesta la parte Recurrente se inconforma por lo siguiente:</w:t>
      </w:r>
    </w:p>
    <w:p w:rsidR="00B43D6B" w:rsidRPr="008620AB" w:rsidRDefault="008620AB">
      <w:pPr>
        <w:spacing w:line="360" w:lineRule="auto"/>
        <w:ind w:right="49"/>
        <w:jc w:val="both"/>
        <w:rPr>
          <w:rFonts w:ascii="Palatino Linotype" w:eastAsia="Palatino Linotype" w:hAnsi="Palatino Linotype" w:cs="Palatino Linotype"/>
        </w:rPr>
      </w:pPr>
      <w:r w:rsidRPr="008620AB">
        <w:rPr>
          <w:rFonts w:ascii="Palatino Linotype" w:eastAsia="Palatino Linotype" w:hAnsi="Palatino Linotype" w:cs="Palatino Linotype"/>
        </w:rPr>
        <w:t>ACTO IMPUGANDO:</w:t>
      </w:r>
    </w:p>
    <w:p w:rsidR="008620AB" w:rsidRPr="00E73FAB" w:rsidRDefault="008620AB" w:rsidP="008620AB">
      <w:pPr>
        <w:tabs>
          <w:tab w:val="left" w:pos="851"/>
        </w:tabs>
        <w:ind w:left="851" w:right="850"/>
        <w:jc w:val="both"/>
        <w:rPr>
          <w:rFonts w:ascii="Palatino Linotype" w:hAnsi="Palatino Linotype" w:cs="Arial"/>
        </w:rPr>
      </w:pPr>
      <w:r w:rsidRPr="00E73FAB">
        <w:rPr>
          <w:rFonts w:ascii="Palatino Linotype" w:hAnsi="Palatino Linotype" w:cs="Arial"/>
          <w:i/>
        </w:rPr>
        <w:t xml:space="preserve">“Se impugna la respuesta realizada por el Sistema Municipal DIF de Tonanitla por conducto del Director General del DIF, Lic Gerardo Jorge Vargas Vázquez de la solicitud con folio 69/TONANI/IP/2023 de fecha 12 de Junio 2023, por respuesta de Servidores Públicos Habilitados adjuntando anexos como constancia y gaceta de Gobierno, de conformidad con la Ley de Transparencia y Acceso a la Información Pública del Estado de México y Municipios, le contestamos que:” </w:t>
      </w:r>
      <w:r w:rsidRPr="00E73FAB">
        <w:rPr>
          <w:rFonts w:ascii="Palatino Linotype" w:hAnsi="Palatino Linotype" w:cs="Arial"/>
        </w:rPr>
        <w:t>(sic).</w:t>
      </w:r>
    </w:p>
    <w:p w:rsidR="00B43D6B" w:rsidRPr="008620AB" w:rsidRDefault="00C235C0">
      <w:pPr>
        <w:spacing w:line="360" w:lineRule="auto"/>
        <w:ind w:right="49"/>
        <w:jc w:val="both"/>
        <w:rPr>
          <w:rFonts w:ascii="Palatino Linotype" w:eastAsia="Palatino Linotype" w:hAnsi="Palatino Linotype" w:cs="Palatino Linotype"/>
        </w:rPr>
      </w:pPr>
      <w:r w:rsidRPr="008620AB">
        <w:rPr>
          <w:rFonts w:ascii="Palatino Linotype" w:eastAsia="Palatino Linotype" w:hAnsi="Palatino Linotype" w:cs="Palatino Linotype"/>
        </w:rPr>
        <w:t>RAZONES O MOTIVOS DE INCONFORMIDAD</w:t>
      </w:r>
      <w:r w:rsidR="008620AB" w:rsidRPr="008620AB">
        <w:rPr>
          <w:rFonts w:ascii="Palatino Linotype" w:eastAsia="Palatino Linotype" w:hAnsi="Palatino Linotype" w:cs="Palatino Linotype"/>
        </w:rPr>
        <w:t>:</w:t>
      </w:r>
    </w:p>
    <w:p w:rsidR="00B43D6B" w:rsidRDefault="00C235C0">
      <w:pPr>
        <w:tabs>
          <w:tab w:val="left" w:pos="851"/>
        </w:tabs>
        <w:ind w:left="851" w:right="850"/>
        <w:jc w:val="both"/>
        <w:rPr>
          <w:rFonts w:ascii="Palatino Linotype" w:eastAsia="Palatino Linotype" w:hAnsi="Palatino Linotype" w:cs="Palatino Linotype"/>
          <w:i/>
        </w:rPr>
      </w:pPr>
      <w:r>
        <w:rPr>
          <w:rFonts w:ascii="Palatino Linotype" w:eastAsia="Palatino Linotype" w:hAnsi="Palatino Linotype" w:cs="Palatino Linotype"/>
          <w:i/>
        </w:rPr>
        <w:t xml:space="preserve">“Se solicita diversa información del Tesorero del Dif, que informe primero si cuenta con la certificación de competencia laboral, segundo si cuenta con Titulo Profesional y tercero cuenta con Experiencia Necesaria para ocupara el cargo, </w:t>
      </w:r>
      <w:r>
        <w:rPr>
          <w:rFonts w:ascii="Palatino Linotype" w:eastAsia="Palatino Linotype" w:hAnsi="Palatino Linotype" w:cs="Palatino Linotype"/>
          <w:i/>
        </w:rPr>
        <w:lastRenderedPageBreak/>
        <w:t>solamente el director Lic. Gerardo Jorge Vargas Vázquez informa mediante una constancia vencida el día 24 de Mayo del presente año que se encuentra en proceso de certificación y no informa si actualmente con la Certificación de Competencia Laboral el Tesorero del Dif, toda vez que de conformidad con el art. 32 fracción IV de la Ley Orgánica Municipal del Estado de México, a la letra dice: IV. Contar con certificación de competencia laboral en la materia del cargo que se desempeñará, expedida por institución con reconocimiento de validez oficial. Este requisito deberá acreditarse dentro de los seis meses siguientes a la fecha en que inicien sus funciones; Asi mismo no informa nada si cuenta con titulo profesional , tampoco informa si acredita la experiencia mínima de una año en la materia del cargo que ocupa. Como Servidor Publico Habilitado el tesorero tiene la obligación de contestar directamente lo solicitado, y así evitar la falta de información.”</w:t>
      </w:r>
    </w:p>
    <w:p w:rsidR="004D259C" w:rsidRDefault="004D259C">
      <w:pPr>
        <w:tabs>
          <w:tab w:val="left" w:pos="851"/>
        </w:tabs>
        <w:ind w:left="851" w:right="850"/>
        <w:jc w:val="both"/>
        <w:rPr>
          <w:rFonts w:ascii="Palatino Linotype" w:eastAsia="Palatino Linotype" w:hAnsi="Palatino Linotype" w:cs="Palatino Linotype"/>
          <w:i/>
        </w:rPr>
      </w:pPr>
    </w:p>
    <w:p w:rsidR="00B43D6B" w:rsidRDefault="00C235C0">
      <w:pPr>
        <w:spacing w:before="120"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informe justificado remite la certificación de competencia laboral, el título profesional, versión </w:t>
      </w:r>
      <w:r w:rsidR="008620AB">
        <w:rPr>
          <w:rFonts w:ascii="Palatino Linotype" w:eastAsia="Palatino Linotype" w:hAnsi="Palatino Linotype" w:cs="Palatino Linotype"/>
        </w:rPr>
        <w:t>pública</w:t>
      </w:r>
      <w:r>
        <w:rPr>
          <w:rFonts w:ascii="Palatino Linotype" w:eastAsia="Palatino Linotype" w:hAnsi="Palatino Linotype" w:cs="Palatino Linotype"/>
        </w:rPr>
        <w:t xml:space="preserve"> de la cédula profesional y la versión </w:t>
      </w:r>
      <w:r w:rsidR="008620AB" w:rsidRPr="008620AB">
        <w:rPr>
          <w:rFonts w:ascii="Palatino Linotype" w:eastAsia="Palatino Linotype" w:hAnsi="Palatino Linotype" w:cs="Palatino Linotype"/>
        </w:rPr>
        <w:t>pública</w:t>
      </w:r>
      <w:r w:rsidRPr="008620AB">
        <w:rPr>
          <w:rFonts w:ascii="Palatino Linotype" w:eastAsia="Palatino Linotype" w:hAnsi="Palatino Linotype" w:cs="Palatino Linotype"/>
        </w:rPr>
        <w:t xml:space="preserve"> </w:t>
      </w:r>
      <w:r>
        <w:rPr>
          <w:rFonts w:ascii="Palatino Linotype" w:eastAsia="Palatino Linotype" w:hAnsi="Palatino Linotype" w:cs="Palatino Linotype"/>
        </w:rPr>
        <w:t>del currículum vitae del servidor público señalado en la solicitud del particular; sin embargo, no fue posible poner a la vista porque no fue testada la firma en la cédula profesional del servidor público.</w:t>
      </w:r>
    </w:p>
    <w:p w:rsidR="004D259C" w:rsidRDefault="004D259C">
      <w:pPr>
        <w:spacing w:before="120" w:after="120" w:line="360" w:lineRule="auto"/>
        <w:jc w:val="both"/>
        <w:rPr>
          <w:rFonts w:ascii="Palatino Linotype" w:eastAsia="Palatino Linotype" w:hAnsi="Palatino Linotype" w:cs="Palatino Linotype"/>
        </w:rPr>
      </w:pPr>
    </w:p>
    <w:p w:rsidR="00B43D6B" w:rsidRDefault="008620AB">
      <w:pPr>
        <w:spacing w:before="120" w:after="120" w:line="360" w:lineRule="auto"/>
        <w:jc w:val="both"/>
        <w:rPr>
          <w:rFonts w:ascii="Palatino Linotype" w:eastAsia="Arial Unicode MS" w:hAnsi="Palatino Linotype" w:cs="Arial"/>
        </w:rPr>
      </w:pPr>
      <w:r>
        <w:rPr>
          <w:rFonts w:ascii="Palatino Linotype" w:eastAsia="Palatino Linotype" w:hAnsi="Palatino Linotype" w:cs="Palatino Linotype"/>
        </w:rPr>
        <w:t>T</w:t>
      </w:r>
      <w:r w:rsidRPr="008620AB">
        <w:rPr>
          <w:rFonts w:ascii="Palatino Linotype" w:eastAsia="Palatino Linotype" w:hAnsi="Palatino Linotype" w:cs="Palatino Linotype"/>
        </w:rPr>
        <w:t xml:space="preserve">ambién </w:t>
      </w:r>
      <w:r>
        <w:rPr>
          <w:rFonts w:ascii="Palatino Linotype" w:eastAsia="Palatino Linotype" w:hAnsi="Palatino Linotype" w:cs="Palatino Linotype"/>
        </w:rPr>
        <w:t xml:space="preserve">remitió </w:t>
      </w:r>
      <w:r w:rsidRPr="008620AB">
        <w:rPr>
          <w:rFonts w:ascii="Palatino Linotype" w:eastAsia="Arial Unicode MS" w:hAnsi="Palatino Linotype" w:cs="Arial"/>
        </w:rPr>
        <w:t xml:space="preserve">el acta de la quincuagésima tercera sesión extraordinaria del Comité de Transparencia del Ayuntamiento de Tonanitla, en la cual se aprueba la clasificación como confidencial de diversos datos personales encontrados en las constancias que se remiten en el archivo referido en </w:t>
      </w:r>
      <w:r>
        <w:rPr>
          <w:rFonts w:ascii="Palatino Linotype" w:eastAsia="Arial Unicode MS" w:hAnsi="Palatino Linotype" w:cs="Arial"/>
        </w:rPr>
        <w:t xml:space="preserve">el párrafo que antecede, </w:t>
      </w:r>
      <w:r w:rsidRPr="008620AB">
        <w:rPr>
          <w:rFonts w:ascii="Palatino Linotype" w:eastAsia="Arial Unicode MS" w:hAnsi="Palatino Linotype" w:cs="Arial"/>
        </w:rPr>
        <w:t>c</w:t>
      </w:r>
      <w:r>
        <w:rPr>
          <w:rFonts w:ascii="Palatino Linotype" w:eastAsia="Arial Unicode MS" w:hAnsi="Palatino Linotype" w:cs="Arial"/>
        </w:rPr>
        <w:t>onstante de siete fojas útiles.</w:t>
      </w:r>
    </w:p>
    <w:p w:rsidR="004D259C" w:rsidRDefault="004D259C">
      <w:pPr>
        <w:spacing w:before="120" w:after="120" w:line="360" w:lineRule="auto"/>
        <w:jc w:val="both"/>
        <w:rPr>
          <w:rFonts w:ascii="Palatino Linotype" w:eastAsia="Palatino Linotype" w:hAnsi="Palatino Linotype" w:cs="Palatino Linotype"/>
        </w:rPr>
      </w:pPr>
    </w:p>
    <w:p w:rsidR="00B43D6B" w:rsidRDefault="00C235C0">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la ponencia Resolutora una vez analizadas las constancias que obran en el expediente electrónico del SAIMEX, determina que los motivos de inconformidad de la parte </w:t>
      </w:r>
      <w:r>
        <w:rPr>
          <w:rFonts w:ascii="Palatino Linotype" w:eastAsia="Palatino Linotype" w:hAnsi="Palatino Linotype" w:cs="Palatino Linotype"/>
        </w:rPr>
        <w:lastRenderedPageBreak/>
        <w:t>Recurrente son fundados, por lo que revoca la respuesta y ordena la entrega en correcta versión pública, de la siguiente información:</w:t>
      </w:r>
    </w:p>
    <w:p w:rsidR="00B43D6B" w:rsidRDefault="00C235C0">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Del Tesorero del Sistema Municipal para el Desarrollo Integral de la Familia Tonanitla, adscrito al 12 de junio de 2023 lo siguiente:</w:t>
      </w:r>
    </w:p>
    <w:p w:rsidR="00B43D6B" w:rsidRDefault="00B43D6B">
      <w:pPr>
        <w:spacing w:line="240" w:lineRule="auto"/>
        <w:jc w:val="both"/>
        <w:rPr>
          <w:rFonts w:ascii="Palatino Linotype" w:eastAsia="Palatino Linotype" w:hAnsi="Palatino Linotype" w:cs="Palatino Linotype"/>
        </w:rPr>
      </w:pPr>
    </w:p>
    <w:p w:rsidR="00B43D6B" w:rsidRDefault="00C235C0">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Certificación de competencia laboral.</w:t>
      </w:r>
    </w:p>
    <w:p w:rsidR="00B43D6B" w:rsidRDefault="00C235C0">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Título Profesional y/o cédula profesional.</w:t>
      </w:r>
    </w:p>
    <w:p w:rsidR="00B43D6B" w:rsidRDefault="00C235C0">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Currículum vitae.</w:t>
      </w:r>
    </w:p>
    <w:p w:rsidR="00B43D6B" w:rsidRDefault="00B43D6B">
      <w:pPr>
        <w:spacing w:after="0" w:line="360" w:lineRule="auto"/>
        <w:jc w:val="both"/>
        <w:rPr>
          <w:rFonts w:ascii="Palatino Linotype" w:eastAsia="Palatino Linotype" w:hAnsi="Palatino Linotype" w:cs="Palatino Linotype"/>
          <w:b/>
          <w:color w:val="000000"/>
        </w:rPr>
      </w:pPr>
    </w:p>
    <w:p w:rsidR="00B43D6B" w:rsidRDefault="00C235C0">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Debiendo notificar a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xml:space="preserve"> el Acuerdo de Clasificación de la información que emita el Comité de Transparencia con motivo de la versión pública.</w:t>
      </w:r>
    </w:p>
    <w:p w:rsidR="00B43D6B" w:rsidRDefault="00B43D6B">
      <w:pPr>
        <w:spacing w:after="0" w:line="360" w:lineRule="auto"/>
        <w:jc w:val="both"/>
        <w:rPr>
          <w:rFonts w:ascii="Palatino Linotype" w:eastAsia="Palatino Linotype" w:hAnsi="Palatino Linotype" w:cs="Palatino Linotype"/>
          <w:color w:val="000000"/>
        </w:rPr>
      </w:pPr>
    </w:p>
    <w:p w:rsidR="004D259C" w:rsidRDefault="00C235C0" w:rsidP="004D259C">
      <w:pPr>
        <w:numPr>
          <w:ilvl w:val="0"/>
          <w:numId w:val="2"/>
        </w:numPr>
        <w:spacing w:after="0" w:line="360" w:lineRule="auto"/>
        <w:ind w:left="567" w:hanging="283"/>
        <w:jc w:val="both"/>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 xml:space="preserve">Razones del Voto Particular. </w:t>
      </w:r>
    </w:p>
    <w:p w:rsidR="004D259C" w:rsidRPr="004D259C" w:rsidRDefault="004D259C" w:rsidP="004D259C">
      <w:pPr>
        <w:spacing w:after="0" w:line="360" w:lineRule="auto"/>
        <w:ind w:left="567"/>
        <w:jc w:val="both"/>
        <w:rPr>
          <w:rFonts w:ascii="Palatino Linotype" w:eastAsia="Palatino Linotype" w:hAnsi="Palatino Linotype" w:cs="Palatino Linotype"/>
          <w:b/>
        </w:rPr>
      </w:pPr>
    </w:p>
    <w:p w:rsidR="004D259C" w:rsidRPr="004D259C" w:rsidRDefault="004D259C" w:rsidP="004D259C">
      <w:pPr>
        <w:pStyle w:val="Prrafodelista"/>
        <w:numPr>
          <w:ilvl w:val="0"/>
          <w:numId w:val="4"/>
        </w:numPr>
        <w:spacing w:line="360" w:lineRule="auto"/>
        <w:jc w:val="both"/>
        <w:rPr>
          <w:rFonts w:ascii="Palatino Linotype" w:eastAsia="Palatino Linotype" w:hAnsi="Palatino Linotype" w:cs="Palatino Linotype"/>
          <w:b/>
          <w:sz w:val="22"/>
        </w:rPr>
      </w:pPr>
      <w:r w:rsidRPr="004D259C">
        <w:rPr>
          <w:rFonts w:ascii="Palatino Linotype" w:eastAsia="Palatino Linotype" w:hAnsi="Palatino Linotype" w:cs="Palatino Linotype"/>
          <w:b/>
          <w:sz w:val="22"/>
        </w:rPr>
        <w:t xml:space="preserve">De la publicidad de la fotografía de servidores públicos. </w:t>
      </w:r>
    </w:p>
    <w:p w:rsidR="00B43D6B" w:rsidRPr="00423106" w:rsidRDefault="00C235C0" w:rsidP="00423106">
      <w:pPr>
        <w:spacing w:before="240" w:after="0" w:line="360" w:lineRule="auto"/>
        <w:jc w:val="both"/>
        <w:rPr>
          <w:rFonts w:ascii="Palatino Linotype" w:eastAsia="Palatino Linotype" w:hAnsi="Palatino Linotype" w:cs="Palatino Linotype"/>
          <w:i/>
        </w:rPr>
      </w:pPr>
      <w:r w:rsidRPr="00423106">
        <w:rPr>
          <w:rFonts w:ascii="Palatino Linotype" w:eastAsia="Palatino Linotype" w:hAnsi="Palatino Linotype" w:cs="Palatino Linotype"/>
        </w:rPr>
        <w:t xml:space="preserve">Derivado de lo anterior, la emisión del voto se centrará en que, si bien, se comparte el sentido de la resolución, no se coincide con los argumentos señalados en la misma particularmente respecto a </w:t>
      </w:r>
      <w:r w:rsidRPr="00423106">
        <w:rPr>
          <w:rFonts w:ascii="Palatino Linotype" w:eastAsia="Palatino Linotype" w:hAnsi="Palatino Linotype" w:cs="Palatino Linotype"/>
          <w:b/>
        </w:rPr>
        <w:t>las fotografías</w:t>
      </w:r>
      <w:r w:rsidR="00423106">
        <w:rPr>
          <w:rFonts w:ascii="Palatino Linotype" w:eastAsia="Palatino Linotype" w:hAnsi="Palatino Linotype" w:cs="Palatino Linotype"/>
          <w:b/>
        </w:rPr>
        <w:t>.</w:t>
      </w:r>
    </w:p>
    <w:p w:rsidR="004D259C" w:rsidRDefault="00423106">
      <w:pPr>
        <w:spacing w:before="240"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w:t>
      </w:r>
      <w:r w:rsidR="00C235C0">
        <w:rPr>
          <w:rFonts w:ascii="Palatino Linotype" w:eastAsia="Palatino Linotype" w:hAnsi="Palatino Linotype" w:cs="Palatino Linotype"/>
        </w:rPr>
        <w:t xml:space="preserve">, el presente voto se formula en relación a que, si bien se ordena la documentación relacionada con la certificación de competencia laboral, acta de titulación y cédula profesional de </w:t>
      </w:r>
      <w:r>
        <w:rPr>
          <w:rFonts w:ascii="Palatino Linotype" w:eastAsia="Palatino Linotype" w:hAnsi="Palatino Linotype" w:cs="Palatino Linotype"/>
        </w:rPr>
        <w:t>un servidor público</w:t>
      </w:r>
      <w:r w:rsidR="00C235C0">
        <w:rPr>
          <w:rFonts w:ascii="Palatino Linotype" w:eastAsia="Palatino Linotype" w:hAnsi="Palatino Linotype" w:cs="Palatino Linotype"/>
        </w:rPr>
        <w:t xml:space="preserve"> con cargo</w:t>
      </w:r>
      <w:r>
        <w:rPr>
          <w:rFonts w:ascii="Palatino Linotype" w:eastAsia="Palatino Linotype" w:hAnsi="Palatino Linotype" w:cs="Palatino Linotype"/>
        </w:rPr>
        <w:t xml:space="preserve"> relativo a mando medio y superior</w:t>
      </w:r>
      <w:r w:rsidR="00C235C0">
        <w:rPr>
          <w:rFonts w:ascii="Palatino Linotype" w:eastAsia="Palatino Linotype" w:hAnsi="Palatino Linotype" w:cs="Palatino Linotype"/>
        </w:rPr>
        <w:t>, también lo es que, en</w:t>
      </w:r>
      <w:r w:rsidR="004D259C">
        <w:rPr>
          <w:rFonts w:ascii="Palatino Linotype" w:eastAsia="Palatino Linotype" w:hAnsi="Palatino Linotype" w:cs="Palatino Linotype"/>
        </w:rPr>
        <w:t xml:space="preserve"> dentro de</w:t>
      </w:r>
      <w:r w:rsidR="00C235C0">
        <w:rPr>
          <w:rFonts w:ascii="Palatino Linotype" w:eastAsia="Palatino Linotype" w:hAnsi="Palatino Linotype" w:cs="Palatino Linotype"/>
        </w:rPr>
        <w:t xml:space="preserve"> la resolución se </w:t>
      </w:r>
      <w:r w:rsidR="004D259C">
        <w:rPr>
          <w:rFonts w:ascii="Palatino Linotype" w:eastAsia="Palatino Linotype" w:hAnsi="Palatino Linotype" w:cs="Palatino Linotype"/>
        </w:rPr>
        <w:t xml:space="preserve">señaló textualmente lo siguiente: </w:t>
      </w:r>
    </w:p>
    <w:p w:rsidR="004D259C" w:rsidRDefault="004D259C" w:rsidP="004D259C">
      <w:pPr>
        <w:spacing w:after="0" w:line="276" w:lineRule="auto"/>
        <w:jc w:val="both"/>
        <w:rPr>
          <w:rFonts w:ascii="Palatino Linotype" w:eastAsia="Palatino Linotype" w:hAnsi="Palatino Linotype" w:cs="Palatino Linotype"/>
        </w:rPr>
      </w:pPr>
    </w:p>
    <w:p w:rsidR="004D259C" w:rsidRPr="004D259C" w:rsidRDefault="004D259C" w:rsidP="004D259C">
      <w:pPr>
        <w:spacing w:line="276" w:lineRule="auto"/>
        <w:ind w:left="567" w:right="706"/>
        <w:jc w:val="both"/>
        <w:rPr>
          <w:rFonts w:ascii="Palatino Linotype" w:hAnsi="Palatino Linotype"/>
          <w:i/>
        </w:rPr>
      </w:pPr>
      <w:r w:rsidRPr="004D259C">
        <w:rPr>
          <w:rFonts w:ascii="Palatino Linotype" w:hAnsi="Palatino Linotype"/>
          <w:bCs/>
          <w:i/>
        </w:rPr>
        <w:lastRenderedPageBreak/>
        <w:t>“…</w:t>
      </w:r>
      <w:r w:rsidRPr="004D259C">
        <w:rPr>
          <w:rFonts w:ascii="Palatino Linotype" w:hAnsi="Palatino Linotype"/>
          <w:b/>
          <w:bCs/>
          <w:i/>
        </w:rPr>
        <w:t xml:space="preserve">EL SUJETO OBLIGADO </w:t>
      </w:r>
      <w:r w:rsidRPr="004D259C">
        <w:rPr>
          <w:rFonts w:ascii="Palatino Linotype" w:hAnsi="Palatino Linotype"/>
          <w:bCs/>
          <w:i/>
        </w:rPr>
        <w:t xml:space="preserve">dejó visible la fotografía en </w:t>
      </w:r>
      <w:r w:rsidRPr="004D259C">
        <w:rPr>
          <w:rFonts w:ascii="Palatino Linotype" w:eastAsia="Arial Unicode MS" w:hAnsi="Palatino Linotype" w:cs="Arial"/>
          <w:i/>
        </w:rPr>
        <w:t>la certificación de competencia laboral, acta de titulación y cédula profesional</w:t>
      </w:r>
      <w:r w:rsidRPr="004D259C">
        <w:rPr>
          <w:rFonts w:ascii="Palatino Linotype" w:hAnsi="Palatino Linotype"/>
          <w:bCs/>
          <w:i/>
        </w:rPr>
        <w:t xml:space="preserve">, la cual este Órgano Garante comparte su publicación; </w:t>
      </w:r>
      <w:r w:rsidRPr="004D259C">
        <w:rPr>
          <w:rFonts w:ascii="Palatino Linotype" w:hAnsi="Palatino Linotype"/>
          <w:b/>
          <w:bCs/>
          <w:i/>
          <w:u w:val="single"/>
        </w:rPr>
        <w:t xml:space="preserve">puesto que los </w:t>
      </w:r>
      <w:r w:rsidRPr="004D259C">
        <w:rPr>
          <w:rFonts w:ascii="Palatino Linotype" w:hAnsi="Palatino Linotype" w:cs="Arial"/>
          <w:b/>
          <w:i/>
          <w:u w:val="single"/>
        </w:rPr>
        <w:t>documentos que acrediten preparación en algún campo del conocimiento con la fotografía, proporciona información valiosa sobre la experiencia académica de quienes ocupan cargos en la administración pública</w:t>
      </w:r>
      <w:r w:rsidRPr="004D259C">
        <w:rPr>
          <w:rFonts w:ascii="Palatino Linotype" w:hAnsi="Palatino Linotype" w:cs="Arial"/>
          <w:i/>
        </w:rPr>
        <w:t xml:space="preserve">, </w:t>
      </w:r>
      <w:r w:rsidRPr="004D259C">
        <w:rPr>
          <w:rFonts w:ascii="Palatino Linotype" w:hAnsi="Palatino Linotype" w:cs="Arial"/>
          <w:b/>
          <w:i/>
          <w:u w:val="single"/>
        </w:rPr>
        <w:t>ya que permite conocer con toda certeza y de manera indudable si las personas que se desempeñan como servidores públicos tienen el perfil idóneo para desarrollar las actividades y atribuciones que se deriven de su encargo</w:t>
      </w:r>
      <w:r w:rsidRPr="004D259C">
        <w:rPr>
          <w:rFonts w:ascii="Palatino Linotype" w:hAnsi="Palatino Linotype" w:cs="Arial"/>
          <w:i/>
        </w:rPr>
        <w:t>.</w:t>
      </w:r>
    </w:p>
    <w:p w:rsidR="004D259C" w:rsidRPr="004D259C" w:rsidRDefault="004D259C" w:rsidP="004D259C">
      <w:pPr>
        <w:spacing w:line="276" w:lineRule="auto"/>
        <w:ind w:left="567" w:right="706"/>
        <w:contextualSpacing/>
        <w:jc w:val="both"/>
        <w:rPr>
          <w:rFonts w:ascii="Palatino Linotype" w:hAnsi="Palatino Linotype"/>
          <w:i/>
        </w:rPr>
      </w:pPr>
    </w:p>
    <w:p w:rsidR="004D259C" w:rsidRPr="004D259C" w:rsidRDefault="004D259C" w:rsidP="004D259C">
      <w:pPr>
        <w:spacing w:line="276" w:lineRule="auto"/>
        <w:ind w:left="567" w:right="706"/>
        <w:contextualSpacing/>
        <w:jc w:val="both"/>
        <w:rPr>
          <w:rFonts w:ascii="Palatino Linotype" w:hAnsi="Palatino Linotype" w:cs="Arial"/>
          <w:i/>
        </w:rPr>
      </w:pPr>
      <w:r w:rsidRPr="004D259C">
        <w:rPr>
          <w:rFonts w:ascii="Palatino Linotype" w:hAnsi="Palatino Linotype" w:cs="Arial"/>
          <w:i/>
        </w:rPr>
        <w:t>Bajo este orden de ideas</w:t>
      </w:r>
      <w:r w:rsidRPr="004D259C">
        <w:rPr>
          <w:rFonts w:ascii="Palatino Linotype" w:hAnsi="Palatino Linotype" w:cs="Arial"/>
          <w:b/>
          <w:i/>
          <w:u w:val="single"/>
        </w:rPr>
        <w:t>, la entrega con el mayor número de elementos en los documentos que acreditan el nivel académico o de preparación en algún área del conocimiento, aporta elementos de convicción sobre su legalidad y legitimidad, además de que permite verificar que los servidores públicos que ocupan cargos en la administración pública, acreditaron el nivel académico que ostentan y en muchas ocasiones esta información también permite verificar su idoneidad para el cargo</w:t>
      </w:r>
      <w:r w:rsidRPr="004D259C">
        <w:rPr>
          <w:rFonts w:ascii="Palatino Linotype" w:hAnsi="Palatino Linotype" w:cs="Arial"/>
          <w:i/>
        </w:rPr>
        <w:t>.</w:t>
      </w:r>
    </w:p>
    <w:p w:rsidR="004D259C" w:rsidRPr="004D259C" w:rsidRDefault="004D259C" w:rsidP="004D259C">
      <w:pPr>
        <w:spacing w:line="276" w:lineRule="auto"/>
        <w:ind w:left="567" w:right="706"/>
        <w:contextualSpacing/>
        <w:jc w:val="both"/>
        <w:rPr>
          <w:rFonts w:ascii="Palatino Linotype" w:hAnsi="Palatino Linotype" w:cs="Arial"/>
          <w:i/>
        </w:rPr>
      </w:pPr>
    </w:p>
    <w:p w:rsidR="004D259C" w:rsidRPr="004D259C" w:rsidRDefault="004D259C" w:rsidP="004D259C">
      <w:pPr>
        <w:spacing w:line="276" w:lineRule="auto"/>
        <w:ind w:left="567" w:right="706"/>
        <w:contextualSpacing/>
        <w:jc w:val="both"/>
        <w:rPr>
          <w:rFonts w:ascii="Palatino Linotype" w:hAnsi="Palatino Linotype"/>
          <w:i/>
        </w:rPr>
      </w:pPr>
      <w:r w:rsidRPr="004D259C">
        <w:rPr>
          <w:rFonts w:ascii="Palatino Linotype" w:hAnsi="Palatino Linotype"/>
          <w:i/>
        </w:rPr>
        <w:t xml:space="preserve">Además, resulta necesario traer a colación, </w:t>
      </w:r>
      <w:r w:rsidRPr="004D259C">
        <w:rPr>
          <w:rFonts w:ascii="Palatino Linotype" w:hAnsi="Palatino Linotype" w:cs="Tahoma"/>
          <w:bCs/>
          <w:i/>
          <w:iCs/>
        </w:rPr>
        <w:t>el Criterio de Interpretación, de la Segunda Época, con número de registro SO/015/2017, emitido por el Instituto Nacional de Transparencia, Acceso a la Información y Protección de Datos Personales</w:t>
      </w:r>
      <w:r w:rsidRPr="004D259C">
        <w:rPr>
          <w:rFonts w:ascii="Palatino Linotype" w:hAnsi="Palatino Linotype"/>
          <w:i/>
        </w:rPr>
        <w:t>, que precisa, que la fotografía localizada en título o cédula profesional guarda la naturaleza de pública, pues existe un interés público de conocer, de manera clara y específica, a la persona que se ostenta con una calidad profesional, tal como se muestra a continuación:</w:t>
      </w:r>
    </w:p>
    <w:p w:rsidR="004D259C" w:rsidRPr="004D259C" w:rsidRDefault="004D259C" w:rsidP="004D259C">
      <w:pPr>
        <w:spacing w:line="276" w:lineRule="auto"/>
        <w:ind w:left="567" w:right="706"/>
        <w:contextualSpacing/>
        <w:jc w:val="both"/>
        <w:rPr>
          <w:rFonts w:ascii="Palatino Linotype" w:hAnsi="Palatino Linotype"/>
          <w:i/>
        </w:rPr>
      </w:pPr>
    </w:p>
    <w:p w:rsidR="004D259C" w:rsidRPr="004D259C" w:rsidRDefault="004D259C" w:rsidP="004D259C">
      <w:pPr>
        <w:spacing w:line="276" w:lineRule="auto"/>
        <w:ind w:left="567" w:right="706"/>
        <w:contextualSpacing/>
        <w:jc w:val="both"/>
        <w:rPr>
          <w:rFonts w:ascii="Palatino Linotype" w:hAnsi="Palatino Linotype"/>
          <w:i/>
        </w:rPr>
      </w:pPr>
      <w:r w:rsidRPr="004D259C">
        <w:rPr>
          <w:rFonts w:ascii="Palatino Linotype" w:hAnsi="Palatino Linotype"/>
          <w:b/>
          <w:i/>
        </w:rPr>
        <w:t>“Fotografía en título o cédula profesional es de acceso público.</w:t>
      </w:r>
      <w:r w:rsidRPr="004D259C">
        <w:rPr>
          <w:rFonts w:ascii="Palatino Linotype" w:hAnsi="Palatino Linotype"/>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w:t>
      </w:r>
      <w:r w:rsidRPr="004D259C">
        <w:rPr>
          <w:rFonts w:ascii="Palatino Linotype" w:hAnsi="Palatino Linotype"/>
          <w:i/>
        </w:rPr>
        <w:lastRenderedPageBreak/>
        <w:t>manera, la fotografía contenida en el título o cédula profesional es pública y susceptible de divulgación.”</w:t>
      </w:r>
    </w:p>
    <w:p w:rsidR="004D259C" w:rsidRDefault="004D259C">
      <w:pPr>
        <w:spacing w:before="240" w:after="0" w:line="360" w:lineRule="auto"/>
        <w:jc w:val="both"/>
        <w:rPr>
          <w:rFonts w:ascii="Palatino Linotype" w:eastAsia="Palatino Linotype" w:hAnsi="Palatino Linotype" w:cs="Palatino Linotype"/>
        </w:rPr>
      </w:pPr>
    </w:p>
    <w:p w:rsidR="00B43D6B" w:rsidRDefault="004D259C" w:rsidP="004D259C">
      <w:pPr>
        <w:spacing w:before="240" w:after="0" w:line="360" w:lineRule="auto"/>
        <w:jc w:val="both"/>
        <w:rPr>
          <w:rFonts w:ascii="Palatino Linotype" w:eastAsia="Palatino Linotype" w:hAnsi="Palatino Linotype" w:cs="Palatino Linotype"/>
        </w:rPr>
      </w:pPr>
      <w:r>
        <w:rPr>
          <w:rFonts w:ascii="Palatino Linotype" w:hAnsi="Palatino Linotype"/>
          <w:bCs/>
        </w:rPr>
        <w:t xml:space="preserve">Cabe mencionar que, lo anterior, fue señalado de </w:t>
      </w:r>
      <w:r w:rsidR="00C235C0">
        <w:rPr>
          <w:rFonts w:ascii="Palatino Linotype" w:eastAsia="Palatino Linotype" w:hAnsi="Palatino Linotype" w:cs="Palatino Linotype"/>
        </w:rPr>
        <w:t>conformidad con el criterio mayoritario adoptado</w:t>
      </w:r>
      <w:r>
        <w:rPr>
          <w:rFonts w:ascii="Palatino Linotype" w:eastAsia="Palatino Linotype" w:hAnsi="Palatino Linotype" w:cs="Palatino Linotype"/>
        </w:rPr>
        <w:t xml:space="preserve"> por los integrantes del pleno, s</w:t>
      </w:r>
      <w:r w:rsidR="00C235C0">
        <w:rPr>
          <w:rFonts w:ascii="Palatino Linotype" w:eastAsia="Palatino Linotype" w:hAnsi="Palatino Linotype" w:cs="Palatino Linotype"/>
        </w:rPr>
        <w:t>in embargo, para la suscrita en cuanto a  la fotografía  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rsidR="004D259C" w:rsidRPr="004D259C" w:rsidRDefault="004D259C" w:rsidP="004D259C">
      <w:pPr>
        <w:spacing w:before="240" w:after="0" w:line="360" w:lineRule="auto"/>
        <w:jc w:val="both"/>
        <w:rPr>
          <w:rFonts w:ascii="Palatino Linotype" w:eastAsia="Palatino Linotype" w:hAnsi="Palatino Linotype" w:cs="Palatino Linotype"/>
          <w:i/>
        </w:rPr>
      </w:pPr>
    </w:p>
    <w:p w:rsidR="004D259C" w:rsidRDefault="004D259C" w:rsidP="004D259C">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en lo que respecta a los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w:t>
      </w:r>
    </w:p>
    <w:p w:rsidR="004D259C" w:rsidRDefault="004D259C">
      <w:pPr>
        <w:tabs>
          <w:tab w:val="left" w:pos="4962"/>
        </w:tabs>
        <w:spacing w:before="240" w:after="240" w:line="360" w:lineRule="auto"/>
        <w:jc w:val="both"/>
        <w:rPr>
          <w:rFonts w:ascii="Palatino Linotype" w:eastAsia="Palatino Linotype" w:hAnsi="Palatino Linotype" w:cs="Palatino Linotype"/>
        </w:rPr>
      </w:pPr>
    </w:p>
    <w:p w:rsidR="004D259C" w:rsidRDefault="004D259C" w:rsidP="004D259C">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que, dado el interés público que reviste a las funciones de las y los funcionarios que dan atención al público, así como aquellos que cuenten con la calidad de mando medio y/o superior, considero que se debe dejar visible su fotografía pues, hacer pública la imagen de éstos, puede contribuir a la transparencia y la rendición de cuentas, ya que permite a la ciudadanía identificar a los funcionarios que toman decisiones importantes en su nombre.</w:t>
      </w:r>
    </w:p>
    <w:p w:rsidR="004D259C" w:rsidRDefault="004D259C" w:rsidP="004D259C">
      <w:pPr>
        <w:spacing w:after="0" w:line="360" w:lineRule="auto"/>
        <w:jc w:val="both"/>
        <w:rPr>
          <w:rFonts w:ascii="Palatino Linotype" w:eastAsia="Palatino Linotype" w:hAnsi="Palatino Linotype" w:cs="Palatino Linotype"/>
        </w:rPr>
      </w:pPr>
    </w:p>
    <w:p w:rsidR="004D259C" w:rsidRDefault="004D259C" w:rsidP="004D259C">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Sin embargo, para el caso que nos ocupa, respecto a los documentos que contienen la fotografía de un servidor público que no es mando medio ni superior y, que tampoco tiene funciones de atención al público, deberían ser entregados en versión pública testando la fotografía, 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su derecho a la privacidad, pero esto debe evaluarse cuidadosamente en cada caso y no ser la regla general.</w:t>
      </w:r>
    </w:p>
    <w:p w:rsidR="004D259C" w:rsidRDefault="004D259C" w:rsidP="004D259C">
      <w:pPr>
        <w:spacing w:after="0" w:line="360" w:lineRule="auto"/>
        <w:jc w:val="both"/>
        <w:rPr>
          <w:rFonts w:ascii="Palatino Linotype" w:eastAsia="Palatino Linotype" w:hAnsi="Palatino Linotype" w:cs="Palatino Linotype"/>
        </w:rPr>
      </w:pPr>
    </w:p>
    <w:p w:rsidR="004D259C" w:rsidRDefault="004D259C" w:rsidP="004D259C">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las razones antes expuestas no comparto este punto del estudio de la resolución dictada, y, por ende, se emite el presente </w:t>
      </w:r>
      <w:r>
        <w:rPr>
          <w:rFonts w:ascii="Palatino Linotype" w:eastAsia="Palatino Linotype" w:hAnsi="Palatino Linotype" w:cs="Palatino Linotype"/>
          <w:b/>
        </w:rPr>
        <w:t xml:space="preserve">Voto Particular </w:t>
      </w:r>
      <w:r>
        <w:rPr>
          <w:rFonts w:ascii="Palatino Linotype" w:eastAsia="Palatino Linotype" w:hAnsi="Palatino Linotype" w:cs="Palatino Linotype"/>
        </w:rPr>
        <w:t xml:space="preserve">pues considero que </w:t>
      </w:r>
      <w:r>
        <w:rPr>
          <w:rFonts w:ascii="Palatino Linotype" w:eastAsia="Palatino Linotype" w:hAnsi="Palatino Linotype" w:cs="Palatino Linotype"/>
          <w:b/>
        </w:rPr>
        <w:t>no se debe dejar visible la fotografía de las y los servidores públicos que</w:t>
      </w:r>
      <w:r>
        <w:rPr>
          <w:rFonts w:ascii="Palatino Linotype" w:eastAsia="Palatino Linotype" w:hAnsi="Palatino Linotype" w:cs="Palatino Linotype"/>
        </w:rPr>
        <w:t xml:space="preserve"> </w:t>
      </w:r>
      <w:r>
        <w:rPr>
          <w:rFonts w:ascii="Palatino Linotype" w:eastAsia="Palatino Linotype" w:hAnsi="Palatino Linotype" w:cs="Palatino Linotype"/>
          <w:b/>
          <w:u w:val="single"/>
        </w:rPr>
        <w:t>NO cuenten con la calidad de mando medio y/o superior</w:t>
      </w:r>
      <w:r>
        <w:rPr>
          <w:rFonts w:ascii="Palatino Linotype" w:eastAsia="Palatino Linotype" w:hAnsi="Palatino Linotype" w:cs="Palatino Linotype"/>
        </w:rPr>
        <w:t xml:space="preserve">, o </w:t>
      </w:r>
      <w:r>
        <w:rPr>
          <w:rFonts w:ascii="Palatino Linotype" w:eastAsia="Palatino Linotype" w:hAnsi="Palatino Linotype" w:cs="Palatino Linotype"/>
          <w:b/>
          <w:u w:val="single"/>
        </w:rPr>
        <w:t>no brinden atención al público,</w:t>
      </w:r>
      <w:r>
        <w:rPr>
          <w:rFonts w:ascii="Palatino Linotype" w:eastAsia="Palatino Linotype" w:hAnsi="Palatino Linotype" w:cs="Palatino Linotype"/>
          <w:b/>
        </w:rPr>
        <w:t xml:space="preserve"> </w:t>
      </w:r>
      <w:r>
        <w:rPr>
          <w:rFonts w:ascii="Palatino Linotype" w:eastAsia="Palatino Linotype" w:hAnsi="Palatino Linotype" w:cs="Palatino Linotype"/>
        </w:rPr>
        <w:t>por tanto, se estima que se actualiza la causal de clasificación establecida en el artículo 143, fracción I, de la Ley de la Ley de Transparencia y Acceso a la Información Pública del Estado de México y Municipios.</w:t>
      </w:r>
    </w:p>
    <w:p w:rsidR="004D259C" w:rsidRDefault="004D259C" w:rsidP="007C3DAE">
      <w:pPr>
        <w:tabs>
          <w:tab w:val="left" w:pos="4962"/>
        </w:tabs>
        <w:spacing w:after="0" w:line="360" w:lineRule="auto"/>
        <w:ind w:right="-3"/>
        <w:jc w:val="both"/>
        <w:rPr>
          <w:rFonts w:ascii="Palatino Linotype" w:eastAsia="Palatino Linotype" w:hAnsi="Palatino Linotype" w:cs="Palatino Linotype"/>
        </w:rPr>
      </w:pPr>
    </w:p>
    <w:p w:rsidR="00B43D6B" w:rsidRDefault="004D259C" w:rsidP="007C3DAE">
      <w:pPr>
        <w:tabs>
          <w:tab w:val="left" w:pos="4962"/>
        </w:tabs>
        <w:spacing w:after="0" w:line="360" w:lineRule="auto"/>
        <w:ind w:right="-3"/>
        <w:jc w:val="both"/>
        <w:rPr>
          <w:rFonts w:ascii="Palatino Linotype" w:eastAsia="Palatino Linotype" w:hAnsi="Palatino Linotype" w:cs="Palatino Linotype"/>
        </w:rPr>
        <w:sectPr w:rsidR="00B43D6B">
          <w:headerReference w:type="even" r:id="rId8"/>
          <w:headerReference w:type="default" r:id="rId9"/>
          <w:footerReference w:type="default" r:id="rId10"/>
          <w:pgSz w:w="12240" w:h="15840"/>
          <w:pgMar w:top="1871" w:right="1327" w:bottom="2836" w:left="1985" w:header="709" w:footer="586" w:gutter="0"/>
          <w:pgNumType w:start="1"/>
          <w:cols w:space="720"/>
        </w:sectPr>
      </w:pPr>
      <w:r>
        <w:rPr>
          <w:rFonts w:ascii="Palatino Linotype" w:eastAsia="Palatino Linotype" w:hAnsi="Palatino Linotype" w:cs="Palatino Linotype"/>
        </w:rPr>
        <w:t xml:space="preserve">Por las razones antes expuestas, </w:t>
      </w:r>
      <w:r w:rsidR="00C235C0">
        <w:rPr>
          <w:rFonts w:ascii="Palatino Linotype" w:eastAsia="Palatino Linotype" w:hAnsi="Palatino Linotype" w:cs="Palatino Linotype"/>
        </w:rPr>
        <w:t>se em</w:t>
      </w:r>
      <w:r w:rsidR="007C3DAE">
        <w:rPr>
          <w:rFonts w:ascii="Palatino Linotype" w:eastAsia="Palatino Linotype" w:hAnsi="Palatino Linotype" w:cs="Palatino Linotype"/>
        </w:rPr>
        <w:t>ite el presente Voto Particular.</w:t>
      </w:r>
    </w:p>
    <w:p w:rsidR="00B43D6B" w:rsidRDefault="00B43D6B">
      <w:pPr>
        <w:spacing w:before="240" w:after="240" w:line="360" w:lineRule="auto"/>
        <w:ind w:right="423"/>
        <w:jc w:val="both"/>
        <w:rPr>
          <w:rFonts w:ascii="Palatino Linotype" w:eastAsia="Palatino Linotype" w:hAnsi="Palatino Linotype" w:cs="Palatino Linotype"/>
        </w:rPr>
      </w:pPr>
    </w:p>
    <w:sectPr w:rsidR="00B43D6B">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5C0" w:rsidRDefault="00C235C0">
      <w:pPr>
        <w:spacing w:after="0" w:line="240" w:lineRule="auto"/>
      </w:pPr>
      <w:r>
        <w:separator/>
      </w:r>
    </w:p>
  </w:endnote>
  <w:endnote w:type="continuationSeparator" w:id="0">
    <w:p w:rsidR="00C235C0" w:rsidRDefault="00C2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D6B" w:rsidRDefault="00C235C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937D5">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937D5">
      <w:rPr>
        <w:rFonts w:ascii="Arial" w:eastAsia="Arial" w:hAnsi="Arial" w:cs="Arial"/>
        <w:b/>
        <w:noProof/>
        <w:color w:val="000000"/>
        <w:sz w:val="20"/>
        <w:szCs w:val="20"/>
      </w:rPr>
      <w:t>8</w:t>
    </w:r>
    <w:r>
      <w:rPr>
        <w:rFonts w:ascii="Arial" w:eastAsia="Arial" w:hAnsi="Arial" w:cs="Arial"/>
        <w:b/>
        <w:color w:val="000000"/>
        <w:sz w:val="20"/>
        <w:szCs w:val="20"/>
      </w:rPr>
      <w:fldChar w:fldCharType="end"/>
    </w:r>
  </w:p>
  <w:p w:rsidR="00B43D6B" w:rsidRDefault="00B43D6B">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5C0" w:rsidRDefault="00C235C0">
      <w:pPr>
        <w:spacing w:after="0" w:line="240" w:lineRule="auto"/>
      </w:pPr>
      <w:r>
        <w:separator/>
      </w:r>
    </w:p>
  </w:footnote>
  <w:footnote w:type="continuationSeparator" w:id="0">
    <w:p w:rsidR="00C235C0" w:rsidRDefault="00C235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D6B" w:rsidRDefault="00C235C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s">
          <w:drawing>
            <wp:anchor distT="0" distB="0" distL="0" distR="0" simplePos="0" relativeHeight="251661312" behindDoc="1" locked="0" layoutInCell="1" hidden="0" allowOverlap="1">
              <wp:simplePos x="0" y="0"/>
              <wp:positionH relativeFrom="margin">
                <wp:align>center</wp:align>
              </wp:positionH>
              <wp:positionV relativeFrom="margin">
                <wp:align>center</wp:align>
              </wp:positionV>
              <wp:extent cx="10636406" cy="10636406"/>
              <wp:effectExtent l="0" t="0" r="0" b="0"/>
              <wp:wrapNone/>
              <wp:docPr id="2" name="Rectángulo 2"/>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B43D6B" w:rsidRDefault="00C235C0">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w:pict>
            <v:rect id="Rectángulo 2" o:spid="_x0000_s1026" style="position:absolute;margin-left:0;margin-top:0;width:837.5pt;height:837.5pt;rotation:-45;z-index:-251655168;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" filled="f" stroked="f">
              <v:textbox inset="2.53958mm,2.53958mm,2.53958mm,2.53958mm">
                <w:txbxContent>
                  <w:p w:rsidR="00B43D6B" w:rsidRDefault="00C235C0">
                    <w:pPr>
                      <w:spacing w:after="0" w:line="240" w:lineRule="auto"/>
                      <w:jc w:val="center"/>
                      <w:textDirection w:val="btLr"/>
                    </w:pPr>
                    <w:r>
                      <w:rPr>
                        <w:rFonts w:ascii="Arial" w:eastAsia="Arial" w:hAnsi="Arial" w:cs="Arial"/>
                        <w:color w:val="ED7D31"/>
                        <w:sz w:val="144"/>
                      </w:rPr>
                      <w:t>VOTO DISIDENTE</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D6B" w:rsidRDefault="00C235C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60288" behindDoc="1" locked="0" layoutInCell="1" hidden="0" allowOverlap="1">
          <wp:simplePos x="0" y="0"/>
          <wp:positionH relativeFrom="column">
            <wp:posOffset>-695325</wp:posOffset>
          </wp:positionH>
          <wp:positionV relativeFrom="paragraph">
            <wp:posOffset>-433070</wp:posOffset>
          </wp:positionV>
          <wp:extent cx="7510628" cy="9883775"/>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B43D6B" w:rsidRDefault="00B43D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B43D6B" w:rsidRDefault="00B43D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B43D6B" w:rsidRDefault="00C235C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B43D6B" w:rsidRDefault="00C235C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sz w:val="20"/>
        <w:szCs w:val="20"/>
      </w:rPr>
    </w:pPr>
    <w:r>
      <w:rPr>
        <w:rFonts w:ascii="Palatino Linotype" w:eastAsia="Palatino Linotype" w:hAnsi="Palatino Linotype" w:cs="Palatino Linotype"/>
        <w:b/>
        <w:color w:val="000000"/>
        <w:sz w:val="20"/>
        <w:szCs w:val="20"/>
      </w:rPr>
      <w:t xml:space="preserve">   RECURSOS DE REVISIÓN 04107|/INFOEM/IP/RR/202</w:t>
    </w:r>
    <w:r>
      <w:rPr>
        <w:rFonts w:ascii="Palatino Linotype" w:eastAsia="Palatino Linotype" w:hAnsi="Palatino Linotype" w:cs="Palatino Linotype"/>
        <w:b/>
        <w:sz w:val="20"/>
        <w:szCs w:val="20"/>
      </w:rPr>
      <w:t>3</w:t>
    </w:r>
  </w:p>
  <w:p w:rsidR="00B43D6B" w:rsidRDefault="00B43D6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D6B" w:rsidRDefault="00B43D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B43D6B" w:rsidRDefault="00B43D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B43D6B" w:rsidRDefault="00B43D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B43D6B" w:rsidRDefault="00B43D6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56049"/>
    <w:multiLevelType w:val="multilevel"/>
    <w:tmpl w:val="2B70C13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38A66FAC"/>
    <w:multiLevelType w:val="hybridMultilevel"/>
    <w:tmpl w:val="BCBAD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C435F5"/>
    <w:multiLevelType w:val="hybridMultilevel"/>
    <w:tmpl w:val="4E0C7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9F06E1"/>
    <w:multiLevelType w:val="multilevel"/>
    <w:tmpl w:val="484843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D6B"/>
    <w:rsid w:val="0012763C"/>
    <w:rsid w:val="00291A1F"/>
    <w:rsid w:val="004208B3"/>
    <w:rsid w:val="00423106"/>
    <w:rsid w:val="004D259C"/>
    <w:rsid w:val="00785E93"/>
    <w:rsid w:val="007C3DAE"/>
    <w:rsid w:val="008620AB"/>
    <w:rsid w:val="00887E6C"/>
    <w:rsid w:val="00AA3878"/>
    <w:rsid w:val="00B43D6B"/>
    <w:rsid w:val="00B5513E"/>
    <w:rsid w:val="00C235C0"/>
    <w:rsid w:val="00D52AEE"/>
    <w:rsid w:val="00F2310B"/>
    <w:rsid w:val="00F937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8E2A0-854A-464A-B1A2-22B27E78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8620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0AB"/>
  </w:style>
  <w:style w:type="paragraph" w:styleId="Encabezado">
    <w:name w:val="header"/>
    <w:basedOn w:val="Normal"/>
    <w:link w:val="EncabezadoCar"/>
    <w:uiPriority w:val="99"/>
    <w:unhideWhenUsed/>
    <w:rsid w:val="008620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0A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20AB"/>
    <w:pPr>
      <w:spacing w:after="0" w:line="240" w:lineRule="auto"/>
      <w:ind w:left="708"/>
    </w:pPr>
    <w:rPr>
      <w:rFonts w:ascii="Times New Roman" w:eastAsia="Times New Roman" w:hAnsi="Times New Roman" w:cs="Times New Roman"/>
      <w:sz w:val="24"/>
      <w:szCs w:val="24"/>
      <w:lang w:val="es-MX"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620AB"/>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igvLVvN5HBy2DIjnP7A4IJpi9g==">CgMxLjAyDmguNXltYmNyOXlwYnpiMg5oLjRzMnFhcGZqNnFqMzIIaC5namRneHMyCWguMzBqMHpsbDIOaC4zZW1oY3h0dTBrenMyCWguM3pueXNoNzgAciExR1JyVlpRa3hBcHRkS2hCWkdnNDhTZnZCQVZud1Rqcnc=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1832</Words>
  <Characters>10080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INFOEM406</cp:lastModifiedBy>
  <cp:revision>3</cp:revision>
  <cp:lastPrinted>2024-01-22T21:39:00Z</cp:lastPrinted>
  <dcterms:created xsi:type="dcterms:W3CDTF">2024-01-22T19:10:00Z</dcterms:created>
  <dcterms:modified xsi:type="dcterms:W3CDTF">2024-01-22T21:48:00Z</dcterms:modified>
</cp:coreProperties>
</file>