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B7C" w:rsidRDefault="003E630C">
      <w:pPr>
        <w:spacing w:after="0" w:line="360" w:lineRule="auto"/>
        <w:ind w:right="139"/>
        <w:jc w:val="both"/>
        <w:rPr>
          <w:rFonts w:ascii="Palatino Linotype" w:eastAsia="Palatino Linotype" w:hAnsi="Palatino Linotype" w:cs="Palatino Linotype"/>
          <w:b/>
        </w:rPr>
      </w:pPr>
      <w:bookmarkStart w:id="0" w:name="_heading=h.gjdgxs" w:colFirst="0" w:colLast="0"/>
      <w:bookmarkEnd w:id="0"/>
      <w:r>
        <w:rPr>
          <w:rFonts w:ascii="Palatino Linotype" w:eastAsia="Palatino Linotype" w:hAnsi="Palatino Linotype" w:cs="Palatino Linotype"/>
          <w:b/>
        </w:rPr>
        <w:t xml:space="preserve">VOTO PARTICULAR QUE FORMULA LA COMISIONADA GUADALUPE RAMÍREZ PEÑA, EN RELACIÓN CON LA RESOLUCIÓN DICTADA POR EL PLENO DEL INSTITUTO DE TRANSPARENCIA, ACCESO A LA INFORMACIÓN PÚBLICA Y PROTECCIÓN DE DATOS PERSONALES DEL ESTADO DE MÉXICO Y MUNICIPIOS, EN LA </w:t>
      </w:r>
      <w:r>
        <w:rPr>
          <w:rFonts w:ascii="Palatino Linotype" w:eastAsia="Palatino Linotype" w:hAnsi="Palatino Linotype" w:cs="Palatino Linotype"/>
          <w:b/>
        </w:rPr>
        <w:t>TRIGÉSIMA SÉPTIMA SESIÓN ORDINARIA CELEBRADA EL DIECISÉIS DE SEPTIEMBRE DE DOS MIL VEINTICUATRO, EN EL RECURSO DE REVISIÓN 05061/INFOEM/IP/RR/2024.</w:t>
      </w:r>
    </w:p>
    <w:p w:rsidR="000B7B7C" w:rsidRDefault="000B7B7C">
      <w:pPr>
        <w:spacing w:after="0" w:line="360" w:lineRule="auto"/>
        <w:ind w:right="139"/>
        <w:jc w:val="both"/>
        <w:rPr>
          <w:rFonts w:ascii="Palatino Linotype" w:eastAsia="Palatino Linotype" w:hAnsi="Palatino Linotype" w:cs="Palatino Linotype"/>
          <w:b/>
        </w:rPr>
      </w:pPr>
    </w:p>
    <w:p w:rsidR="000B7B7C" w:rsidRDefault="003E630C">
      <w:pPr>
        <w:spacing w:after="0" w:line="360" w:lineRule="auto"/>
        <w:ind w:right="139"/>
        <w:jc w:val="both"/>
        <w:rPr>
          <w:rFonts w:ascii="Palatino Linotype" w:eastAsia="Palatino Linotype" w:hAnsi="Palatino Linotype" w:cs="Palatino Linotype"/>
        </w:rPr>
      </w:pPr>
      <w:r>
        <w:rPr>
          <w:rFonts w:ascii="Palatino Linotype" w:eastAsia="Palatino Linotype" w:hAnsi="Palatino Linotype" w:cs="Palatino Linotype"/>
        </w:rPr>
        <w:t>Con fundamento en lo dispuesto por el artículo 14, fracciones X y XI, del Reglamento del Instituto de Trans</w:t>
      </w:r>
      <w:r>
        <w:rPr>
          <w:rFonts w:ascii="Palatino Linotype" w:eastAsia="Palatino Linotype" w:hAnsi="Palatino Linotype" w:cs="Palatino Linotype"/>
        </w:rPr>
        <w:t xml:space="preserve">parencia, Acceso a la Información Pública y Protección de Datos Personales del Estado de México y Municipios, la que suscribe </w:t>
      </w:r>
      <w:r>
        <w:rPr>
          <w:rFonts w:ascii="Palatino Linotype" w:eastAsia="Palatino Linotype" w:hAnsi="Palatino Linotype" w:cs="Palatino Linotype"/>
          <w:b/>
        </w:rPr>
        <w:t xml:space="preserve">Guadalupe Ramírez Peña, </w:t>
      </w:r>
      <w:r>
        <w:rPr>
          <w:rFonts w:ascii="Palatino Linotype" w:eastAsia="Palatino Linotype" w:hAnsi="Palatino Linotype" w:cs="Palatino Linotype"/>
        </w:rPr>
        <w:t xml:space="preserve">emite </w:t>
      </w:r>
      <w:r>
        <w:rPr>
          <w:rFonts w:ascii="Palatino Linotype" w:eastAsia="Palatino Linotype" w:hAnsi="Palatino Linotype" w:cs="Palatino Linotype"/>
          <w:b/>
        </w:rPr>
        <w:t xml:space="preserve">Voto Particular </w:t>
      </w:r>
      <w:r>
        <w:rPr>
          <w:rFonts w:ascii="Palatino Linotype" w:eastAsia="Palatino Linotype" w:hAnsi="Palatino Linotype" w:cs="Palatino Linotype"/>
        </w:rPr>
        <w:t xml:space="preserve">respecto a la resolución dictada en el recurso de revisión </w:t>
      </w:r>
      <w:r>
        <w:rPr>
          <w:rFonts w:ascii="Palatino Linotype" w:eastAsia="Palatino Linotype" w:hAnsi="Palatino Linotype" w:cs="Palatino Linotype"/>
          <w:b/>
        </w:rPr>
        <w:t>05061/INFOEM/IP/RR/2024</w:t>
      </w:r>
      <w:r>
        <w:rPr>
          <w:rFonts w:ascii="Palatino Linotype" w:eastAsia="Palatino Linotype" w:hAnsi="Palatino Linotype" w:cs="Palatino Linotype"/>
        </w:rPr>
        <w:t xml:space="preserve">, </w:t>
      </w:r>
      <w:r>
        <w:rPr>
          <w:rFonts w:ascii="Palatino Linotype" w:eastAsia="Palatino Linotype" w:hAnsi="Palatino Linotype" w:cs="Palatino Linotype"/>
        </w:rPr>
        <w:t xml:space="preserve">ante el proyecto presentado por el </w:t>
      </w:r>
      <w:r>
        <w:rPr>
          <w:rFonts w:ascii="Palatino Linotype" w:eastAsia="Palatino Linotype" w:hAnsi="Palatino Linotype" w:cs="Palatino Linotype"/>
          <w:b/>
        </w:rPr>
        <w:t>Comisionado Luis Gustavo Parra Noriega</w:t>
      </w:r>
      <w:r>
        <w:rPr>
          <w:rFonts w:ascii="Palatino Linotype" w:eastAsia="Palatino Linotype" w:hAnsi="Palatino Linotype" w:cs="Palatino Linotype"/>
        </w:rPr>
        <w:t xml:space="preserve">, que es del tenor siguiente: </w:t>
      </w:r>
    </w:p>
    <w:p w:rsidR="000B7B7C" w:rsidRDefault="000B7B7C">
      <w:pPr>
        <w:spacing w:after="0" w:line="360" w:lineRule="auto"/>
        <w:ind w:right="139"/>
        <w:jc w:val="both"/>
        <w:rPr>
          <w:rFonts w:ascii="Palatino Linotype" w:eastAsia="Palatino Linotype" w:hAnsi="Palatino Linotype" w:cs="Palatino Linotype"/>
        </w:rPr>
      </w:pPr>
    </w:p>
    <w:p w:rsidR="000B7B7C" w:rsidRDefault="003E630C">
      <w:pPr>
        <w:numPr>
          <w:ilvl w:val="0"/>
          <w:numId w:val="1"/>
        </w:numPr>
        <w:spacing w:after="0" w:line="360" w:lineRule="auto"/>
        <w:ind w:left="567" w:right="139" w:hanging="283"/>
        <w:jc w:val="both"/>
        <w:rPr>
          <w:rFonts w:ascii="Palatino Linotype" w:eastAsia="Palatino Linotype" w:hAnsi="Palatino Linotype" w:cs="Palatino Linotype"/>
        </w:rPr>
      </w:pPr>
      <w:r>
        <w:rPr>
          <w:rFonts w:ascii="Palatino Linotype" w:eastAsia="Palatino Linotype" w:hAnsi="Palatino Linotype" w:cs="Palatino Linotype"/>
          <w:b/>
        </w:rPr>
        <w:t>Antecedentes.</w:t>
      </w:r>
    </w:p>
    <w:p w:rsidR="000B7B7C" w:rsidRDefault="003E630C">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A través de la solicitud de acceso a la información, la persona solicitante requirió del </w:t>
      </w:r>
      <w:r>
        <w:rPr>
          <w:rFonts w:ascii="Palatino Linotype" w:eastAsia="Palatino Linotype" w:hAnsi="Palatino Linotype" w:cs="Palatino Linotype"/>
          <w:b/>
        </w:rPr>
        <w:t>Sujeto Obligado</w:t>
      </w:r>
      <w:r>
        <w:rPr>
          <w:rFonts w:ascii="Palatino Linotype" w:eastAsia="Palatino Linotype" w:hAnsi="Palatino Linotype" w:cs="Palatino Linotype"/>
        </w:rPr>
        <w:t>, le proporcionara lo siguiente:</w:t>
      </w:r>
    </w:p>
    <w:p w:rsidR="000B7B7C" w:rsidRDefault="000B7B7C">
      <w:pPr>
        <w:spacing w:after="0" w:line="360" w:lineRule="auto"/>
        <w:jc w:val="both"/>
        <w:rPr>
          <w:rFonts w:ascii="Palatino Linotype" w:eastAsia="Palatino Linotype" w:hAnsi="Palatino Linotype" w:cs="Palatino Linotype"/>
        </w:rPr>
      </w:pPr>
    </w:p>
    <w:p w:rsidR="000B7B7C" w:rsidRDefault="003E630C">
      <w:pPr>
        <w:numPr>
          <w:ilvl w:val="0"/>
          <w:numId w:val="2"/>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El monto y el expediente correspondiente a laudos en Materia laboral.</w:t>
      </w:r>
    </w:p>
    <w:p w:rsidR="000B7B7C" w:rsidRDefault="000B7B7C">
      <w:pPr>
        <w:pBdr>
          <w:top w:val="nil"/>
          <w:left w:val="nil"/>
          <w:bottom w:val="nil"/>
          <w:right w:val="nil"/>
          <w:between w:val="nil"/>
        </w:pBdr>
        <w:spacing w:after="0" w:line="360" w:lineRule="auto"/>
        <w:ind w:left="720"/>
        <w:jc w:val="both"/>
        <w:rPr>
          <w:rFonts w:ascii="Palatino Linotype" w:eastAsia="Palatino Linotype" w:hAnsi="Palatino Linotype" w:cs="Palatino Linotype"/>
          <w:color w:val="000000"/>
        </w:rPr>
      </w:pPr>
    </w:p>
    <w:p w:rsidR="000B7B7C" w:rsidRDefault="003E630C">
      <w:pPr>
        <w:spacing w:after="0" w:line="360" w:lineRule="auto"/>
        <w:ind w:right="49"/>
        <w:jc w:val="both"/>
        <w:rPr>
          <w:rFonts w:ascii="Palatino Linotype" w:eastAsia="Palatino Linotype" w:hAnsi="Palatino Linotype" w:cs="Palatino Linotype"/>
        </w:rPr>
      </w:pPr>
      <w:r>
        <w:rPr>
          <w:rFonts w:ascii="Palatino Linotype" w:eastAsia="Palatino Linotype" w:hAnsi="Palatino Linotype" w:cs="Palatino Linotype"/>
        </w:rPr>
        <w:t xml:space="preserve">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rPr>
        <w:t xml:space="preserve">medulamente señaló que dichos cuestionamientos no podían colmarse con documentos previamente generados, por lo que al no colmarse con la entrega de documentos, se concluye que no se está en presencia del ejercicio del derecho a la </w:t>
      </w:r>
      <w:r>
        <w:rPr>
          <w:rFonts w:ascii="Palatino Linotype" w:eastAsia="Palatino Linotype" w:hAnsi="Palatino Linotype" w:cs="Palatino Linotype"/>
        </w:rPr>
        <w:lastRenderedPageBreak/>
        <w:t>información y, por lo tan</w:t>
      </w:r>
      <w:r>
        <w:rPr>
          <w:rFonts w:ascii="Palatino Linotype" w:eastAsia="Palatino Linotype" w:hAnsi="Palatino Linotype" w:cs="Palatino Linotype"/>
        </w:rPr>
        <w:t>to, no es atendible mediante una solicitud de acceso a la información</w:t>
      </w:r>
    </w:p>
    <w:p w:rsidR="000B7B7C" w:rsidRDefault="000B7B7C">
      <w:pPr>
        <w:spacing w:after="0" w:line="360" w:lineRule="auto"/>
        <w:ind w:right="49"/>
        <w:jc w:val="both"/>
        <w:rPr>
          <w:rFonts w:ascii="Palatino Linotype" w:eastAsia="Palatino Linotype" w:hAnsi="Palatino Linotype" w:cs="Palatino Linotype"/>
        </w:rPr>
      </w:pPr>
    </w:p>
    <w:p w:rsidR="000B7B7C" w:rsidRDefault="003E630C">
      <w:pPr>
        <w:spacing w:after="0" w:line="360" w:lineRule="auto"/>
        <w:ind w:right="49"/>
        <w:jc w:val="both"/>
        <w:rPr>
          <w:rFonts w:ascii="Palatino Linotype" w:eastAsia="Palatino Linotype" w:hAnsi="Palatino Linotype" w:cs="Palatino Linotype"/>
        </w:rPr>
      </w:pPr>
      <w:r>
        <w:rPr>
          <w:rFonts w:ascii="Palatino Linotype" w:eastAsia="Palatino Linotype" w:hAnsi="Palatino Linotype" w:cs="Palatino Linotype"/>
        </w:rPr>
        <w:t xml:space="preserve">Sin embargo, la parte </w:t>
      </w:r>
      <w:r>
        <w:rPr>
          <w:rFonts w:ascii="Palatino Linotype" w:eastAsia="Palatino Linotype" w:hAnsi="Palatino Linotype" w:cs="Palatino Linotype"/>
          <w:b/>
        </w:rPr>
        <w:t xml:space="preserve">Recurrente </w:t>
      </w:r>
      <w:r>
        <w:rPr>
          <w:rFonts w:ascii="Palatino Linotype" w:eastAsia="Palatino Linotype" w:hAnsi="Palatino Linotype" w:cs="Palatino Linotype"/>
        </w:rPr>
        <w:t>presentó el recurso de revisión, donde alegó que no se hizo entrega de la información solicitada.</w:t>
      </w:r>
    </w:p>
    <w:p w:rsidR="000B7B7C" w:rsidRDefault="000B7B7C">
      <w:pPr>
        <w:tabs>
          <w:tab w:val="left" w:pos="284"/>
        </w:tabs>
        <w:spacing w:after="0" w:line="360" w:lineRule="auto"/>
        <w:jc w:val="both"/>
        <w:rPr>
          <w:rFonts w:ascii="Palatino Linotype" w:eastAsia="Palatino Linotype" w:hAnsi="Palatino Linotype" w:cs="Palatino Linotype"/>
        </w:rPr>
      </w:pPr>
    </w:p>
    <w:p w:rsidR="000B7B7C" w:rsidRDefault="003E630C">
      <w:pPr>
        <w:tabs>
          <w:tab w:val="left" w:pos="284"/>
        </w:tabs>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Es así que mediante informe justificado, el </w:t>
      </w:r>
      <w:r>
        <w:rPr>
          <w:rFonts w:ascii="Palatino Linotype" w:eastAsia="Palatino Linotype" w:hAnsi="Palatino Linotype" w:cs="Palatino Linotype"/>
          <w:b/>
        </w:rPr>
        <w:t>Sujeto Ob</w:t>
      </w:r>
      <w:r>
        <w:rPr>
          <w:rFonts w:ascii="Palatino Linotype" w:eastAsia="Palatino Linotype" w:hAnsi="Palatino Linotype" w:cs="Palatino Linotype"/>
          <w:b/>
        </w:rPr>
        <w:t>ligado</w:t>
      </w:r>
      <w:r>
        <w:rPr>
          <w:rFonts w:ascii="Palatino Linotype" w:eastAsia="Palatino Linotype" w:hAnsi="Palatino Linotype" w:cs="Palatino Linotype"/>
        </w:rPr>
        <w:t xml:space="preserve"> a través de la Dirección Jurídica refirió en lo medular que el monto de los laudos en materia laboral asciende a la cantidad de $29, 883,728.48 (veintinueve millones ochenta y tres mil setecientos veintiocho 48/100 M.N.); asimismo, refirió que los l</w:t>
      </w:r>
      <w:r>
        <w:rPr>
          <w:rFonts w:ascii="Palatino Linotype" w:eastAsia="Palatino Linotype" w:hAnsi="Palatino Linotype" w:cs="Palatino Linotype"/>
        </w:rPr>
        <w:t>audos no son sujetos como tal  a un expediente ya que cada uno de los laudos emitidos por la autoridad responsable atienden a un asunto en concreto, motivo por el cual no existe un expediente correspondiente a los laudos en materia laboral, por lo que esta</w:t>
      </w:r>
      <w:r>
        <w:rPr>
          <w:rFonts w:ascii="Palatino Linotype" w:eastAsia="Palatino Linotype" w:hAnsi="Palatino Linotype" w:cs="Palatino Linotype"/>
        </w:rPr>
        <w:t xml:space="preserve"> unidad administrativa se encuentra imposibilitada de contestar lo peticionado.</w:t>
      </w:r>
    </w:p>
    <w:p w:rsidR="000B7B7C" w:rsidRDefault="000B7B7C">
      <w:pPr>
        <w:pBdr>
          <w:top w:val="nil"/>
          <w:left w:val="nil"/>
          <w:bottom w:val="nil"/>
          <w:right w:val="nil"/>
          <w:between w:val="nil"/>
        </w:pBdr>
        <w:spacing w:after="0" w:line="360" w:lineRule="auto"/>
        <w:jc w:val="both"/>
        <w:rPr>
          <w:rFonts w:ascii="Palatino Linotype" w:eastAsia="Palatino Linotype" w:hAnsi="Palatino Linotype" w:cs="Palatino Linotype"/>
        </w:rPr>
      </w:pPr>
    </w:p>
    <w:p w:rsidR="000B7B7C" w:rsidRDefault="003E630C">
      <w:pPr>
        <w:pBdr>
          <w:top w:val="nil"/>
          <w:left w:val="nil"/>
          <w:bottom w:val="nil"/>
          <w:right w:val="nil"/>
          <w:between w:val="nil"/>
        </w:pBd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Con base en dichas actuaciones, el Instituto consideró que las razones o motivos de inconformidad hechos valer por la parte </w:t>
      </w:r>
      <w:r>
        <w:rPr>
          <w:rFonts w:ascii="Palatino Linotype" w:eastAsia="Palatino Linotype" w:hAnsi="Palatino Linotype" w:cs="Palatino Linotype"/>
          <w:b/>
        </w:rPr>
        <w:t xml:space="preserve">Recurrente </w:t>
      </w:r>
      <w:r>
        <w:rPr>
          <w:rFonts w:ascii="Palatino Linotype" w:eastAsia="Palatino Linotype" w:hAnsi="Palatino Linotype" w:cs="Palatino Linotype"/>
        </w:rPr>
        <w:t xml:space="preserve">resultan fundados, y determinó </w:t>
      </w:r>
      <w:r>
        <w:rPr>
          <w:rFonts w:ascii="Palatino Linotype" w:eastAsia="Palatino Linotype" w:hAnsi="Palatino Linotype" w:cs="Palatino Linotype"/>
          <w:b/>
        </w:rPr>
        <w:t>REVOCAR</w:t>
      </w:r>
      <w:r>
        <w:rPr>
          <w:rFonts w:ascii="Palatino Linotype" w:eastAsia="Palatino Linotype" w:hAnsi="Palatino Linotype" w:cs="Palatino Linotype"/>
        </w:rPr>
        <w:t xml:space="preserve"> l</w:t>
      </w:r>
      <w:r>
        <w:rPr>
          <w:rFonts w:ascii="Palatino Linotype" w:eastAsia="Palatino Linotype" w:hAnsi="Palatino Linotype" w:cs="Palatino Linotype"/>
        </w:rPr>
        <w:t xml:space="preserve">a respuesta del </w:t>
      </w:r>
      <w:r>
        <w:rPr>
          <w:rFonts w:ascii="Palatino Linotype" w:eastAsia="Palatino Linotype" w:hAnsi="Palatino Linotype" w:cs="Palatino Linotype"/>
          <w:b/>
        </w:rPr>
        <w:t>Sujeto Obligado</w:t>
      </w:r>
      <w:r>
        <w:rPr>
          <w:rFonts w:ascii="Palatino Linotype" w:eastAsia="Palatino Linotype" w:hAnsi="Palatino Linotype" w:cs="Palatino Linotype"/>
        </w:rPr>
        <w:t>, para ordenar la entrega de lo siguiente:</w:t>
      </w:r>
    </w:p>
    <w:p w:rsidR="000B7B7C" w:rsidRDefault="000B7B7C">
      <w:pPr>
        <w:pBdr>
          <w:top w:val="nil"/>
          <w:left w:val="nil"/>
          <w:bottom w:val="nil"/>
          <w:right w:val="nil"/>
          <w:between w:val="nil"/>
        </w:pBdr>
        <w:spacing w:after="0" w:line="360" w:lineRule="auto"/>
        <w:jc w:val="both"/>
        <w:rPr>
          <w:rFonts w:ascii="Palatino Linotype" w:eastAsia="Palatino Linotype" w:hAnsi="Palatino Linotype" w:cs="Palatino Linotype"/>
        </w:rPr>
      </w:pPr>
    </w:p>
    <w:p w:rsidR="000B7B7C" w:rsidRDefault="003E630C">
      <w:pPr>
        <w:numPr>
          <w:ilvl w:val="0"/>
          <w:numId w:val="2"/>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Las constancias de los expedientes de los juicios laborales en su contra, concluidos, del primero de julio de dos mil veintitrés al primero de julio de dos mil veinticuatro con las </w:t>
      </w:r>
      <w:r>
        <w:rPr>
          <w:rFonts w:ascii="Palatino Linotype" w:eastAsia="Palatino Linotype" w:hAnsi="Palatino Linotype" w:cs="Palatino Linotype"/>
          <w:color w:val="000000"/>
        </w:rPr>
        <w:t>que contara, que incluya los laudos.</w:t>
      </w:r>
    </w:p>
    <w:p w:rsidR="000B7B7C" w:rsidRDefault="000B7B7C">
      <w:pPr>
        <w:pBdr>
          <w:top w:val="nil"/>
          <w:left w:val="nil"/>
          <w:bottom w:val="nil"/>
          <w:right w:val="nil"/>
          <w:between w:val="nil"/>
        </w:pBdr>
        <w:spacing w:after="0" w:line="360" w:lineRule="auto"/>
        <w:jc w:val="both"/>
        <w:rPr>
          <w:rFonts w:ascii="Palatino Linotype" w:eastAsia="Palatino Linotype" w:hAnsi="Palatino Linotype" w:cs="Palatino Linotype"/>
        </w:rPr>
      </w:pPr>
    </w:p>
    <w:p w:rsidR="000B7B7C" w:rsidRDefault="000B7B7C">
      <w:pPr>
        <w:pBdr>
          <w:top w:val="nil"/>
          <w:left w:val="nil"/>
          <w:bottom w:val="nil"/>
          <w:right w:val="nil"/>
          <w:between w:val="nil"/>
        </w:pBdr>
        <w:spacing w:after="0" w:line="360" w:lineRule="auto"/>
        <w:jc w:val="both"/>
        <w:rPr>
          <w:rFonts w:ascii="Palatino Linotype" w:eastAsia="Palatino Linotype" w:hAnsi="Palatino Linotype" w:cs="Palatino Linotype"/>
        </w:rPr>
      </w:pPr>
    </w:p>
    <w:p w:rsidR="000B7B7C" w:rsidRDefault="003E630C">
      <w:pPr>
        <w:pBdr>
          <w:top w:val="nil"/>
          <w:left w:val="nil"/>
          <w:bottom w:val="nil"/>
          <w:right w:val="nil"/>
          <w:between w:val="nil"/>
        </w:pBdr>
        <w:spacing w:after="0" w:line="360" w:lineRule="auto"/>
        <w:ind w:right="142"/>
        <w:jc w:val="both"/>
        <w:rPr>
          <w:rFonts w:ascii="Palatino Linotype" w:eastAsia="Palatino Linotype" w:hAnsi="Palatino Linotype" w:cs="Palatino Linotype"/>
          <w:b/>
        </w:rPr>
      </w:pPr>
      <w:r>
        <w:rPr>
          <w:rFonts w:ascii="Palatino Linotype" w:eastAsia="Palatino Linotype" w:hAnsi="Palatino Linotype" w:cs="Palatino Linotype"/>
          <w:b/>
        </w:rPr>
        <w:t>II. Razones del Voto Particular.</w:t>
      </w:r>
    </w:p>
    <w:p w:rsidR="000B7B7C" w:rsidRDefault="000B7B7C">
      <w:pPr>
        <w:pBdr>
          <w:top w:val="nil"/>
          <w:left w:val="nil"/>
          <w:bottom w:val="nil"/>
          <w:right w:val="nil"/>
          <w:between w:val="nil"/>
        </w:pBdr>
        <w:spacing w:after="0" w:line="360" w:lineRule="auto"/>
        <w:ind w:right="142"/>
        <w:jc w:val="both"/>
        <w:rPr>
          <w:rFonts w:ascii="Palatino Linotype" w:eastAsia="Palatino Linotype" w:hAnsi="Palatino Linotype" w:cs="Palatino Linotype"/>
        </w:rPr>
      </w:pPr>
    </w:p>
    <w:p w:rsidR="000B7B7C" w:rsidRDefault="003E630C">
      <w:pPr>
        <w:spacing w:after="0" w:line="360" w:lineRule="auto"/>
        <w:ind w:right="142"/>
        <w:jc w:val="both"/>
        <w:rPr>
          <w:rFonts w:ascii="Palatino Linotype" w:eastAsia="Palatino Linotype" w:hAnsi="Palatino Linotype" w:cs="Palatino Linotype"/>
        </w:rPr>
      </w:pPr>
      <w:r>
        <w:rPr>
          <w:rFonts w:ascii="Palatino Linotype" w:eastAsia="Palatino Linotype" w:hAnsi="Palatino Linotype" w:cs="Palatino Linotype"/>
        </w:rPr>
        <w:t>En primer lugar, es preciso señalar que, el presente voto se formula en virtud de que no se comparte que se entregue las constancias de los expedientes de los juicios laborales en su contra concluidos, pues a consideración de la suscrita se debió considera</w:t>
      </w:r>
      <w:r>
        <w:rPr>
          <w:rFonts w:ascii="Palatino Linotype" w:eastAsia="Palatino Linotype" w:hAnsi="Palatino Linotype" w:cs="Palatino Linotype"/>
        </w:rPr>
        <w:t>r clasificar como información reservada, los expedientes relativos a los laudos que no hubieran causado estado o ejecutoria a la fecha de presentación de la solicitud.</w:t>
      </w:r>
    </w:p>
    <w:p w:rsidR="000B7B7C" w:rsidRDefault="000B7B7C">
      <w:pPr>
        <w:spacing w:after="0" w:line="360" w:lineRule="auto"/>
        <w:ind w:right="142"/>
        <w:jc w:val="both"/>
        <w:rPr>
          <w:rFonts w:ascii="Palatino Linotype" w:eastAsia="Palatino Linotype" w:hAnsi="Palatino Linotype" w:cs="Palatino Linotype"/>
        </w:rPr>
      </w:pPr>
    </w:p>
    <w:p w:rsidR="000B7B7C" w:rsidRDefault="003E630C">
      <w:pPr>
        <w:spacing w:after="0" w:line="360" w:lineRule="auto"/>
        <w:ind w:right="140"/>
        <w:jc w:val="both"/>
        <w:rPr>
          <w:rFonts w:ascii="Palatino Linotype" w:eastAsia="Palatino Linotype" w:hAnsi="Palatino Linotype" w:cs="Palatino Linotype"/>
          <w:i/>
        </w:rPr>
      </w:pPr>
      <w:r>
        <w:rPr>
          <w:rFonts w:ascii="Palatino Linotype" w:eastAsia="Palatino Linotype" w:hAnsi="Palatino Linotype" w:cs="Palatino Linotype"/>
        </w:rPr>
        <w:t xml:space="preserve">En este sentido debemos entender que se entiende por un laudo, el cual es definido por </w:t>
      </w:r>
      <w:r>
        <w:rPr>
          <w:rFonts w:ascii="Palatino Linotype" w:eastAsia="Palatino Linotype" w:hAnsi="Palatino Linotype" w:cs="Palatino Linotype"/>
        </w:rPr>
        <w:t xml:space="preserve">el diccionario de la Real Academia Española como: </w:t>
      </w:r>
      <w:r>
        <w:rPr>
          <w:rFonts w:ascii="Palatino Linotype" w:eastAsia="Palatino Linotype" w:hAnsi="Palatino Linotype" w:cs="Palatino Linotype"/>
          <w:i/>
        </w:rPr>
        <w:t xml:space="preserve">“Decisión o fallo dictado por los árbitros o amigables componedores, que pone fin al procedimiento arbitral.” </w:t>
      </w:r>
    </w:p>
    <w:p w:rsidR="000B7B7C" w:rsidRDefault="000B7B7C">
      <w:pPr>
        <w:spacing w:after="0" w:line="360" w:lineRule="auto"/>
        <w:ind w:right="140"/>
        <w:jc w:val="both"/>
        <w:rPr>
          <w:rFonts w:ascii="Palatino Linotype" w:eastAsia="Palatino Linotype" w:hAnsi="Palatino Linotype" w:cs="Palatino Linotype"/>
        </w:rPr>
      </w:pPr>
    </w:p>
    <w:p w:rsidR="000B7B7C" w:rsidRDefault="003E630C">
      <w:pPr>
        <w:spacing w:after="0" w:line="360" w:lineRule="auto"/>
        <w:ind w:right="140"/>
        <w:jc w:val="both"/>
        <w:rPr>
          <w:rFonts w:ascii="Palatino Linotype" w:eastAsia="Palatino Linotype" w:hAnsi="Palatino Linotype" w:cs="Palatino Linotype"/>
        </w:rPr>
      </w:pPr>
      <w:r>
        <w:rPr>
          <w:rFonts w:ascii="Palatino Linotype" w:eastAsia="Palatino Linotype" w:hAnsi="Palatino Linotype" w:cs="Palatino Linotype"/>
        </w:rPr>
        <w:t>Luego entonces podemos decir que un laudo, es una resolución o sentencia definitiva que pone fin a un procedimiento arbitral.</w:t>
      </w:r>
    </w:p>
    <w:p w:rsidR="000B7B7C" w:rsidRDefault="000B7B7C">
      <w:pPr>
        <w:spacing w:after="0" w:line="360" w:lineRule="auto"/>
        <w:ind w:right="140"/>
        <w:jc w:val="both"/>
        <w:rPr>
          <w:rFonts w:ascii="Palatino Linotype" w:eastAsia="Palatino Linotype" w:hAnsi="Palatino Linotype" w:cs="Palatino Linotype"/>
        </w:rPr>
      </w:pP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 xml:space="preserve">Señalado lo anterior, las sentencias definitivas en materia laboral, es decir los laudos, en primera instancia no admiten ningún </w:t>
      </w:r>
      <w:r>
        <w:rPr>
          <w:rFonts w:ascii="Palatino Linotype" w:eastAsia="Palatino Linotype" w:hAnsi="Palatino Linotype" w:cs="Palatino Linotype"/>
        </w:rPr>
        <w:t>recurso por medio del cual se pueda revocar o modificar el fallo, en términos de lo señalado por el artículo 249 de la Ley del Trabajo de los Servidores Públicos del Estado y Municipios, el cual es la literalidad siguiente:</w:t>
      </w: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 xml:space="preserve"> </w:t>
      </w:r>
    </w:p>
    <w:p w:rsidR="000B7B7C" w:rsidRDefault="003E630C">
      <w:pPr>
        <w:spacing w:after="0" w:line="360" w:lineRule="auto"/>
        <w:ind w:left="862" w:right="902"/>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Artículo 249.-</w:t>
      </w:r>
      <w:r>
        <w:rPr>
          <w:rFonts w:ascii="Palatino Linotype" w:eastAsia="Palatino Linotype" w:hAnsi="Palatino Linotype" w:cs="Palatino Linotype"/>
          <w:i/>
        </w:rPr>
        <w:t xml:space="preserve"> Contra el laud</w:t>
      </w:r>
      <w:r>
        <w:rPr>
          <w:rFonts w:ascii="Palatino Linotype" w:eastAsia="Palatino Linotype" w:hAnsi="Palatino Linotype" w:cs="Palatino Linotype"/>
          <w:i/>
        </w:rPr>
        <w:t>o dictado por el Tribunal o la Sala, no procede recurso alguno.”</w:t>
      </w: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 xml:space="preserve">Sin embargo, y toda vez que, el laudo emitido puede ocasionar un agravio a las partes involucradas en el juicio, por lo que las partes tienen a su alcance un medio de impugnación de defensa, </w:t>
      </w:r>
      <w:r>
        <w:rPr>
          <w:rFonts w:ascii="Palatino Linotype" w:eastAsia="Palatino Linotype" w:hAnsi="Palatino Linotype" w:cs="Palatino Linotype"/>
        </w:rPr>
        <w:t>para atacar dicho laudo, siendo el Amparo Directo, en términos de lo dispuesto en los artículos 103 fracción I, 107 fracciones I y VII de la Constitución Política de los Estados Unidos Mexicanos, y 170 fracción I de la Ley de Amparo, que son del tenor lite</w:t>
      </w:r>
      <w:r>
        <w:rPr>
          <w:rFonts w:ascii="Palatino Linotype" w:eastAsia="Palatino Linotype" w:hAnsi="Palatino Linotype" w:cs="Palatino Linotype"/>
        </w:rPr>
        <w:t>ral siguiente:</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276" w:lineRule="auto"/>
        <w:ind w:left="862" w:right="758"/>
        <w:jc w:val="center"/>
        <w:rPr>
          <w:rFonts w:ascii="Palatino Linotype" w:eastAsia="Palatino Linotype" w:hAnsi="Palatino Linotype" w:cs="Palatino Linotype"/>
          <w:b/>
          <w:i/>
        </w:rPr>
      </w:pPr>
      <w:r>
        <w:rPr>
          <w:rFonts w:ascii="Palatino Linotype" w:eastAsia="Palatino Linotype" w:hAnsi="Palatino Linotype" w:cs="Palatino Linotype"/>
          <w:b/>
          <w:i/>
        </w:rPr>
        <w:t>Constitución Política de los Estados Unidos Mexicanos</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Artículo 103</w:t>
      </w:r>
      <w:r>
        <w:rPr>
          <w:rFonts w:ascii="Palatino Linotype" w:eastAsia="Palatino Linotype" w:hAnsi="Palatino Linotype" w:cs="Palatino Linotype"/>
          <w:i/>
        </w:rPr>
        <w:t>. Los Tribunales de la Federación resolverán toda controversia que se suscite:</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I</w:t>
      </w:r>
      <w:r>
        <w:rPr>
          <w:rFonts w:ascii="Palatino Linotype" w:eastAsia="Palatino Linotype" w:hAnsi="Palatino Linotype" w:cs="Palatino Linotype"/>
          <w:i/>
        </w:rPr>
        <w:t>. Por normas generales, actos u omisiones de la autoridad que violen los derechos humanos reconocidos y las garantías otorgadas para su protección por esta Constitución, así como por los tratados internacionales de los que el Estado Mexicano sea parte;</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rPr>
        <w:t>…</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A</w:t>
      </w:r>
      <w:r>
        <w:rPr>
          <w:rFonts w:ascii="Palatino Linotype" w:eastAsia="Palatino Linotype" w:hAnsi="Palatino Linotype" w:cs="Palatino Linotype"/>
          <w:b/>
          <w:i/>
        </w:rPr>
        <w:t>rtículo 107.</w:t>
      </w:r>
      <w:r>
        <w:rPr>
          <w:rFonts w:ascii="Palatino Linotype" w:eastAsia="Palatino Linotype" w:hAnsi="Palatino Linotype" w:cs="Palatino Linotype"/>
          <w:i/>
        </w:rPr>
        <w:t xml:space="preserve"> Las controversias de que habla el artículo 103 de esta Constitución, con excepción de aquellas en materia electoral, se sujetarán a los procedimientos que determine la ley reglamentaria, de acuerdo con las bases siguientes:</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I.</w:t>
      </w:r>
      <w:r>
        <w:rPr>
          <w:rFonts w:ascii="Palatino Linotype" w:eastAsia="Palatino Linotype" w:hAnsi="Palatino Linotype" w:cs="Palatino Linotype"/>
          <w:i/>
        </w:rPr>
        <w:t xml:space="preserve"> El juicio de amp</w:t>
      </w:r>
      <w:r>
        <w:rPr>
          <w:rFonts w:ascii="Palatino Linotype" w:eastAsia="Palatino Linotype" w:hAnsi="Palatino Linotype" w:cs="Palatino Linotype"/>
          <w:i/>
        </w:rPr>
        <w:t>aro se seguirá siempre a instancia de parte agraviada, teniendo tal carácter quien aduce ser titular de un derecho o de un interés legítimo individual o colectivo, siempre que alegue que el acto reclamado viola los derechos reconocidos por esta Constitució</w:t>
      </w:r>
      <w:r>
        <w:rPr>
          <w:rFonts w:ascii="Palatino Linotype" w:eastAsia="Palatino Linotype" w:hAnsi="Palatino Linotype" w:cs="Palatino Linotype"/>
          <w:i/>
        </w:rPr>
        <w:t>n y con ello se afecte su esfera jurídica, ya sea de manera directa o en virtud de su especial situación frente al orden jurídico.</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rPr>
        <w:t>Tratándose de actos o resoluciones provenientes de tribunales judiciales, administrativos o del trabajo, el quejoso deberá ad</w:t>
      </w:r>
      <w:r>
        <w:rPr>
          <w:rFonts w:ascii="Palatino Linotype" w:eastAsia="Palatino Linotype" w:hAnsi="Palatino Linotype" w:cs="Palatino Linotype"/>
          <w:i/>
        </w:rPr>
        <w:t>ucir ser titular de un derecho subjetivo que se afecte de manera personal y directa;</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rPr>
        <w:t>…</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VII.</w:t>
      </w:r>
      <w:r>
        <w:rPr>
          <w:rFonts w:ascii="Palatino Linotype" w:eastAsia="Palatino Linotype" w:hAnsi="Palatino Linotype" w:cs="Palatino Linotype"/>
          <w:i/>
        </w:rPr>
        <w:t xml:space="preserve"> El amparo contra actos u omisiones en juicio, fuera de juicio o después de concluido, o que afecten a personas extrañas al juicio, contra normas generales o contra </w:t>
      </w:r>
      <w:r>
        <w:rPr>
          <w:rFonts w:ascii="Palatino Linotype" w:eastAsia="Palatino Linotype" w:hAnsi="Palatino Linotype" w:cs="Palatino Linotype"/>
          <w:i/>
        </w:rPr>
        <w:t>actos u omisiones de autoridad administrativa, se interpondrá ante el Juez de Distrito bajo cuya jurisdicción se encuentre el lugar en que el acto reclamado se ejecute o trate de ejecutarse, y su tramitación se limitará al informe de la autoridad, a una au</w:t>
      </w:r>
      <w:r>
        <w:rPr>
          <w:rFonts w:ascii="Palatino Linotype" w:eastAsia="Palatino Linotype" w:hAnsi="Palatino Linotype" w:cs="Palatino Linotype"/>
          <w:i/>
        </w:rPr>
        <w:t>diencia para la que se citará en el mismo auto en el que se mande pedir el informe y se recibirán las pruebas que las partes interesadas ofrezcan y oirán los alegatos, pronunciándose en la misma audiencia la sentencia;</w:t>
      </w:r>
    </w:p>
    <w:p w:rsidR="000B7B7C" w:rsidRDefault="003E630C">
      <w:pPr>
        <w:spacing w:after="0" w:line="276" w:lineRule="auto"/>
        <w:ind w:left="862" w:right="758"/>
        <w:jc w:val="center"/>
        <w:rPr>
          <w:rFonts w:ascii="Palatino Linotype" w:eastAsia="Palatino Linotype" w:hAnsi="Palatino Linotype" w:cs="Palatino Linotype"/>
          <w:b/>
          <w:i/>
        </w:rPr>
      </w:pPr>
      <w:r>
        <w:rPr>
          <w:rFonts w:ascii="Palatino Linotype" w:eastAsia="Palatino Linotype" w:hAnsi="Palatino Linotype" w:cs="Palatino Linotype"/>
          <w:b/>
          <w:i/>
        </w:rPr>
        <w:t>Ley de Amparo</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b/>
          <w:i/>
        </w:rPr>
        <w:t>Artículo 170</w:t>
      </w:r>
      <w:r>
        <w:rPr>
          <w:rFonts w:ascii="Palatino Linotype" w:eastAsia="Palatino Linotype" w:hAnsi="Palatino Linotype" w:cs="Palatino Linotype"/>
          <w:i/>
        </w:rPr>
        <w:t>. El juicio</w:t>
      </w:r>
      <w:r>
        <w:rPr>
          <w:rFonts w:ascii="Palatino Linotype" w:eastAsia="Palatino Linotype" w:hAnsi="Palatino Linotype" w:cs="Palatino Linotype"/>
          <w:i/>
        </w:rPr>
        <w:t xml:space="preserve"> de amparo directo procede:</w:t>
      </w:r>
    </w:p>
    <w:p w:rsidR="000B7B7C" w:rsidRDefault="003E630C">
      <w:pPr>
        <w:spacing w:after="0" w:line="276" w:lineRule="auto"/>
        <w:ind w:left="862" w:right="758"/>
        <w:jc w:val="both"/>
        <w:rPr>
          <w:rFonts w:ascii="Palatino Linotype" w:eastAsia="Palatino Linotype" w:hAnsi="Palatino Linotype" w:cs="Palatino Linotype"/>
          <w:i/>
          <w:u w:val="single"/>
        </w:rPr>
      </w:pPr>
      <w:r>
        <w:rPr>
          <w:rFonts w:ascii="Palatino Linotype" w:eastAsia="Palatino Linotype" w:hAnsi="Palatino Linotype" w:cs="Palatino Linotype"/>
          <w:b/>
          <w:i/>
        </w:rPr>
        <w:t>I.</w:t>
      </w:r>
      <w:r>
        <w:rPr>
          <w:rFonts w:ascii="Palatino Linotype" w:eastAsia="Palatino Linotype" w:hAnsi="Palatino Linotype" w:cs="Palatino Linotype"/>
          <w:i/>
        </w:rPr>
        <w:t xml:space="preserve"> Contra sentencias definitivas, </w:t>
      </w:r>
      <w:r>
        <w:rPr>
          <w:rFonts w:ascii="Palatino Linotype" w:eastAsia="Palatino Linotype" w:hAnsi="Palatino Linotype" w:cs="Palatino Linotype"/>
          <w:i/>
          <w:u w:val="single"/>
        </w:rPr>
        <w:t>laudos y resoluciones que pongan fin al juicio, dictadas</w:t>
      </w:r>
      <w:r>
        <w:rPr>
          <w:rFonts w:ascii="Palatino Linotype" w:eastAsia="Palatino Linotype" w:hAnsi="Palatino Linotype" w:cs="Palatino Linotype"/>
          <w:i/>
        </w:rPr>
        <w:t xml:space="preserve"> por tribunales judiciales, administrativos, agrarios </w:t>
      </w:r>
      <w:r>
        <w:rPr>
          <w:rFonts w:ascii="Palatino Linotype" w:eastAsia="Palatino Linotype" w:hAnsi="Palatino Linotype" w:cs="Palatino Linotype"/>
          <w:i/>
          <w:u w:val="single"/>
        </w:rPr>
        <w:t>o del trabajo, ya sea que la violación se cometa en ellos, o que cometida durante el</w:t>
      </w:r>
      <w:r>
        <w:rPr>
          <w:rFonts w:ascii="Palatino Linotype" w:eastAsia="Palatino Linotype" w:hAnsi="Palatino Linotype" w:cs="Palatino Linotype"/>
          <w:i/>
          <w:u w:val="single"/>
        </w:rPr>
        <w:t xml:space="preserve"> procedimiento, afecte las defensas del quejoso trascendiendo al resultado del fallo.</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u w:val="single"/>
        </w:rPr>
        <w:t>Se entenderá por sentencias definitivas o laudos, los que decidan el juicio en lo principal</w:t>
      </w:r>
      <w:r>
        <w:rPr>
          <w:rFonts w:ascii="Palatino Linotype" w:eastAsia="Palatino Linotype" w:hAnsi="Palatino Linotype" w:cs="Palatino Linotype"/>
          <w:i/>
        </w:rPr>
        <w:t>; por resoluciones que pongan fin al juicio, las que sin decidirlo en lo princi</w:t>
      </w:r>
      <w:r>
        <w:rPr>
          <w:rFonts w:ascii="Palatino Linotype" w:eastAsia="Palatino Linotype" w:hAnsi="Palatino Linotype" w:cs="Palatino Linotype"/>
          <w:i/>
        </w:rPr>
        <w:t>pal lo den por concluido. En materia penal, las sentencias condenatorias, absolutorias y de sobreseimiento, podrán ser impugnadas por la víctima u ofendido del delito.</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rPr>
        <w:t xml:space="preserve">Para la procedencia del juicio deberán agotarse previamente los recursos ordinarios que </w:t>
      </w:r>
      <w:r>
        <w:rPr>
          <w:rFonts w:ascii="Palatino Linotype" w:eastAsia="Palatino Linotype" w:hAnsi="Palatino Linotype" w:cs="Palatino Linotype"/>
          <w:i/>
        </w:rPr>
        <w:t>se establezcan en la ley de la materia, por virtud de los cuales aquellas sentencias definitivas o laudos y resoluciones puedan ser modificados o revocados, salvo el caso en que la ley permita la renuncia de los recursos.</w:t>
      </w:r>
    </w:p>
    <w:p w:rsidR="000B7B7C" w:rsidRDefault="003E630C">
      <w:pPr>
        <w:spacing w:after="0" w:line="276" w:lineRule="auto"/>
        <w:ind w:left="862" w:right="758"/>
        <w:jc w:val="both"/>
        <w:rPr>
          <w:rFonts w:ascii="Palatino Linotype" w:eastAsia="Palatino Linotype" w:hAnsi="Palatino Linotype" w:cs="Palatino Linotype"/>
          <w:i/>
        </w:rPr>
      </w:pPr>
      <w:r>
        <w:rPr>
          <w:rFonts w:ascii="Palatino Linotype" w:eastAsia="Palatino Linotype" w:hAnsi="Palatino Linotype" w:cs="Palatino Linotype"/>
          <w:i/>
        </w:rPr>
        <w:t>…</w:t>
      </w:r>
    </w:p>
    <w:p w:rsidR="000B7B7C" w:rsidRDefault="000B7B7C">
      <w:pPr>
        <w:spacing w:after="0" w:line="360" w:lineRule="auto"/>
        <w:jc w:val="both"/>
        <w:rPr>
          <w:rFonts w:ascii="Palatino Linotype" w:eastAsia="Palatino Linotype" w:hAnsi="Palatino Linotype" w:cs="Palatino Linotype"/>
        </w:rPr>
      </w:pPr>
    </w:p>
    <w:p w:rsidR="000B7B7C" w:rsidRDefault="003E630C">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De lo transcrito, se advierte q</w:t>
      </w:r>
      <w:r>
        <w:rPr>
          <w:rFonts w:ascii="Palatino Linotype" w:eastAsia="Palatino Linotype" w:hAnsi="Palatino Linotype" w:cs="Palatino Linotype"/>
        </w:rPr>
        <w:t>ue procede el Amparo Directo por regla general en contra de sentencias definitivas, en este caso, laudos, que pongan fin al juicio, dictadas por tribunales judiciales, administrativos, agrarios o del trabajo, ya sea que la violación se cometa en ellos, o q</w:t>
      </w:r>
      <w:r>
        <w:rPr>
          <w:rFonts w:ascii="Palatino Linotype" w:eastAsia="Palatino Linotype" w:hAnsi="Palatino Linotype" w:cs="Palatino Linotype"/>
        </w:rPr>
        <w:t>ue cometida durante el procedimiento, afecte las defensas del quejoso trascendiendo al resultado del fallo.</w:t>
      </w:r>
    </w:p>
    <w:p w:rsidR="000B7B7C" w:rsidRDefault="000B7B7C">
      <w:pPr>
        <w:spacing w:after="0" w:line="360" w:lineRule="auto"/>
        <w:jc w:val="both"/>
        <w:rPr>
          <w:rFonts w:ascii="Palatino Linotype" w:eastAsia="Palatino Linotype" w:hAnsi="Palatino Linotype" w:cs="Palatino Linotype"/>
        </w:rPr>
      </w:pPr>
    </w:p>
    <w:p w:rsidR="000B7B7C" w:rsidRDefault="003E630C">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 Lo que se robustece con la Contradicción de Tesis 14/2005-PS, a través de la cual especificó lo siguiente:</w:t>
      </w:r>
    </w:p>
    <w:p w:rsidR="000B7B7C" w:rsidRDefault="000B7B7C">
      <w:pPr>
        <w:spacing w:after="0" w:line="360" w:lineRule="auto"/>
        <w:jc w:val="both"/>
        <w:rPr>
          <w:rFonts w:ascii="Palatino Linotype" w:eastAsia="Palatino Linotype" w:hAnsi="Palatino Linotype" w:cs="Palatino Linotype"/>
          <w:b/>
        </w:rPr>
      </w:pP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“La cosa juzgada es la autoridad y la fuerza que la ley le atribuye a la sentencia ejecutoriada. Debe entender por autoridad la necesidad jurídica de que lo fallado en las sentencias se considere irrevocable e inmutable, ya en el juicio en que aquéllas se </w:t>
      </w:r>
      <w:r>
        <w:rPr>
          <w:rFonts w:ascii="Palatino Linotype" w:eastAsia="Palatino Linotype" w:hAnsi="Palatino Linotype" w:cs="Palatino Linotype"/>
          <w:i/>
        </w:rPr>
        <w:t>pronuncien o en otro diverso y la fuerza consiste en el poder coactivo que proviene de la cosa juzgada o sea en que debe cumplirse lo que en ella se ordena.</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Existen dos clases de cosa juzgada, a saber: i) la formal y ii) y la material. La formal consiste </w:t>
      </w:r>
      <w:r>
        <w:rPr>
          <w:rFonts w:ascii="Palatino Linotype" w:eastAsia="Palatino Linotype" w:hAnsi="Palatino Linotype" w:cs="Palatino Linotype"/>
          <w:i/>
        </w:rPr>
        <w:t xml:space="preserve">en la fuerza y en la autoridad que tiene una sentencia en el juicio en que se pronunció, es decir, es aquella de efectos limitados, que produce sus consecuencias entre las partes que intervinieron y con relación al proceso en que ha sido emitida, pero que </w:t>
      </w:r>
      <w:r>
        <w:rPr>
          <w:rFonts w:ascii="Palatino Linotype" w:eastAsia="Palatino Linotype" w:hAnsi="Palatino Linotype" w:cs="Palatino Linotype"/>
          <w:i/>
        </w:rPr>
        <w:t>puede ser sujeta a revisión en otro proceso posterior. Además, la cosa juzgada formal puede ser destruida mediante los recursos extraordinarios que otorga la ley contra las sentencias ejecutorias. Por lo que respecta a la cosa juzgada material, se trata de</w:t>
      </w:r>
      <w:r>
        <w:rPr>
          <w:rFonts w:ascii="Palatino Linotype" w:eastAsia="Palatino Linotype" w:hAnsi="Palatino Linotype" w:cs="Palatino Linotype"/>
          <w:i/>
        </w:rPr>
        <w:t xml:space="preserve"> aquella cuya eficacia trasciende a toda clase de juicios, es decir, la cosa juzgada material se configura sólo cuando una sentencia debe considerarse firme, es decir, cuando no puede ser impugnada por los medios ordinarios o extraordinarios de defensa.</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L</w:t>
      </w:r>
      <w:r>
        <w:rPr>
          <w:rFonts w:ascii="Palatino Linotype" w:eastAsia="Palatino Linotype" w:hAnsi="Palatino Linotype" w:cs="Palatino Linotype"/>
          <w:i/>
        </w:rPr>
        <w:t>as sentencias de segunda instancia tienen la calidad de cosa juzgada, es decir, hay cosa juzgada, cuando la sentencia causa ejecutoria, esto es, la sentencia ya no puede ser impugnada por recurso ordinario alguno; sin embargo, ello no significa que no pued</w:t>
      </w:r>
      <w:r>
        <w:rPr>
          <w:rFonts w:ascii="Palatino Linotype" w:eastAsia="Palatino Linotype" w:hAnsi="Palatino Linotype" w:cs="Palatino Linotype"/>
          <w:i/>
        </w:rPr>
        <w:t>an ser atacadas en vía constitucional.</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Una sentencia ejecutoriada, es aquella susceptible de ejecutarse, contra la cual no cabe ningún recurso ordinario, no obstante que pueda ser revocada o nulificada por algún medio de defensa extraordinario. Por ende, las sentencias causan ejecutoria por mi</w:t>
      </w:r>
      <w:r>
        <w:rPr>
          <w:rFonts w:ascii="Palatino Linotype" w:eastAsia="Palatino Linotype" w:hAnsi="Palatino Linotype" w:cs="Palatino Linotype"/>
          <w:i/>
        </w:rPr>
        <w:t>nisterio de ley y declaración judicial y de manera específica, las sentencias de segunda instancia causan ejecutoria por ministerio de ley.</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Por ende, una sentencia causa ejecutoria cuando ya no puede ser impugnada por recurso ordinario alguno y, en consec</w:t>
      </w:r>
      <w:r>
        <w:rPr>
          <w:rFonts w:ascii="Palatino Linotype" w:eastAsia="Palatino Linotype" w:hAnsi="Palatino Linotype" w:cs="Palatino Linotype"/>
          <w:i/>
        </w:rPr>
        <w:t>uencia, constituye la cosa juzgada, pero tal circunstancia, debe entenderse en el sentido de que esas sentencias no admiten ningún recurso o medio de defensa establecido en la legislación ordinaria; no así en relación a un medio extraordinario de defensa c</w:t>
      </w:r>
      <w:r>
        <w:rPr>
          <w:rFonts w:ascii="Palatino Linotype" w:eastAsia="Palatino Linotype" w:hAnsi="Palatino Linotype" w:cs="Palatino Linotype"/>
          <w:i/>
        </w:rPr>
        <w:t>omo lo es el juicio de amparo, que deriva de lo dispuesto en los artículos 103 y 107 de la Constitución Política de los Estados Unidos Mexicanos.</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Esta última apreciación se basa en que el juicio de amparo que se encuentra previsto en los artículos 103 y 1</w:t>
      </w:r>
      <w:r>
        <w:rPr>
          <w:rFonts w:ascii="Palatino Linotype" w:eastAsia="Palatino Linotype" w:hAnsi="Palatino Linotype" w:cs="Palatino Linotype"/>
          <w:i/>
        </w:rPr>
        <w:t>07 de la Constitución Federal, y que se rige por la Ley de Amparo, que es reglamentaria de esos  preceptos constitucionales, constituye un procedimiento federal extraordinario de control constitucional, por virtud del cual los gobernados se encuentran en a</w:t>
      </w:r>
      <w:r>
        <w:rPr>
          <w:rFonts w:ascii="Palatino Linotype" w:eastAsia="Palatino Linotype" w:hAnsi="Palatino Linotype" w:cs="Palatino Linotype"/>
          <w:i/>
        </w:rPr>
        <w:t>ptitud de solicitar a los Tribunales de la Federación la protección de sus derechos humanos y garantías constitucionales, cuando a través de un acto de autoridad se les vulneran sus derechos fundamentales tutelados en la Carta Magna.</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 xml:space="preserve"> No se pierde de vista</w:t>
      </w:r>
      <w:r>
        <w:rPr>
          <w:rFonts w:ascii="Palatino Linotype" w:eastAsia="Palatino Linotype" w:hAnsi="Palatino Linotype" w:cs="Palatino Linotype"/>
          <w:i/>
        </w:rPr>
        <w:t xml:space="preserve"> que la procedencia del juicio de amparo directo competencia de los Tribunales Colegiados de Circuito y del juicio de amparo indirecto competencia de los Juzgados de Distrito, el acto reclamado puede consistir de acuerdo al tema de la contradicción en una </w:t>
      </w:r>
      <w:r>
        <w:rPr>
          <w:rFonts w:ascii="Palatino Linotype" w:eastAsia="Palatino Linotype" w:hAnsi="Palatino Linotype" w:cs="Palatino Linotype"/>
          <w:i/>
        </w:rPr>
        <w:t>sentencia definitiva o laudos y resoluciones que pongan fin al juicio, o bien, sentencias dictadas en segunda instancia que deriven de diligencias emanadas de actos dictados en juicio, fuera de juicio o después de concluido y respecto de las cuales no proc</w:t>
      </w:r>
      <w:r>
        <w:rPr>
          <w:rFonts w:ascii="Palatino Linotype" w:eastAsia="Palatino Linotype" w:hAnsi="Palatino Linotype" w:cs="Palatino Linotype"/>
          <w:i/>
        </w:rPr>
        <w:t>eda ningún recurso ordinario por el que puedan ser modificados o revocados, conforme a las disposiciones estudiadas por los Tribunales contendientes.</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Además, que el amparo se debe interponer dentro de los 15 días posteriores del conocimiento de acto que s</w:t>
      </w:r>
      <w:r>
        <w:rPr>
          <w:rFonts w:ascii="Palatino Linotype" w:eastAsia="Palatino Linotype" w:hAnsi="Palatino Linotype" w:cs="Palatino Linotype"/>
        </w:rPr>
        <w:t>e reclama en términos de lo señalado por el artículo 17 y 18 de la Ley de Amparo, que señala:</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Artículo 17.</w:t>
      </w:r>
      <w:r>
        <w:rPr>
          <w:rFonts w:ascii="Palatino Linotype" w:eastAsia="Palatino Linotype" w:hAnsi="Palatino Linotype" w:cs="Palatino Linotype"/>
          <w:i/>
        </w:rPr>
        <w:t xml:space="preserve"> </w:t>
      </w:r>
      <w:r>
        <w:rPr>
          <w:rFonts w:ascii="Palatino Linotype" w:eastAsia="Palatino Linotype" w:hAnsi="Palatino Linotype" w:cs="Palatino Linotype"/>
          <w:i/>
          <w:u w:val="single"/>
        </w:rPr>
        <w:t>El plazo para presentar la demanda de amparo es de quince días</w:t>
      </w:r>
      <w:r>
        <w:rPr>
          <w:rFonts w:ascii="Palatino Linotype" w:eastAsia="Palatino Linotype" w:hAnsi="Palatino Linotype" w:cs="Palatino Linotype"/>
          <w:i/>
        </w:rPr>
        <w:t>, salvo:</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b/>
          <w:i/>
        </w:rPr>
        <w:t>I.</w:t>
      </w:r>
      <w:r>
        <w:rPr>
          <w:rFonts w:ascii="Palatino Linotype" w:eastAsia="Palatino Linotype" w:hAnsi="Palatino Linotype" w:cs="Palatino Linotype"/>
          <w:i/>
        </w:rPr>
        <w:t xml:space="preserve"> Cuando se reclame una norma general autoaplicativa, o el procedimiento de</w:t>
      </w:r>
      <w:r>
        <w:rPr>
          <w:rFonts w:ascii="Palatino Linotype" w:eastAsia="Palatino Linotype" w:hAnsi="Palatino Linotype" w:cs="Palatino Linotype"/>
          <w:i/>
        </w:rPr>
        <w:t xml:space="preserve"> extradición, en que será de treinta días;</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b/>
          <w:i/>
        </w:rPr>
        <w:t>II.</w:t>
      </w:r>
      <w:r>
        <w:rPr>
          <w:rFonts w:ascii="Palatino Linotype" w:eastAsia="Palatino Linotype" w:hAnsi="Palatino Linotype" w:cs="Palatino Linotype"/>
          <w:i/>
        </w:rPr>
        <w:t xml:space="preserve"> Cuando se reclame la sentencia definitiva condenatoria en un proceso penal, que imponga pena de prisión, podrá interponerse en un plazo de hasta ocho años;</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b/>
          <w:i/>
        </w:rPr>
        <w:t>III.</w:t>
      </w:r>
      <w:r>
        <w:rPr>
          <w:rFonts w:ascii="Palatino Linotype" w:eastAsia="Palatino Linotype" w:hAnsi="Palatino Linotype" w:cs="Palatino Linotype"/>
          <w:i/>
        </w:rPr>
        <w:t xml:space="preserve"> Cuando el amparo se promueva contra actos que te</w:t>
      </w:r>
      <w:r>
        <w:rPr>
          <w:rFonts w:ascii="Palatino Linotype" w:eastAsia="Palatino Linotype" w:hAnsi="Palatino Linotype" w:cs="Palatino Linotype"/>
          <w:i/>
        </w:rPr>
        <w:t>ngan o puedan tener por efecto privar total o parcialmente, en forma temporal o definitiva, de la propiedad, posesión o disfrute de sus derechos agrarios a los núcleos de población ejidal o comunal, en que será de siete años, contados a partir de que, de m</w:t>
      </w:r>
      <w:r>
        <w:rPr>
          <w:rFonts w:ascii="Palatino Linotype" w:eastAsia="Palatino Linotype" w:hAnsi="Palatino Linotype" w:cs="Palatino Linotype"/>
          <w:i/>
        </w:rPr>
        <w:t>anera indubitable, la autoridad responsable notifique el acto a los grupos agrarios mencionados;</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b/>
          <w:i/>
        </w:rPr>
        <w:t>IV.</w:t>
      </w:r>
      <w:r>
        <w:rPr>
          <w:rFonts w:ascii="Palatino Linotype" w:eastAsia="Palatino Linotype" w:hAnsi="Palatino Linotype" w:cs="Palatino Linotype"/>
          <w:i/>
        </w:rPr>
        <w:t xml:space="preserve"> Cuando el acto reclamado implique peligro de privación de la vida, ataques a la libertad personal fuera de procedimiento, incomunicación, deportación o exp</w:t>
      </w:r>
      <w:r>
        <w:rPr>
          <w:rFonts w:ascii="Palatino Linotype" w:eastAsia="Palatino Linotype" w:hAnsi="Palatino Linotype" w:cs="Palatino Linotype"/>
          <w:i/>
        </w:rPr>
        <w:t>ulsión, proscripción o destierro, desaparición forzada de personas o alguno de los prohibidos por el artículo 22 de la Constitución Política de los Estados Unidos Mexicanos, así como la incorporación forzosa al Ejército, Armada o Fuerza Aérea nacionales, e</w:t>
      </w:r>
      <w:r>
        <w:rPr>
          <w:rFonts w:ascii="Palatino Linotype" w:eastAsia="Palatino Linotype" w:hAnsi="Palatino Linotype" w:cs="Palatino Linotype"/>
          <w:i/>
        </w:rPr>
        <w:t>n que podrá presentarse en cualquier tiempo.</w:t>
      </w:r>
    </w:p>
    <w:p w:rsidR="000B7B7C" w:rsidRDefault="003E630C">
      <w:pPr>
        <w:spacing w:after="0" w:line="276" w:lineRule="auto"/>
        <w:ind w:left="567" w:right="902"/>
        <w:jc w:val="both"/>
        <w:rPr>
          <w:rFonts w:ascii="Palatino Linotype" w:eastAsia="Palatino Linotype" w:hAnsi="Palatino Linotype" w:cs="Palatino Linotype"/>
          <w:i/>
        </w:rPr>
      </w:pPr>
      <w:r>
        <w:rPr>
          <w:rFonts w:ascii="Palatino Linotype" w:eastAsia="Palatino Linotype" w:hAnsi="Palatino Linotype" w:cs="Palatino Linotype"/>
          <w:b/>
          <w:i/>
        </w:rPr>
        <w:t>Artículo 18.</w:t>
      </w:r>
      <w:r>
        <w:rPr>
          <w:rFonts w:ascii="Palatino Linotype" w:eastAsia="Palatino Linotype" w:hAnsi="Palatino Linotype" w:cs="Palatino Linotype"/>
          <w:i/>
        </w:rPr>
        <w:t xml:space="preserve"> Los plazos a que se refiere el artículo anterior se computarán a partir del día siguiente a aquél en que surta efectos, conforme a la ley del acto, la notificación al quejoso del acto o resolución q</w:t>
      </w:r>
      <w:r>
        <w:rPr>
          <w:rFonts w:ascii="Palatino Linotype" w:eastAsia="Palatino Linotype" w:hAnsi="Palatino Linotype" w:cs="Palatino Linotype"/>
          <w:i/>
        </w:rPr>
        <w:t>ue reclame o a aquél en que haya tenido conocimiento o se ostente sabedor del acto reclamado o de su ejecución, salvo el caso de la fracción I del artículo anterior en el que se computará a partir del día de su entrada en vigor.</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En consecuencia, considera</w:t>
      </w:r>
      <w:r>
        <w:rPr>
          <w:rFonts w:ascii="Palatino Linotype" w:eastAsia="Palatino Linotype" w:hAnsi="Palatino Linotype" w:cs="Palatino Linotype"/>
        </w:rPr>
        <w:t xml:space="preserve">mos que se debió ordenar únicamente expedientes de los laudos que han causado estado y </w:t>
      </w:r>
      <w:r>
        <w:rPr>
          <w:rFonts w:ascii="Palatino Linotype" w:eastAsia="Palatino Linotype" w:hAnsi="Palatino Linotype" w:cs="Palatino Linotype"/>
          <w:u w:val="single"/>
        </w:rPr>
        <w:t>no todos</w:t>
      </w:r>
      <w:r>
        <w:rPr>
          <w:rFonts w:ascii="Palatino Linotype" w:eastAsia="Palatino Linotype" w:hAnsi="Palatino Linotype" w:cs="Palatino Linotype"/>
        </w:rPr>
        <w:t xml:space="preserve">, ya que al dar a conocer los expedientes de los laudos que aún no han causado estado, se vulneraría el manejo del procedimiento arbitral, al existir a favor de </w:t>
      </w:r>
      <w:r>
        <w:rPr>
          <w:rFonts w:ascii="Palatino Linotype" w:eastAsia="Palatino Linotype" w:hAnsi="Palatino Linotype" w:cs="Palatino Linotype"/>
        </w:rPr>
        <w:t>las partes el amparo por medio del cual aún se puede modificar o revocar el laudo.</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Actualizándose con ello, la hipótesis señalada por el por el artículo 140, fracción VIII de Ley de Transparencia y Acceso a la Información Pública del Estado de México y Mu</w:t>
      </w:r>
      <w:r>
        <w:rPr>
          <w:rFonts w:ascii="Palatino Linotype" w:eastAsia="Palatino Linotype" w:hAnsi="Palatino Linotype" w:cs="Palatino Linotype"/>
        </w:rPr>
        <w:t>nicipios, que señala:</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276" w:lineRule="auto"/>
        <w:ind w:left="862" w:right="618"/>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Artículo 140.</w:t>
      </w:r>
      <w:r>
        <w:rPr>
          <w:rFonts w:ascii="Palatino Linotype" w:eastAsia="Palatino Linotype" w:hAnsi="Palatino Linotype" w:cs="Palatino Linotype"/>
          <w:i/>
        </w:rPr>
        <w:t xml:space="preserve"> El acceso a la información pública será restringido excepcionalmente, cuando por razones de interés público, ésta sea clasificada como reservada, conforme a los criterios siguientes:</w:t>
      </w:r>
    </w:p>
    <w:p w:rsidR="000B7B7C" w:rsidRDefault="003E630C">
      <w:pPr>
        <w:spacing w:after="0" w:line="276" w:lineRule="auto"/>
        <w:ind w:left="862" w:right="618"/>
        <w:jc w:val="both"/>
        <w:rPr>
          <w:rFonts w:ascii="Palatino Linotype" w:eastAsia="Palatino Linotype" w:hAnsi="Palatino Linotype" w:cs="Palatino Linotype"/>
          <w:i/>
        </w:rPr>
      </w:pPr>
      <w:r>
        <w:rPr>
          <w:rFonts w:ascii="Palatino Linotype" w:eastAsia="Palatino Linotype" w:hAnsi="Palatino Linotype" w:cs="Palatino Linotype"/>
          <w:i/>
        </w:rPr>
        <w:t>…</w:t>
      </w:r>
    </w:p>
    <w:p w:rsidR="000B7B7C" w:rsidRDefault="003E630C">
      <w:pPr>
        <w:spacing w:after="0" w:line="276" w:lineRule="auto"/>
        <w:ind w:left="862" w:right="618"/>
        <w:jc w:val="both"/>
        <w:rPr>
          <w:rFonts w:ascii="Palatino Linotype" w:eastAsia="Palatino Linotype" w:hAnsi="Palatino Linotype" w:cs="Palatino Linotype"/>
          <w:i/>
        </w:rPr>
      </w:pPr>
      <w:r>
        <w:rPr>
          <w:rFonts w:ascii="Palatino Linotype" w:eastAsia="Palatino Linotype" w:hAnsi="Palatino Linotype" w:cs="Palatino Linotype"/>
          <w:b/>
          <w:i/>
        </w:rPr>
        <w:t>VIII.</w:t>
      </w:r>
      <w:r>
        <w:rPr>
          <w:rFonts w:ascii="Palatino Linotype" w:eastAsia="Palatino Linotype" w:hAnsi="Palatino Linotype" w:cs="Palatino Linotype"/>
          <w:i/>
        </w:rPr>
        <w:t xml:space="preserve"> Vulnere la conducción de lo</w:t>
      </w:r>
      <w:r>
        <w:rPr>
          <w:rFonts w:ascii="Palatino Linotype" w:eastAsia="Palatino Linotype" w:hAnsi="Palatino Linotype" w:cs="Palatino Linotype"/>
          <w:i/>
        </w:rPr>
        <w:t>s expedientes judiciales o de los procedimientos administrativos seguidos en forma de juicio, en tanto no hayan quedado firmes”</w:t>
      </w:r>
    </w:p>
    <w:p w:rsidR="000B7B7C" w:rsidRDefault="003E630C">
      <w:pPr>
        <w:spacing w:after="0" w:line="276" w:lineRule="auto"/>
        <w:ind w:left="860" w:right="620"/>
        <w:jc w:val="both"/>
        <w:rPr>
          <w:rFonts w:ascii="Palatino Linotype" w:eastAsia="Palatino Linotype" w:hAnsi="Palatino Linotype" w:cs="Palatino Linotype"/>
          <w:b/>
          <w:i/>
        </w:rPr>
      </w:pPr>
      <w:r>
        <w:rPr>
          <w:rFonts w:ascii="Palatino Linotype" w:eastAsia="Palatino Linotype" w:hAnsi="Palatino Linotype" w:cs="Palatino Linotype"/>
          <w:b/>
          <w:i/>
        </w:rPr>
        <w:t xml:space="preserve"> </w:t>
      </w:r>
    </w:p>
    <w:p w:rsidR="000B7B7C" w:rsidRDefault="003E630C">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Lo que se robustece, del Artículo 113 fracción XI de la Ley General de Transparencia y Acceso a la Información Pública, así como lo establecido en los Lineamientos Generales en Materia de Clasificación y Desclasificación de la Información, así como para la</w:t>
      </w:r>
      <w:r>
        <w:rPr>
          <w:rFonts w:ascii="Palatino Linotype" w:eastAsia="Palatino Linotype" w:hAnsi="Palatino Linotype" w:cs="Palatino Linotype"/>
        </w:rPr>
        <w:t xml:space="preserve"> Elaboración de Versiones Públicas, que a la letra señalan lo siguiente:</w:t>
      </w:r>
    </w:p>
    <w:p w:rsidR="000B7B7C" w:rsidRDefault="000B7B7C">
      <w:pPr>
        <w:spacing w:after="0" w:line="360" w:lineRule="auto"/>
        <w:jc w:val="both"/>
        <w:rPr>
          <w:rFonts w:ascii="Palatino Linotype" w:eastAsia="Palatino Linotype" w:hAnsi="Palatino Linotype" w:cs="Palatino Linotype"/>
        </w:rPr>
      </w:pPr>
    </w:p>
    <w:p w:rsidR="000B7B7C" w:rsidRDefault="003E630C">
      <w:pPr>
        <w:spacing w:after="0" w:line="276" w:lineRule="auto"/>
        <w:ind w:left="862" w:right="862"/>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Artículo 113</w:t>
      </w:r>
      <w:r>
        <w:rPr>
          <w:rFonts w:ascii="Palatino Linotype" w:eastAsia="Palatino Linotype" w:hAnsi="Palatino Linotype" w:cs="Palatino Linotype"/>
          <w:i/>
        </w:rPr>
        <w:t>. Como información reservada podrá clasificarse aquella cuya publicación:</w:t>
      </w:r>
    </w:p>
    <w:p w:rsidR="000B7B7C" w:rsidRDefault="003E630C">
      <w:pPr>
        <w:spacing w:after="0" w:line="276" w:lineRule="auto"/>
        <w:ind w:left="862" w:right="862"/>
        <w:jc w:val="both"/>
        <w:rPr>
          <w:rFonts w:ascii="Palatino Linotype" w:eastAsia="Palatino Linotype" w:hAnsi="Palatino Linotype" w:cs="Palatino Linotype"/>
          <w:i/>
        </w:rPr>
      </w:pPr>
      <w:r>
        <w:rPr>
          <w:rFonts w:ascii="Palatino Linotype" w:eastAsia="Palatino Linotype" w:hAnsi="Palatino Linotype" w:cs="Palatino Linotype"/>
          <w:i/>
        </w:rPr>
        <w:t>…</w:t>
      </w:r>
    </w:p>
    <w:p w:rsidR="000B7B7C" w:rsidRDefault="003E630C">
      <w:pPr>
        <w:spacing w:after="0" w:line="276" w:lineRule="auto"/>
        <w:ind w:left="862" w:right="862"/>
        <w:jc w:val="both"/>
        <w:rPr>
          <w:rFonts w:ascii="Palatino Linotype" w:eastAsia="Palatino Linotype" w:hAnsi="Palatino Linotype" w:cs="Palatino Linotype"/>
          <w:i/>
        </w:rPr>
      </w:pPr>
      <w:r>
        <w:rPr>
          <w:rFonts w:ascii="Palatino Linotype" w:eastAsia="Palatino Linotype" w:hAnsi="Palatino Linotype" w:cs="Palatino Linotype"/>
          <w:b/>
          <w:i/>
        </w:rPr>
        <w:t>XI.</w:t>
      </w:r>
      <w:r>
        <w:rPr>
          <w:rFonts w:ascii="Palatino Linotype" w:eastAsia="Palatino Linotype" w:hAnsi="Palatino Linotype" w:cs="Palatino Linotype"/>
          <w:i/>
        </w:rPr>
        <w:t xml:space="preserve"> Vulnere la conducción de los Expedientes judiciales o de los procedimientos administrativ</w:t>
      </w:r>
      <w:r>
        <w:rPr>
          <w:rFonts w:ascii="Palatino Linotype" w:eastAsia="Palatino Linotype" w:hAnsi="Palatino Linotype" w:cs="Palatino Linotype"/>
          <w:i/>
        </w:rPr>
        <w:t xml:space="preserve">os seguidos en forma de juicio, en tanto no hayan causado estado…” </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360" w:lineRule="auto"/>
        <w:ind w:right="40"/>
        <w:jc w:val="both"/>
        <w:rPr>
          <w:rFonts w:ascii="Palatino Linotype" w:eastAsia="Palatino Linotype" w:hAnsi="Palatino Linotype" w:cs="Palatino Linotype"/>
        </w:rPr>
      </w:pPr>
      <w:r>
        <w:rPr>
          <w:rFonts w:ascii="Palatino Linotype" w:eastAsia="Palatino Linotype" w:hAnsi="Palatino Linotype" w:cs="Palatino Linotype"/>
        </w:rPr>
        <w:t>Y de los Lineamientos Generales en materia de Clasificación y Desclasificación de la Información, así como para la elaboración de versiones públicas, prevé lo siguiente:</w:t>
      </w:r>
    </w:p>
    <w:p w:rsidR="000B7B7C" w:rsidRDefault="000B7B7C">
      <w:pPr>
        <w:spacing w:after="0" w:line="360" w:lineRule="auto"/>
        <w:ind w:right="40"/>
        <w:jc w:val="both"/>
        <w:rPr>
          <w:rFonts w:ascii="Palatino Linotype" w:eastAsia="Palatino Linotype" w:hAnsi="Palatino Linotype" w:cs="Palatino Linotype"/>
        </w:rPr>
      </w:pP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Trigésimo</w:t>
      </w:r>
      <w:r>
        <w:rPr>
          <w:rFonts w:ascii="Palatino Linotype" w:eastAsia="Palatino Linotype" w:hAnsi="Palatino Linotype" w:cs="Palatino Linotype"/>
          <w:i/>
        </w:rPr>
        <w:t>. De c</w:t>
      </w:r>
      <w:r>
        <w:rPr>
          <w:rFonts w:ascii="Palatino Linotype" w:eastAsia="Palatino Linotype" w:hAnsi="Palatino Linotype" w:cs="Palatino Linotype"/>
          <w:i/>
        </w:rPr>
        <w:t>onformidad con el artículo 113, fracción XI de la Ley General, podrá considerarse como información reservada, aquella que vulnere la conducción de los expedientes judiciales o de los procedimientos administrativos seguidos en forma de juicio, siempre y cua</w:t>
      </w:r>
      <w:r>
        <w:rPr>
          <w:rFonts w:ascii="Palatino Linotype" w:eastAsia="Palatino Linotype" w:hAnsi="Palatino Linotype" w:cs="Palatino Linotype"/>
          <w:i/>
        </w:rPr>
        <w:t>ndo se acrediten los siguientes elementos:</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i/>
        </w:rPr>
        <w:t xml:space="preserve"> </w:t>
      </w:r>
      <w:r>
        <w:rPr>
          <w:rFonts w:ascii="Palatino Linotype" w:eastAsia="Palatino Linotype" w:hAnsi="Palatino Linotype" w:cs="Palatino Linotype"/>
          <w:b/>
          <w:i/>
        </w:rPr>
        <w:t>I.</w:t>
      </w:r>
      <w:r>
        <w:rPr>
          <w:rFonts w:ascii="Palatino Linotype" w:eastAsia="Palatino Linotype" w:hAnsi="Palatino Linotype" w:cs="Palatino Linotype"/>
          <w:i/>
        </w:rPr>
        <w:t xml:space="preserve"> La existencia de un juicio o procedimiento administrativo materialmente jurisdiccional, que se encuentre en trámite, y</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b/>
          <w:i/>
        </w:rPr>
        <w:t>II.</w:t>
      </w:r>
      <w:r>
        <w:rPr>
          <w:rFonts w:ascii="Palatino Linotype" w:eastAsia="Palatino Linotype" w:hAnsi="Palatino Linotype" w:cs="Palatino Linotype"/>
          <w:i/>
        </w:rPr>
        <w:t xml:space="preserve"> Que la información solicitada se refiera a actuaciones, diligencias o constancias prop</w:t>
      </w:r>
      <w:r>
        <w:rPr>
          <w:rFonts w:ascii="Palatino Linotype" w:eastAsia="Palatino Linotype" w:hAnsi="Palatino Linotype" w:cs="Palatino Linotype"/>
          <w:i/>
        </w:rPr>
        <w:t>ias del procedimiento, y</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b/>
          <w:i/>
        </w:rPr>
        <w:t>III.</w:t>
      </w:r>
      <w:r>
        <w:rPr>
          <w:rFonts w:ascii="Palatino Linotype" w:eastAsia="Palatino Linotype" w:hAnsi="Palatino Linotype" w:cs="Palatino Linotype"/>
          <w:i/>
        </w:rPr>
        <w:t xml:space="preserve"> Que su difusión afecte o interrumpa la libertad de decisión de las autoridades dentro del juicio o procedimiento administrativo seguido en forma de juicio. </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i/>
        </w:rPr>
        <w:t xml:space="preserve"> Para los efectos del primer párrafo de este numeral, se considera pr</w:t>
      </w:r>
      <w:r>
        <w:rPr>
          <w:rFonts w:ascii="Palatino Linotype" w:eastAsia="Palatino Linotype" w:hAnsi="Palatino Linotype" w:cs="Palatino Linotype"/>
          <w:i/>
        </w:rPr>
        <w:t>ocedimiento seguido en forma de juicio a aquel formalmente administrativo, pero materialmente jurisdiccional; esto es, en el que concurran los siguientes elementos:</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i/>
        </w:rPr>
        <w:t xml:space="preserve"> </w:t>
      </w:r>
      <w:r>
        <w:rPr>
          <w:rFonts w:ascii="Palatino Linotype" w:eastAsia="Palatino Linotype" w:hAnsi="Palatino Linotype" w:cs="Palatino Linotype"/>
          <w:b/>
          <w:i/>
        </w:rPr>
        <w:t>1.</w:t>
      </w:r>
      <w:r>
        <w:rPr>
          <w:rFonts w:ascii="Palatino Linotype" w:eastAsia="Palatino Linotype" w:hAnsi="Palatino Linotype" w:cs="Palatino Linotype"/>
          <w:i/>
        </w:rPr>
        <w:t xml:space="preserve"> Que se trate de un procedimiento en el que la autoridad dirima una controversia entre p</w:t>
      </w:r>
      <w:r>
        <w:rPr>
          <w:rFonts w:ascii="Palatino Linotype" w:eastAsia="Palatino Linotype" w:hAnsi="Palatino Linotype" w:cs="Palatino Linotype"/>
          <w:i/>
        </w:rPr>
        <w:t>artes contendientes, así como los procedimientos en que la autoridad, frente al particular, prepare su resolución definitiva, aunque sólo sea un trámite para cumplir con la garantía de audiencia, y</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b/>
          <w:i/>
        </w:rPr>
        <w:t>2.</w:t>
      </w:r>
      <w:r>
        <w:rPr>
          <w:rFonts w:ascii="Palatino Linotype" w:eastAsia="Palatino Linotype" w:hAnsi="Palatino Linotype" w:cs="Palatino Linotype"/>
          <w:i/>
        </w:rPr>
        <w:t xml:space="preserve"> Que se cumplan las formalidades esenciales del procedim</w:t>
      </w:r>
      <w:r>
        <w:rPr>
          <w:rFonts w:ascii="Palatino Linotype" w:eastAsia="Palatino Linotype" w:hAnsi="Palatino Linotype" w:cs="Palatino Linotype"/>
          <w:i/>
        </w:rPr>
        <w:t>iento.</w:t>
      </w:r>
    </w:p>
    <w:p w:rsidR="000B7B7C" w:rsidRDefault="003E630C">
      <w:pPr>
        <w:spacing w:after="0" w:line="276" w:lineRule="auto"/>
        <w:ind w:left="862" w:right="561"/>
        <w:jc w:val="both"/>
        <w:rPr>
          <w:rFonts w:ascii="Palatino Linotype" w:eastAsia="Palatino Linotype" w:hAnsi="Palatino Linotype" w:cs="Palatino Linotype"/>
          <w:i/>
        </w:rPr>
      </w:pPr>
      <w:r>
        <w:rPr>
          <w:rFonts w:ascii="Palatino Linotype" w:eastAsia="Palatino Linotype" w:hAnsi="Palatino Linotype" w:cs="Palatino Linotype"/>
          <w:i/>
        </w:rPr>
        <w:t xml:space="preserve"> No serán objeto de reserva las resoluciones interlocutorias o definitivas que se dicten dentro de los procedimientos o con las que se concluya el mismo. En estos casos deberá otorgarse acceso a la resolución en versión pública, testando la informac</w:t>
      </w:r>
      <w:r>
        <w:rPr>
          <w:rFonts w:ascii="Palatino Linotype" w:eastAsia="Palatino Linotype" w:hAnsi="Palatino Linotype" w:cs="Palatino Linotype"/>
          <w:i/>
        </w:rPr>
        <w:t>ión clasificada.”</w:t>
      </w:r>
    </w:p>
    <w:p w:rsidR="000B7B7C" w:rsidRDefault="000B7B7C">
      <w:pPr>
        <w:spacing w:after="0" w:line="360" w:lineRule="auto"/>
        <w:ind w:right="142"/>
        <w:jc w:val="both"/>
        <w:rPr>
          <w:rFonts w:ascii="Palatino Linotype" w:eastAsia="Palatino Linotype" w:hAnsi="Palatino Linotype" w:cs="Palatino Linotype"/>
        </w:rPr>
      </w:pPr>
    </w:p>
    <w:p w:rsidR="000B7B7C" w:rsidRDefault="003E630C">
      <w:pPr>
        <w:spacing w:after="0" w:line="360" w:lineRule="auto"/>
        <w:ind w:right="142"/>
        <w:jc w:val="both"/>
        <w:rPr>
          <w:rFonts w:ascii="Palatino Linotype" w:eastAsia="Palatino Linotype" w:hAnsi="Palatino Linotype" w:cs="Palatino Linotype"/>
          <w:highlight w:val="yellow"/>
        </w:rPr>
      </w:pPr>
      <w:r>
        <w:rPr>
          <w:rFonts w:ascii="Palatino Linotype" w:eastAsia="Palatino Linotype" w:hAnsi="Palatino Linotype" w:cs="Palatino Linotype"/>
        </w:rPr>
        <w:t>Es por todo lo vertido en líneas argumentativas anteriores, que la suscrita no comparte que se ordene la totalidad de los expedientes de los laudos emitidos, sino solamente los de aquellos que hayan causado estado o ejecutoria a la fecha de presentación de</w:t>
      </w:r>
      <w:r>
        <w:rPr>
          <w:rFonts w:ascii="Palatino Linotype" w:eastAsia="Palatino Linotype" w:hAnsi="Palatino Linotype" w:cs="Palatino Linotype"/>
        </w:rPr>
        <w:t xml:space="preserve"> la solicitud; y por ende, se formula el presente </w:t>
      </w:r>
      <w:r>
        <w:rPr>
          <w:rFonts w:ascii="Palatino Linotype" w:eastAsia="Palatino Linotype" w:hAnsi="Palatino Linotype" w:cs="Palatino Linotype"/>
          <w:b/>
        </w:rPr>
        <w:t>voto particular.</w:t>
      </w:r>
      <w:r>
        <w:rPr>
          <w:rFonts w:ascii="Palatino Linotype" w:eastAsia="Palatino Linotype" w:hAnsi="Palatino Linotype" w:cs="Palatino Linotype"/>
        </w:rPr>
        <w:t xml:space="preserve"> </w:t>
      </w:r>
    </w:p>
    <w:p w:rsidR="000B7B7C" w:rsidRDefault="000B7B7C">
      <w:pPr>
        <w:spacing w:after="0" w:line="360" w:lineRule="auto"/>
        <w:ind w:right="142"/>
        <w:jc w:val="both"/>
        <w:rPr>
          <w:rFonts w:ascii="Palatino Linotype" w:eastAsia="Palatino Linotype" w:hAnsi="Palatino Linotype" w:cs="Palatino Linotype"/>
          <w:highlight w:val="yellow"/>
        </w:rPr>
      </w:pPr>
    </w:p>
    <w:p w:rsidR="000B7B7C" w:rsidRDefault="000B7B7C">
      <w:pPr>
        <w:spacing w:after="0" w:line="360" w:lineRule="auto"/>
        <w:ind w:right="142"/>
        <w:jc w:val="both"/>
        <w:rPr>
          <w:rFonts w:ascii="Palatino Linotype" w:eastAsia="Palatino Linotype" w:hAnsi="Palatino Linotype" w:cs="Palatino Linotype"/>
          <w:highlight w:val="yellow"/>
        </w:rPr>
      </w:pPr>
    </w:p>
    <w:p w:rsidR="000B7B7C" w:rsidRDefault="000B7B7C">
      <w:pPr>
        <w:spacing w:after="0" w:line="360" w:lineRule="auto"/>
        <w:ind w:right="142"/>
        <w:jc w:val="both"/>
        <w:rPr>
          <w:rFonts w:ascii="Palatino Linotype" w:eastAsia="Palatino Linotype" w:hAnsi="Palatino Linotype" w:cs="Palatino Linotype"/>
          <w:highlight w:val="yellow"/>
        </w:rPr>
      </w:pPr>
    </w:p>
    <w:p w:rsidR="000B7B7C" w:rsidRDefault="000B7B7C">
      <w:pPr>
        <w:spacing w:after="0" w:line="360" w:lineRule="auto"/>
        <w:ind w:right="142"/>
        <w:jc w:val="both"/>
        <w:rPr>
          <w:rFonts w:ascii="Palatino Linotype" w:eastAsia="Palatino Linotype" w:hAnsi="Palatino Linotype" w:cs="Palatino Linotype"/>
          <w:highlight w:val="yellow"/>
        </w:rPr>
      </w:pPr>
    </w:p>
    <w:p w:rsidR="000B7B7C" w:rsidRDefault="000B7B7C">
      <w:pPr>
        <w:spacing w:after="0" w:line="360" w:lineRule="auto"/>
        <w:ind w:right="142"/>
        <w:jc w:val="both"/>
        <w:rPr>
          <w:rFonts w:ascii="Palatino Linotype" w:eastAsia="Palatino Linotype" w:hAnsi="Palatino Linotype" w:cs="Palatino Linotype"/>
          <w:highlight w:val="yellow"/>
        </w:rPr>
      </w:pPr>
    </w:p>
    <w:p w:rsidR="000B7B7C" w:rsidRDefault="000B7B7C">
      <w:pPr>
        <w:spacing w:after="0" w:line="360" w:lineRule="auto"/>
        <w:ind w:right="142"/>
        <w:jc w:val="both"/>
        <w:rPr>
          <w:rFonts w:ascii="Palatino Linotype" w:eastAsia="Palatino Linotype" w:hAnsi="Palatino Linotype" w:cs="Palatino Linotype"/>
          <w:highlight w:val="yellow"/>
        </w:rPr>
      </w:pPr>
    </w:p>
    <w:p w:rsidR="003E630C" w:rsidRDefault="003E630C">
      <w:pPr>
        <w:spacing w:after="0" w:line="360" w:lineRule="auto"/>
        <w:ind w:right="142"/>
        <w:jc w:val="both"/>
        <w:rPr>
          <w:rFonts w:ascii="Palatino Linotype" w:eastAsia="Palatino Linotype" w:hAnsi="Palatino Linotype" w:cs="Palatino Linotype"/>
          <w:highlight w:val="yellow"/>
        </w:rPr>
      </w:pPr>
      <w:bookmarkStart w:id="1" w:name="_GoBack"/>
      <w:bookmarkEnd w:id="1"/>
    </w:p>
    <w:sectPr w:rsidR="003E630C">
      <w:headerReference w:type="default" r:id="rId8"/>
      <w:footerReference w:type="default" r:id="rId9"/>
      <w:pgSz w:w="12240" w:h="15840"/>
      <w:pgMar w:top="2438" w:right="1701" w:bottom="2778" w:left="1701" w:header="1134" w:footer="113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3E630C">
      <w:pPr>
        <w:spacing w:after="0" w:line="240" w:lineRule="auto"/>
      </w:pPr>
      <w:r>
        <w:separator/>
      </w:r>
    </w:p>
  </w:endnote>
  <w:endnote w:type="continuationSeparator" w:id="0">
    <w:p w:rsidR="00000000" w:rsidRDefault="003E6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auto"/>
    <w:pitch w:val="default"/>
  </w:font>
  <w:font w:name="Century Gothic">
    <w:panose1 w:val="020B0502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B7C" w:rsidRDefault="003E630C">
    <w:pPr>
      <w:pBdr>
        <w:top w:val="nil"/>
        <w:left w:val="nil"/>
        <w:bottom w:val="nil"/>
        <w:right w:val="nil"/>
        <w:between w:val="nil"/>
      </w:pBdr>
      <w:tabs>
        <w:tab w:val="center" w:pos="4419"/>
        <w:tab w:val="right" w:pos="8838"/>
      </w:tabs>
      <w:spacing w:after="0" w:line="240" w:lineRule="auto"/>
      <w:jc w:val="right"/>
      <w:rPr>
        <w:rFonts w:ascii="Courier New" w:eastAsia="Courier New" w:hAnsi="Courier New" w:cs="Courier New"/>
        <w:color w:val="000000"/>
        <w:sz w:val="20"/>
        <w:szCs w:val="20"/>
      </w:rPr>
    </w:pPr>
    <w:r>
      <w:rPr>
        <w:rFonts w:ascii="Courier New" w:eastAsia="Courier New" w:hAnsi="Courier New" w:cs="Courier New"/>
        <w:color w:val="000000"/>
        <w:sz w:val="20"/>
        <w:szCs w:val="20"/>
      </w:rPr>
      <w:t xml:space="preserve">Página </w:t>
    </w:r>
    <w:r>
      <w:rPr>
        <w:rFonts w:ascii="Courier New" w:eastAsia="Courier New" w:hAnsi="Courier New" w:cs="Courier New"/>
        <w:b/>
        <w:color w:val="000000"/>
        <w:sz w:val="20"/>
        <w:szCs w:val="20"/>
      </w:rPr>
      <w:fldChar w:fldCharType="begin"/>
    </w:r>
    <w:r>
      <w:rPr>
        <w:rFonts w:ascii="Courier New" w:eastAsia="Courier New" w:hAnsi="Courier New" w:cs="Courier New"/>
        <w:b/>
        <w:color w:val="000000"/>
        <w:sz w:val="20"/>
        <w:szCs w:val="20"/>
      </w:rPr>
      <w:instrText>PAGE</w:instrText>
    </w:r>
    <w:r>
      <w:rPr>
        <w:rFonts w:ascii="Courier New" w:eastAsia="Courier New" w:hAnsi="Courier New" w:cs="Courier New"/>
        <w:b/>
        <w:color w:val="000000"/>
        <w:sz w:val="20"/>
        <w:szCs w:val="20"/>
      </w:rPr>
      <w:fldChar w:fldCharType="separate"/>
    </w:r>
    <w:r>
      <w:rPr>
        <w:rFonts w:ascii="Courier New" w:eastAsia="Courier New" w:hAnsi="Courier New" w:cs="Courier New"/>
        <w:b/>
        <w:noProof/>
        <w:color w:val="000000"/>
        <w:sz w:val="20"/>
        <w:szCs w:val="20"/>
      </w:rPr>
      <w:t>10</w:t>
    </w:r>
    <w:r>
      <w:rPr>
        <w:rFonts w:ascii="Courier New" w:eastAsia="Courier New" w:hAnsi="Courier New" w:cs="Courier New"/>
        <w:b/>
        <w:color w:val="000000"/>
        <w:sz w:val="20"/>
        <w:szCs w:val="20"/>
      </w:rPr>
      <w:fldChar w:fldCharType="end"/>
    </w:r>
    <w:r>
      <w:rPr>
        <w:rFonts w:ascii="Courier New" w:eastAsia="Courier New" w:hAnsi="Courier New" w:cs="Courier New"/>
        <w:color w:val="000000"/>
        <w:sz w:val="20"/>
        <w:szCs w:val="20"/>
      </w:rPr>
      <w:t xml:space="preserve"> de </w:t>
    </w:r>
    <w:r>
      <w:rPr>
        <w:rFonts w:ascii="Courier New" w:eastAsia="Courier New" w:hAnsi="Courier New" w:cs="Courier New"/>
        <w:b/>
        <w:color w:val="000000"/>
        <w:sz w:val="20"/>
        <w:szCs w:val="20"/>
      </w:rPr>
      <w:fldChar w:fldCharType="begin"/>
    </w:r>
    <w:r>
      <w:rPr>
        <w:rFonts w:ascii="Courier New" w:eastAsia="Courier New" w:hAnsi="Courier New" w:cs="Courier New"/>
        <w:b/>
        <w:color w:val="000000"/>
        <w:sz w:val="20"/>
        <w:szCs w:val="20"/>
      </w:rPr>
      <w:instrText>NUMPAGES</w:instrText>
    </w:r>
    <w:r>
      <w:rPr>
        <w:rFonts w:ascii="Courier New" w:eastAsia="Courier New" w:hAnsi="Courier New" w:cs="Courier New"/>
        <w:b/>
        <w:color w:val="000000"/>
        <w:sz w:val="20"/>
        <w:szCs w:val="20"/>
      </w:rPr>
      <w:fldChar w:fldCharType="separate"/>
    </w:r>
    <w:r>
      <w:rPr>
        <w:rFonts w:ascii="Courier New" w:eastAsia="Courier New" w:hAnsi="Courier New" w:cs="Courier New"/>
        <w:b/>
        <w:noProof/>
        <w:color w:val="000000"/>
        <w:sz w:val="20"/>
        <w:szCs w:val="20"/>
      </w:rPr>
      <w:t>11</w:t>
    </w:r>
    <w:r>
      <w:rPr>
        <w:rFonts w:ascii="Courier New" w:eastAsia="Courier New" w:hAnsi="Courier New" w:cs="Courier New"/>
        <w:b/>
        <w:color w:val="000000"/>
        <w:sz w:val="20"/>
        <w:szCs w:val="20"/>
      </w:rPr>
      <w:fldChar w:fldCharType="end"/>
    </w:r>
  </w:p>
  <w:p w:rsidR="000B7B7C" w:rsidRDefault="000B7B7C">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3E630C">
      <w:pPr>
        <w:spacing w:after="0" w:line="240" w:lineRule="auto"/>
      </w:pPr>
      <w:r>
        <w:separator/>
      </w:r>
    </w:p>
  </w:footnote>
  <w:footnote w:type="continuationSeparator" w:id="0">
    <w:p w:rsidR="00000000" w:rsidRDefault="003E63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B7C" w:rsidRDefault="003E630C">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VOTO PARTICULAR</w:t>
    </w:r>
    <w:r>
      <w:rPr>
        <w:noProof/>
      </w:rPr>
      <w:drawing>
        <wp:anchor distT="0" distB="0" distL="0" distR="0" simplePos="0" relativeHeight="251658240" behindDoc="1" locked="0" layoutInCell="1" hidden="0" allowOverlap="1">
          <wp:simplePos x="0" y="0"/>
          <wp:positionH relativeFrom="column">
            <wp:posOffset>-718423</wp:posOffset>
          </wp:positionH>
          <wp:positionV relativeFrom="paragraph">
            <wp:posOffset>-649523</wp:posOffset>
          </wp:positionV>
          <wp:extent cx="7510628" cy="988560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510628" cy="9885600"/>
                  </a:xfrm>
                  <a:prstGeom prst="rect">
                    <a:avLst/>
                  </a:prstGeom>
                  <a:ln/>
                </pic:spPr>
              </pic:pic>
            </a:graphicData>
          </a:graphic>
        </wp:anchor>
      </w:drawing>
    </w:r>
  </w:p>
  <w:p w:rsidR="000B7B7C" w:rsidRDefault="003E630C">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Recurso de Revisión. 05061/INFOEM/IP/RR/2024</w:t>
    </w:r>
  </w:p>
  <w:p w:rsidR="000B7B7C" w:rsidRDefault="003E630C">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Comisionado Ponente. Luis Gustavo Parra Noriega</w:t>
    </w:r>
  </w:p>
  <w:p w:rsidR="000B7B7C" w:rsidRDefault="000B7B7C">
    <w:pPr>
      <w:pBdr>
        <w:top w:val="nil"/>
        <w:left w:val="nil"/>
        <w:bottom w:val="nil"/>
        <w:right w:val="nil"/>
        <w:between w:val="nil"/>
      </w:pBdr>
      <w:tabs>
        <w:tab w:val="center" w:pos="4419"/>
        <w:tab w:val="right" w:pos="8838"/>
      </w:tabs>
      <w:spacing w:after="0" w:line="240" w:lineRule="auto"/>
      <w:rPr>
        <w:rFonts w:ascii="Times New Roman" w:eastAsia="Times New Roman" w:hAnsi="Times New Roman" w:cs="Times New Roman"/>
        <w:color w:val="00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BF7DE6"/>
    <w:multiLevelType w:val="multilevel"/>
    <w:tmpl w:val="444229E6"/>
    <w:lvl w:ilvl="0">
      <w:start w:val="1"/>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C1E0C98"/>
    <w:multiLevelType w:val="multilevel"/>
    <w:tmpl w:val="CE3C82DC"/>
    <w:lvl w:ilvl="0">
      <w:start w:val="1"/>
      <w:numFmt w:val="bullet"/>
      <w:lvlText w:val="-"/>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B7C"/>
    <w:rsid w:val="000B7B7C"/>
    <w:rsid w:val="003E630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388F046-D9CA-4D32-AD4B-232E33BB5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160" w:line="25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Encabezado">
    <w:name w:val="header"/>
    <w:basedOn w:val="Normal"/>
    <w:link w:val="EncabezadoCar"/>
    <w:uiPriority w:val="99"/>
    <w:unhideWhenUsed/>
    <w:rsid w:val="00EF2C2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F2C28"/>
  </w:style>
  <w:style w:type="paragraph" w:styleId="Piedepgina">
    <w:name w:val="footer"/>
    <w:basedOn w:val="Normal"/>
    <w:link w:val="PiedepginaCar"/>
    <w:uiPriority w:val="99"/>
    <w:unhideWhenUsed/>
    <w:rsid w:val="00EF2C2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F2C28"/>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54F93"/>
    <w:pPr>
      <w:spacing w:after="0" w:line="240" w:lineRule="auto"/>
      <w:ind w:left="720"/>
      <w:contextualSpacing/>
    </w:pPr>
    <w:rPr>
      <w:rFonts w:ascii="Century Gothic" w:eastAsia="Times New Roman" w:hAnsi="Century Gothic" w:cs="Times New Roman"/>
      <w:szCs w:val="24"/>
      <w:lang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C54F93"/>
    <w:rPr>
      <w:rFonts w:ascii="Century Gothic" w:eastAsia="Times New Roman" w:hAnsi="Century Gothic" w:cs="Times New Roman"/>
      <w:szCs w:val="24"/>
      <w:lang w:eastAsia="es-ES"/>
    </w:rPr>
  </w:style>
  <w:style w:type="paragraph" w:styleId="NormalWeb">
    <w:name w:val="Normal (Web)"/>
    <w:basedOn w:val="Normal"/>
    <w:uiPriority w:val="99"/>
    <w:semiHidden/>
    <w:unhideWhenUsed/>
    <w:rsid w:val="00080EC3"/>
    <w:pPr>
      <w:spacing w:before="100" w:beforeAutospacing="1" w:after="100" w:afterAutospacing="1" w:line="240" w:lineRule="auto"/>
    </w:pPr>
    <w:rPr>
      <w:rFonts w:ascii="Times New Roman" w:eastAsia="Times New Roman" w:hAnsi="Times New Roman" w:cs="Times New Roman"/>
      <w:sz w:val="24"/>
      <w:szCs w:val="24"/>
    </w:rPr>
  </w:style>
  <w:style w:type="character" w:styleId="nfasisintenso">
    <w:name w:val="Intense Emphasis"/>
    <w:basedOn w:val="Fuentedeprrafopredeter"/>
    <w:uiPriority w:val="21"/>
    <w:qFormat/>
    <w:rsid w:val="00AD40A2"/>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Qlr0cG+YowlOzpIUs0WMgZpRQw==">CgMxLjAyCGguZ2pkZ3hzOAByITFKOFo4aXJLUnl0eFhXSFVXSmNTamEzX2ZQV1dCb2VDWA==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2630</Words>
  <Characters>14467</Characters>
  <Application>Microsoft Office Word</Application>
  <DocSecurity>0</DocSecurity>
  <Lines>120</Lines>
  <Paragraphs>34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17063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Infoem590</cp:lastModifiedBy>
  <cp:revision>2</cp:revision>
  <dcterms:created xsi:type="dcterms:W3CDTF">2024-10-21T19:15:00Z</dcterms:created>
  <dcterms:modified xsi:type="dcterms:W3CDTF">2024-10-21T19:15:00Z</dcterms:modified>
</cp:coreProperties>
</file>