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B7" w:rsidRDefault="000F4EB7">
      <w:pPr>
        <w:widowControl w:val="0"/>
        <w:pBdr>
          <w:top w:val="nil"/>
          <w:left w:val="nil"/>
          <w:bottom w:val="nil"/>
          <w:right w:val="nil"/>
          <w:between w:val="nil"/>
        </w:pBdr>
        <w:spacing w:after="0" w:line="276" w:lineRule="auto"/>
      </w:pPr>
    </w:p>
    <w:p w:rsidR="000F4EB7" w:rsidRDefault="00AF66A7">
      <w:pPr>
        <w:spacing w:after="0" w:line="360" w:lineRule="auto"/>
        <w:jc w:val="both"/>
        <w:rPr>
          <w:rFonts w:ascii="Palatino Linotype" w:eastAsia="Palatino Linotype" w:hAnsi="Palatino Linotype" w:cs="Palatino Linotype"/>
          <w:b/>
          <w:highlight w:val="yellow"/>
        </w:rPr>
      </w:pPr>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PRIMERA SESIÓN ORDINARIA DEL TRES DE ABRIL DE DOS MIL VEINTICUATRO, EN EL RECURSO DE REVISIÓN 04180/INFOEM/IP/RR/2023 Y ACUMULADO. </w:t>
      </w:r>
    </w:p>
    <w:p w:rsidR="000F4EB7" w:rsidRDefault="000F4EB7">
      <w:pPr>
        <w:spacing w:after="0" w:line="360" w:lineRule="auto"/>
        <w:jc w:val="both"/>
        <w:rPr>
          <w:rFonts w:ascii="Palatino Linotype" w:eastAsia="Palatino Linotype" w:hAnsi="Palatino Linotype" w:cs="Palatino Linotype"/>
          <w:b/>
        </w:rPr>
      </w:pPr>
      <w:bookmarkStart w:id="0" w:name="_heading=h.dvekiyymbdyx" w:colFirst="0" w:colLast="0"/>
      <w:bookmarkEnd w:id="0"/>
    </w:p>
    <w:p w:rsidR="000F4EB7" w:rsidRDefault="00AF66A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04180/INFOEM/IP/RR/2023 y acumulado</w:t>
      </w:r>
      <w:r>
        <w:rPr>
          <w:b/>
          <w:sz w:val="23"/>
          <w:szCs w:val="23"/>
        </w:rPr>
        <w:t xml:space="preserve">, </w:t>
      </w:r>
      <w:r>
        <w:rPr>
          <w:rFonts w:ascii="Palatino Linotype" w:eastAsia="Palatino Linotype" w:hAnsi="Palatino Linotype" w:cs="Palatino Linotype"/>
        </w:rPr>
        <w:t>pronunciada por el Pleno de este Instituto ante el proyecto presentado por el Comisionado Presidente José Martínez Vilchis, el cual es al tenor siguiente:</w:t>
      </w:r>
    </w:p>
    <w:p w:rsidR="000F4EB7" w:rsidRDefault="000F4EB7">
      <w:pPr>
        <w:spacing w:after="0" w:line="360" w:lineRule="auto"/>
        <w:jc w:val="both"/>
        <w:rPr>
          <w:rFonts w:ascii="Palatino Linotype" w:eastAsia="Palatino Linotype" w:hAnsi="Palatino Linotype" w:cs="Palatino Linotype"/>
        </w:rPr>
      </w:pPr>
    </w:p>
    <w:p w:rsidR="000F4EB7" w:rsidRDefault="00AF66A7">
      <w:pPr>
        <w:numPr>
          <w:ilvl w:val="0"/>
          <w:numId w:val="4"/>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0F4EB7" w:rsidRDefault="000F4EB7">
      <w:pPr>
        <w:spacing w:after="0" w:line="360" w:lineRule="auto"/>
        <w:ind w:left="567"/>
        <w:jc w:val="both"/>
        <w:rPr>
          <w:rFonts w:ascii="Palatino Linotype" w:eastAsia="Palatino Linotype" w:hAnsi="Palatino Linotype" w:cs="Palatino Linotype"/>
          <w:b/>
        </w:rPr>
      </w:pPr>
    </w:p>
    <w:p w:rsidR="000F4EB7" w:rsidRDefault="00AF66A7">
      <w:pPr>
        <w:tabs>
          <w:tab w:val="left" w:pos="7770"/>
        </w:tabs>
        <w:spacing w:after="12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el asunto que nos ocupa, la parte Recurrente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en versión pública y en formato PDF,</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de los egresos y/o ingresos por concepto de la Feria Nacional Ixtapaluca (FENAIX) 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la siguiente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información: </w:t>
      </w:r>
    </w:p>
    <w:p w:rsidR="000F4EB7" w:rsidRDefault="00AF66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Convenios celebrados, facturas, contratos celebrados, Pólizas de cheques, por el pago de cada uno de los Grupos Musicales y de Artistas que se presentaron y/o </w:t>
      </w:r>
      <w:r>
        <w:rPr>
          <w:rFonts w:ascii="Palatino Linotype" w:eastAsia="Palatino Linotype" w:hAnsi="Palatino Linotype" w:cs="Palatino Linotype"/>
          <w:color w:val="000000"/>
        </w:rPr>
        <w:lastRenderedPageBreak/>
        <w:t xml:space="preserve">participaron en el </w:t>
      </w:r>
      <w:r>
        <w:rPr>
          <w:rFonts w:ascii="Palatino Linotype" w:eastAsia="Palatino Linotype" w:hAnsi="Palatino Linotype" w:cs="Palatino Linotype"/>
          <w:b/>
          <w:color w:val="000000"/>
          <w:u w:val="single"/>
        </w:rPr>
        <w:t>Teatro del Pueblo</w:t>
      </w:r>
      <w:r>
        <w:rPr>
          <w:rFonts w:ascii="Palatino Linotype" w:eastAsia="Palatino Linotype" w:hAnsi="Palatino Linotype" w:cs="Palatino Linotype"/>
          <w:color w:val="000000"/>
        </w:rPr>
        <w:t xml:space="preserve">, en la </w:t>
      </w:r>
      <w:r>
        <w:rPr>
          <w:rFonts w:ascii="Palatino Linotype" w:eastAsia="Palatino Linotype" w:hAnsi="Palatino Linotype" w:cs="Palatino Linotype"/>
          <w:b/>
          <w:color w:val="000000"/>
          <w:u w:val="single"/>
        </w:rPr>
        <w:t>Explanada Municipal</w:t>
      </w:r>
      <w:r>
        <w:rPr>
          <w:rFonts w:ascii="Palatino Linotype" w:eastAsia="Palatino Linotype" w:hAnsi="Palatino Linotype" w:cs="Palatino Linotype"/>
          <w:color w:val="000000"/>
        </w:rPr>
        <w:t xml:space="preserve"> y en el </w:t>
      </w:r>
      <w:r>
        <w:rPr>
          <w:rFonts w:ascii="Palatino Linotype" w:eastAsia="Palatino Linotype" w:hAnsi="Palatino Linotype" w:cs="Palatino Linotype"/>
          <w:b/>
          <w:color w:val="000000"/>
          <w:u w:val="single"/>
        </w:rPr>
        <w:t>Jardín Municipal</w:t>
      </w:r>
      <w:r>
        <w:rPr>
          <w:rFonts w:ascii="Palatino Linotype" w:eastAsia="Palatino Linotype" w:hAnsi="Palatino Linotype" w:cs="Palatino Linotype"/>
          <w:color w:val="000000"/>
        </w:rPr>
        <w:t>, desglosado por día.</w:t>
      </w:r>
    </w:p>
    <w:p w:rsidR="000F4EB7" w:rsidRDefault="00AF66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Convenios celebrados, facturas, contratos celebrados, Pólizas de cheques, por el pago del jaripeo a la Ganadería Los Destructores, jinetes, arillo, bandas y gradas.</w:t>
      </w:r>
    </w:p>
    <w:p w:rsidR="000F4EB7" w:rsidRDefault="00AF66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Total de ingresos por el cobró de las entradas generales y zona VIP a los asistentes a los eventos masivos en el Teatro del Pueblo, desglosadas por día </w:t>
      </w:r>
      <w:r>
        <w:rPr>
          <w:rFonts w:ascii="Palatino Linotype" w:eastAsia="Palatino Linotype" w:hAnsi="Palatino Linotype" w:cs="Palatino Linotype"/>
          <w:i/>
          <w:color w:val="000000"/>
        </w:rPr>
        <w:t>(Entrada General y Zonas VIP)</w:t>
      </w:r>
      <w:r>
        <w:rPr>
          <w:rFonts w:ascii="Palatino Linotype" w:eastAsia="Palatino Linotype" w:hAnsi="Palatino Linotype" w:cs="Palatino Linotype"/>
          <w:color w:val="000000"/>
        </w:rPr>
        <w:t xml:space="preserve">. </w:t>
      </w:r>
    </w:p>
    <w:p w:rsidR="000F4EB7" w:rsidRDefault="00AF66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Total de ingresos por el cobro del permiso de las cantinas instaladas dentro del Teatro del Pueblo ubicadas dentro del espacio donde actuaban los grupos y artistas. </w:t>
      </w:r>
    </w:p>
    <w:p w:rsidR="000F4EB7" w:rsidRDefault="00AF66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Total de ingresos del cobro de los espacios público </w:t>
      </w:r>
      <w:r>
        <w:rPr>
          <w:rFonts w:ascii="Palatino Linotype" w:eastAsia="Palatino Linotype" w:hAnsi="Palatino Linotype" w:cs="Palatino Linotype"/>
          <w:i/>
          <w:color w:val="000000"/>
        </w:rPr>
        <w:t>(puestos de artesanías, comercios, puestos de comida y tacos, cantinas, juegos mecánicos, y baños públicos)</w:t>
      </w:r>
      <w:r>
        <w:rPr>
          <w:rFonts w:ascii="Palatino Linotype" w:eastAsia="Palatino Linotype" w:hAnsi="Palatino Linotype" w:cs="Palatino Linotype"/>
          <w:color w:val="000000"/>
        </w:rPr>
        <w:t xml:space="preserve"> los cuales se encentraban fuera del lugar donde se actuaban los grupos y artistas.</w:t>
      </w:r>
    </w:p>
    <w:p w:rsidR="000F4EB7" w:rsidRDefault="000F4EB7">
      <w:pPr>
        <w:tabs>
          <w:tab w:val="left" w:pos="7770"/>
        </w:tabs>
        <w:spacing w:after="120" w:line="360" w:lineRule="auto"/>
        <w:jc w:val="both"/>
        <w:rPr>
          <w:rFonts w:ascii="Palatino Linotype" w:eastAsia="Palatino Linotype" w:hAnsi="Palatino Linotype" w:cs="Palatino Linotype"/>
        </w:rPr>
      </w:pPr>
    </w:p>
    <w:p w:rsidR="000F4EB7" w:rsidRDefault="00AF66A7">
      <w:pPr>
        <w:tabs>
          <w:tab w:val="left" w:pos="7770"/>
        </w:tabs>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El Sujeto Obligado en respuestas, a través de su Subdirección de Recaudación del Municipio de Ixtapaluca, informó que, después de realizar una búsqueda exhaustiva y minuciosa en los archivos y registros de los fondos recaudados, no se encontró registro alguno relacionado con lo solicitado respecto a la Feria Nacional de Ixtapaluca 2023 (FENAIX), por lo que se encuentra imposibilitada para proporcionar la información.</w:t>
      </w:r>
    </w:p>
    <w:p w:rsidR="000F4EB7" w:rsidRDefault="00AF66A7">
      <w:pPr>
        <w:tabs>
          <w:tab w:val="left" w:pos="7770"/>
        </w:tabs>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Conocidas las respuestas el particular se inconformó por lo siguiente:</w:t>
      </w:r>
    </w:p>
    <w:p w:rsidR="000F4EB7" w:rsidRDefault="00AF66A7">
      <w:pPr>
        <w:numPr>
          <w:ilvl w:val="0"/>
          <w:numId w:val="2"/>
        </w:numPr>
        <w:pBdr>
          <w:top w:val="nil"/>
          <w:left w:val="nil"/>
          <w:bottom w:val="nil"/>
          <w:right w:val="nil"/>
          <w:between w:val="nil"/>
        </w:pBdr>
        <w:spacing w:after="240" w:line="240" w:lineRule="auto"/>
        <w:ind w:left="714" w:right="142" w:hanging="35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 fundamento en el artículos 176, 178 y 179 Fracciones I, II, III, IV y V de la Ley de Transparencia y Acceso a la Información Pública del Estado de México y Municipios, hago referencia la respuesta a mi solicitud que </w:t>
      </w:r>
      <w:r>
        <w:rPr>
          <w:rFonts w:ascii="Palatino Linotype" w:eastAsia="Palatino Linotype" w:hAnsi="Palatino Linotype" w:cs="Palatino Linotype"/>
          <w:b/>
          <w:i/>
          <w:color w:val="000000"/>
          <w:u w:val="single"/>
        </w:rPr>
        <w:t>no cumplen con lo solicitado.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u w:val="single"/>
        </w:rPr>
        <w:t xml:space="preserve">Además de faltar a lo dispuesto por el artículo 162 de la invocada Ley de Transparencia, el cual establece lo siguiente: “…Las unidades de transparencia deberán garantizar que las solicitudes se turnen a todas las Áreas competentes que cuenten con la información </w:t>
      </w:r>
      <w:r>
        <w:rPr>
          <w:rFonts w:ascii="Palatino Linotype" w:eastAsia="Palatino Linotype" w:hAnsi="Palatino Linotype" w:cs="Palatino Linotype"/>
          <w:b/>
          <w:i/>
          <w:color w:val="000000"/>
          <w:u w:val="single"/>
        </w:rPr>
        <w:lastRenderedPageBreak/>
        <w:t>o deban tenerla de acuerdo a sus facultades, competencias y funciones, con el objeto de que realicen una búsqueda exhaustiva y razonable de la información.</w:t>
      </w:r>
      <w:r>
        <w:rPr>
          <w:rFonts w:ascii="Palatino Linotype" w:eastAsia="Palatino Linotype" w:hAnsi="Palatino Linotype" w:cs="Palatino Linotype"/>
          <w:i/>
          <w:color w:val="000000"/>
        </w:rPr>
        <w:t>” (Sic).</w:t>
      </w:r>
    </w:p>
    <w:p w:rsidR="000F4EB7" w:rsidRDefault="00AF66A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la notificación de los recursos de revisión al Sujeto Obligado, este rindió su informe justificado a través de la Subdirección de Recaudación del Municipio de Ixtapaluca, y mediante el cual reitera sus respuestas emitidas primigenias.  </w:t>
      </w:r>
    </w:p>
    <w:p w:rsidR="000F4EB7" w:rsidRDefault="000F4EB7">
      <w:pPr>
        <w:spacing w:after="0" w:line="360" w:lineRule="auto"/>
        <w:jc w:val="both"/>
        <w:rPr>
          <w:rFonts w:ascii="Palatino Linotype" w:eastAsia="Palatino Linotype" w:hAnsi="Palatino Linotype" w:cs="Palatino Linotype"/>
        </w:rPr>
      </w:pPr>
    </w:p>
    <w:p w:rsidR="000F4EB7" w:rsidRDefault="00AF66A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las cosas, la ponencia Resolutora una vez analizadas las constancias que obran en los expedientes electrónicos del SAIMEX, determina que los motivos de inconformidad de la parte Recurrente son fundados y modifican las respuestas del Sujeto Obligado, en razón que faltó que se pronunciara respecto de los egresos solicitados por la particular; lo que incumplió lo señalado por el artículo 162 de la Ley de la Materia y ordena lo siguiente:</w:t>
      </w:r>
    </w:p>
    <w:p w:rsidR="000F4EB7" w:rsidRDefault="000F4EB7">
      <w:pPr>
        <w:pBdr>
          <w:top w:val="nil"/>
          <w:left w:val="nil"/>
          <w:bottom w:val="nil"/>
          <w:right w:val="nil"/>
          <w:between w:val="nil"/>
        </w:pBdr>
        <w:tabs>
          <w:tab w:val="center" w:pos="4252"/>
          <w:tab w:val="right" w:pos="8504"/>
          <w:tab w:val="left" w:pos="7770"/>
          <w:tab w:val="right" w:pos="8838"/>
        </w:tabs>
        <w:spacing w:after="0" w:line="360" w:lineRule="auto"/>
        <w:ind w:left="720"/>
        <w:jc w:val="both"/>
        <w:rPr>
          <w:rFonts w:ascii="Palatino Linotype" w:eastAsia="Palatino Linotype" w:hAnsi="Palatino Linotype" w:cs="Palatino Linotype"/>
          <w:color w:val="000000"/>
          <w:sz w:val="24"/>
          <w:szCs w:val="24"/>
        </w:rPr>
      </w:pPr>
    </w:p>
    <w:p w:rsidR="000F4EB7" w:rsidRDefault="00AF66A7">
      <w:pPr>
        <w:spacing w:after="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b/>
        </w:rPr>
        <w:t>“</w:t>
      </w: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ordena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haga entrega a la parte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 xml:space="preserve">de esta resolución, a través del Sistema de Acceso a la Información Mexiquense </w:t>
      </w:r>
      <w:r>
        <w:rPr>
          <w:rFonts w:ascii="Palatino Linotype" w:eastAsia="Palatino Linotype" w:hAnsi="Palatino Linotype" w:cs="Palatino Linotype"/>
          <w:b/>
          <w:i/>
        </w:rPr>
        <w:t>(SAIMEX)</w:t>
      </w:r>
      <w:r>
        <w:rPr>
          <w:rFonts w:ascii="Palatino Linotype" w:eastAsia="Palatino Linotype" w:hAnsi="Palatino Linotype" w:cs="Palatino Linotype"/>
          <w:i/>
        </w:rPr>
        <w:t xml:space="preserve">, previa búsqueda exhaustiva y razonable, de ser procedente en versión pública, en </w:t>
      </w:r>
      <w:r>
        <w:rPr>
          <w:rFonts w:ascii="Palatino Linotype" w:eastAsia="Palatino Linotype" w:hAnsi="Palatino Linotype" w:cs="Palatino Linotype"/>
          <w:b/>
          <w:i/>
          <w:u w:val="single"/>
        </w:rPr>
        <w:t>formato PDF o en el formato que se posea o se haya generado</w:t>
      </w:r>
      <w:r>
        <w:rPr>
          <w:rFonts w:ascii="Palatino Linotype" w:eastAsia="Palatino Linotype" w:hAnsi="Palatino Linotype" w:cs="Palatino Linotype"/>
          <w:i/>
        </w:rPr>
        <w:t xml:space="preserve">, el o los documentos en donde consten, </w:t>
      </w:r>
      <w:r>
        <w:rPr>
          <w:rFonts w:ascii="Palatino Linotype" w:eastAsia="Palatino Linotype" w:hAnsi="Palatino Linotype" w:cs="Palatino Linotype"/>
          <w:b/>
          <w:i/>
          <w:u w:val="single"/>
        </w:rPr>
        <w:t>los egresos por concepto de la Feria Nacional Ixtapaluca (FENAIX) 2023</w:t>
      </w:r>
      <w:r>
        <w:rPr>
          <w:rFonts w:ascii="Palatino Linotype" w:eastAsia="Palatino Linotype" w:hAnsi="Palatino Linotype" w:cs="Palatino Linotype"/>
          <w:i/>
        </w:rPr>
        <w:t>,</w:t>
      </w:r>
      <w:r>
        <w:rPr>
          <w:rFonts w:ascii="Palatino Linotype" w:eastAsia="Palatino Linotype" w:hAnsi="Palatino Linotype" w:cs="Palatino Linotype"/>
          <w:b/>
          <w:i/>
        </w:rPr>
        <w:t xml:space="preserve"> </w:t>
      </w:r>
      <w:r>
        <w:rPr>
          <w:rFonts w:ascii="Palatino Linotype" w:eastAsia="Palatino Linotype" w:hAnsi="Palatino Linotype" w:cs="Palatino Linotype"/>
          <w:i/>
        </w:rPr>
        <w:t>vigentes al veintiocho de junio de dos mil veintitrés,</w:t>
      </w:r>
      <w:r>
        <w:rPr>
          <w:rFonts w:ascii="Palatino Linotype" w:eastAsia="Palatino Linotype" w:hAnsi="Palatino Linotype" w:cs="Palatino Linotype"/>
          <w:b/>
          <w:i/>
        </w:rPr>
        <w:t xml:space="preserve"> </w:t>
      </w:r>
      <w:r>
        <w:rPr>
          <w:rFonts w:ascii="Palatino Linotype" w:eastAsia="Palatino Linotype" w:hAnsi="Palatino Linotype" w:cs="Palatino Linotype"/>
          <w:i/>
        </w:rPr>
        <w:t>de</w:t>
      </w:r>
      <w:r>
        <w:rPr>
          <w:rFonts w:ascii="Palatino Linotype" w:eastAsia="Palatino Linotype" w:hAnsi="Palatino Linotype" w:cs="Palatino Linotype"/>
          <w:b/>
          <w:i/>
        </w:rPr>
        <w:t xml:space="preserve"> </w:t>
      </w:r>
      <w:r>
        <w:rPr>
          <w:rFonts w:ascii="Palatino Linotype" w:eastAsia="Palatino Linotype" w:hAnsi="Palatino Linotype" w:cs="Palatino Linotype"/>
          <w:i/>
        </w:rPr>
        <w:t>la siguiente</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información: </w:t>
      </w:r>
    </w:p>
    <w:p w:rsidR="000F4EB7" w:rsidRDefault="000F4EB7">
      <w:pPr>
        <w:spacing w:after="0" w:line="240" w:lineRule="auto"/>
        <w:ind w:left="567" w:right="564"/>
        <w:jc w:val="both"/>
        <w:rPr>
          <w:rFonts w:ascii="Palatino Linotype" w:eastAsia="Palatino Linotype" w:hAnsi="Palatino Linotype" w:cs="Palatino Linotype"/>
          <w:i/>
        </w:rPr>
      </w:pPr>
    </w:p>
    <w:p w:rsidR="000F4EB7" w:rsidRDefault="00AF66A7">
      <w:pPr>
        <w:numPr>
          <w:ilvl w:val="0"/>
          <w:numId w:val="3"/>
        </w:numPr>
        <w:pBdr>
          <w:top w:val="nil"/>
          <w:left w:val="nil"/>
          <w:bottom w:val="nil"/>
          <w:right w:val="nil"/>
          <w:between w:val="nil"/>
        </w:pBdr>
        <w:spacing w:after="0" w:line="240" w:lineRule="auto"/>
        <w:ind w:left="567" w:right="564"/>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i/>
          <w:color w:val="000000"/>
        </w:rPr>
        <w:t xml:space="preserve">Los convenios y/o contratos celebrados, facturas, pólizas de cheques, por el pago de cada uno de los grupos musicales y de artistas que se presentaron y/o participaron en el </w:t>
      </w:r>
      <w:r>
        <w:rPr>
          <w:rFonts w:ascii="Palatino Linotype" w:eastAsia="Palatino Linotype" w:hAnsi="Palatino Linotype" w:cs="Palatino Linotype"/>
          <w:b/>
          <w:i/>
          <w:color w:val="000000"/>
          <w:u w:val="single"/>
        </w:rPr>
        <w:t>Teatro del Pueblo</w:t>
      </w:r>
      <w:r>
        <w:rPr>
          <w:rFonts w:ascii="Palatino Linotype" w:eastAsia="Palatino Linotype" w:hAnsi="Palatino Linotype" w:cs="Palatino Linotype"/>
          <w:i/>
          <w:color w:val="000000"/>
        </w:rPr>
        <w:t xml:space="preserve">, en la </w:t>
      </w:r>
      <w:r>
        <w:rPr>
          <w:rFonts w:ascii="Palatino Linotype" w:eastAsia="Palatino Linotype" w:hAnsi="Palatino Linotype" w:cs="Palatino Linotype"/>
          <w:b/>
          <w:i/>
          <w:color w:val="000000"/>
          <w:u w:val="single"/>
        </w:rPr>
        <w:t>Explanada Municipal</w:t>
      </w:r>
      <w:r>
        <w:rPr>
          <w:rFonts w:ascii="Palatino Linotype" w:eastAsia="Palatino Linotype" w:hAnsi="Palatino Linotype" w:cs="Palatino Linotype"/>
          <w:i/>
          <w:color w:val="000000"/>
        </w:rPr>
        <w:t xml:space="preserve"> y en el </w:t>
      </w:r>
      <w:r>
        <w:rPr>
          <w:rFonts w:ascii="Palatino Linotype" w:eastAsia="Palatino Linotype" w:hAnsi="Palatino Linotype" w:cs="Palatino Linotype"/>
          <w:b/>
          <w:i/>
          <w:color w:val="000000"/>
          <w:u w:val="single"/>
        </w:rPr>
        <w:t>Jardín Municipal</w:t>
      </w:r>
      <w:r>
        <w:rPr>
          <w:rFonts w:ascii="Palatino Linotype" w:eastAsia="Palatino Linotype" w:hAnsi="Palatino Linotype" w:cs="Palatino Linotype"/>
          <w:i/>
          <w:color w:val="000000"/>
        </w:rPr>
        <w:t>; así como del jaripeo a la Ganadería Los Destructores, jinetes, arillo, bandas y gradas.</w:t>
      </w:r>
    </w:p>
    <w:p w:rsidR="000F4EB7" w:rsidRDefault="00AF66A7">
      <w:pPr>
        <w:numPr>
          <w:ilvl w:val="0"/>
          <w:numId w:val="3"/>
        </w:numPr>
        <w:pBdr>
          <w:top w:val="nil"/>
          <w:left w:val="nil"/>
          <w:bottom w:val="nil"/>
          <w:right w:val="nil"/>
          <w:between w:val="nil"/>
        </w:pBdr>
        <w:spacing w:after="0" w:line="240" w:lineRule="auto"/>
        <w:ind w:left="567" w:right="56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total de las entradas generales y zona VIP, a los asistentes a los eventos masivos en el Teatro del Pueblo. </w:t>
      </w:r>
    </w:p>
    <w:p w:rsidR="000F4EB7" w:rsidRDefault="00AF66A7">
      <w:pPr>
        <w:numPr>
          <w:ilvl w:val="0"/>
          <w:numId w:val="3"/>
        </w:numPr>
        <w:pBdr>
          <w:top w:val="nil"/>
          <w:left w:val="nil"/>
          <w:bottom w:val="nil"/>
          <w:right w:val="nil"/>
          <w:between w:val="nil"/>
        </w:pBdr>
        <w:spacing w:after="0" w:line="240" w:lineRule="auto"/>
        <w:ind w:left="567" w:right="56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total del permiso de las cantinas instaladas dentro del Teatro del Pueblo, ubicadas dentro del espacio donde actuaban los grupos y artistas. </w:t>
      </w:r>
    </w:p>
    <w:p w:rsidR="000F4EB7" w:rsidRDefault="00AF66A7">
      <w:pPr>
        <w:numPr>
          <w:ilvl w:val="0"/>
          <w:numId w:val="3"/>
        </w:numPr>
        <w:pBdr>
          <w:top w:val="nil"/>
          <w:left w:val="nil"/>
          <w:bottom w:val="nil"/>
          <w:right w:val="nil"/>
          <w:between w:val="nil"/>
        </w:pBdr>
        <w:spacing w:after="0" w:line="240" w:lineRule="auto"/>
        <w:ind w:left="567" w:right="56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El total de los espacios públicos (puestos de artesanías, comercios, puestos de comida y tacos, cantinas, juegos mecánicos, y baños públicos) los cuales se encentraban fuera del lugar donde se actuaban los grupos y artistas.</w:t>
      </w:r>
    </w:p>
    <w:p w:rsidR="000F4EB7" w:rsidRDefault="000F4EB7">
      <w:pPr>
        <w:pBdr>
          <w:top w:val="nil"/>
          <w:left w:val="nil"/>
          <w:bottom w:val="nil"/>
          <w:right w:val="nil"/>
          <w:between w:val="nil"/>
        </w:pBdr>
        <w:spacing w:after="0" w:line="240" w:lineRule="auto"/>
        <w:ind w:left="567" w:right="564"/>
        <w:rPr>
          <w:rFonts w:ascii="Times New Roman" w:eastAsia="Times New Roman" w:hAnsi="Times New Roman" w:cs="Times New Roman"/>
          <w:i/>
          <w:color w:val="000000"/>
        </w:rPr>
      </w:pPr>
    </w:p>
    <w:p w:rsidR="000F4EB7" w:rsidRDefault="00AF66A7">
      <w:pPr>
        <w:spacing w:after="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Pr>
          <w:rFonts w:ascii="Palatino Linotype" w:eastAsia="Palatino Linotype" w:hAnsi="Palatino Linotype" w:cs="Palatino Linotype"/>
          <w:b/>
          <w:i/>
        </w:rPr>
        <w:t>Recurrente</w:t>
      </w:r>
      <w:r>
        <w:rPr>
          <w:rFonts w:ascii="Palatino Linotype" w:eastAsia="Palatino Linotype" w:hAnsi="Palatino Linotype" w:cs="Palatino Linotype"/>
          <w:i/>
        </w:rPr>
        <w:t>.</w:t>
      </w:r>
    </w:p>
    <w:p w:rsidR="000F4EB7" w:rsidRDefault="000F4EB7">
      <w:pPr>
        <w:spacing w:after="0" w:line="240" w:lineRule="auto"/>
        <w:ind w:left="567" w:right="564"/>
        <w:jc w:val="both"/>
        <w:rPr>
          <w:rFonts w:ascii="Palatino Linotype" w:eastAsia="Palatino Linotype" w:hAnsi="Palatino Linotype" w:cs="Palatino Linotype"/>
          <w:i/>
        </w:rPr>
      </w:pPr>
    </w:p>
    <w:p w:rsidR="000F4EB7" w:rsidRDefault="00AF66A7">
      <w:pPr>
        <w:spacing w:after="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i/>
        </w:rPr>
        <w:t xml:space="preserve">En el supuesto de que la información referida en los numerales </w:t>
      </w:r>
      <w:r>
        <w:rPr>
          <w:rFonts w:ascii="Palatino Linotype" w:eastAsia="Palatino Linotype" w:hAnsi="Palatino Linotype" w:cs="Palatino Linotype"/>
          <w:b/>
          <w:i/>
        </w:rPr>
        <w:t>2)</w:t>
      </w:r>
      <w:r>
        <w:rPr>
          <w:rFonts w:ascii="Palatino Linotype" w:eastAsia="Palatino Linotype" w:hAnsi="Palatino Linotype" w:cs="Palatino Linotype"/>
          <w:i/>
        </w:rPr>
        <w:t>,</w:t>
      </w:r>
      <w:r>
        <w:rPr>
          <w:rFonts w:ascii="Palatino Linotype" w:eastAsia="Palatino Linotype" w:hAnsi="Palatino Linotype" w:cs="Palatino Linotype"/>
          <w:b/>
          <w:i/>
        </w:rPr>
        <w:t xml:space="preserve"> 3) </w:t>
      </w:r>
      <w:r>
        <w:rPr>
          <w:rFonts w:ascii="Palatino Linotype" w:eastAsia="Palatino Linotype" w:hAnsi="Palatino Linotype" w:cs="Palatino Linotype"/>
          <w:i/>
        </w:rPr>
        <w:t>y</w:t>
      </w:r>
      <w:r>
        <w:rPr>
          <w:rFonts w:ascii="Palatino Linotype" w:eastAsia="Palatino Linotype" w:hAnsi="Palatino Linotype" w:cs="Palatino Linotype"/>
          <w:b/>
          <w:i/>
        </w:rPr>
        <w:t xml:space="preserve"> 4)</w:t>
      </w:r>
      <w:r>
        <w:rPr>
          <w:rFonts w:ascii="Palatino Linotype" w:eastAsia="Palatino Linotype" w:hAnsi="Palatino Linotype" w:cs="Palatino Linotype"/>
          <w:i/>
        </w:rPr>
        <w:t xml:space="preserve"> del presente Resolutivo, no haya sido poseída, generada o administrada por el </w:t>
      </w:r>
      <w:r>
        <w:rPr>
          <w:rFonts w:ascii="Palatino Linotype" w:eastAsia="Palatino Linotype" w:hAnsi="Palatino Linotype" w:cs="Palatino Linotype"/>
          <w:b/>
          <w:i/>
        </w:rPr>
        <w:t>Sujeto Obligado</w:t>
      </w:r>
      <w:r>
        <w:rPr>
          <w:rFonts w:ascii="Palatino Linotype" w:eastAsia="Palatino Linotype" w:hAnsi="Palatino Linotype" w:cs="Palatino Linotype"/>
          <w:i/>
        </w:rPr>
        <w:t>, bastará con que así lo manifieste.”(Sic)</w:t>
      </w:r>
    </w:p>
    <w:p w:rsidR="000F4EB7" w:rsidRDefault="000F4EB7">
      <w:pPr>
        <w:pBdr>
          <w:top w:val="nil"/>
          <w:left w:val="nil"/>
          <w:bottom w:val="nil"/>
          <w:right w:val="nil"/>
          <w:between w:val="nil"/>
        </w:pBdr>
        <w:tabs>
          <w:tab w:val="center" w:pos="4252"/>
          <w:tab w:val="right" w:pos="8504"/>
          <w:tab w:val="left" w:pos="7770"/>
          <w:tab w:val="right" w:pos="8838"/>
        </w:tabs>
        <w:spacing w:after="0" w:line="360" w:lineRule="auto"/>
        <w:ind w:left="720"/>
        <w:jc w:val="both"/>
        <w:rPr>
          <w:rFonts w:ascii="Palatino Linotype" w:eastAsia="Palatino Linotype" w:hAnsi="Palatino Linotype" w:cs="Palatino Linotype"/>
          <w:i/>
          <w:color w:val="000000"/>
        </w:rPr>
      </w:pPr>
    </w:p>
    <w:p w:rsidR="000F4EB7" w:rsidRDefault="00AF66A7">
      <w:pPr>
        <w:pBdr>
          <w:top w:val="nil"/>
          <w:left w:val="nil"/>
          <w:bottom w:val="nil"/>
          <w:right w:val="nil"/>
          <w:between w:val="nil"/>
        </w:pBdr>
        <w:tabs>
          <w:tab w:val="center" w:pos="4252"/>
          <w:tab w:val="right" w:pos="8504"/>
          <w:tab w:val="left" w:pos="7770"/>
          <w:tab w:val="right" w:pos="8838"/>
        </w:tabs>
        <w:spacing w:after="0" w:line="360" w:lineRule="auto"/>
        <w:jc w:val="both"/>
        <w:rPr>
          <w:rFonts w:ascii="Palatino Linotype" w:eastAsia="Palatino Linotype" w:hAnsi="Palatino Linotype" w:cs="Palatino Linotype"/>
          <w:b/>
        </w:rPr>
      </w:pPr>
      <w:bookmarkStart w:id="1" w:name="_heading=h.app9ycyafkhy" w:colFirst="0" w:colLast="0"/>
      <w:bookmarkEnd w:id="1"/>
      <w:r>
        <w:rPr>
          <w:rFonts w:ascii="Palatino Linotype" w:eastAsia="Palatino Linotype" w:hAnsi="Palatino Linotype" w:cs="Palatino Linotype"/>
          <w:b/>
        </w:rPr>
        <w:t>Razones del Voto Particular.</w:t>
      </w:r>
    </w:p>
    <w:p w:rsidR="000F4EB7" w:rsidRDefault="000F4EB7">
      <w:pPr>
        <w:pBdr>
          <w:top w:val="nil"/>
          <w:left w:val="nil"/>
          <w:bottom w:val="nil"/>
          <w:right w:val="nil"/>
          <w:between w:val="nil"/>
        </w:pBdr>
        <w:tabs>
          <w:tab w:val="center" w:pos="4252"/>
          <w:tab w:val="right" w:pos="8504"/>
          <w:tab w:val="left" w:pos="7770"/>
          <w:tab w:val="right" w:pos="8838"/>
        </w:tabs>
        <w:spacing w:after="0" w:line="360" w:lineRule="auto"/>
        <w:jc w:val="both"/>
        <w:rPr>
          <w:rFonts w:ascii="Palatino Linotype" w:eastAsia="Palatino Linotype" w:hAnsi="Palatino Linotype" w:cs="Palatino Linotype"/>
          <w:b/>
        </w:rPr>
      </w:pPr>
    </w:p>
    <w:p w:rsidR="000F4EB7" w:rsidRDefault="00AF66A7">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orden de ideas, resulta importante señalar que coincido con los términos generales planteados en la Resolución; sin embargo, considero que la salvedad simple para el caso del que el Sujeto Obligado no hay poseído, generado o administrado la información que se ordena, debió contemplar también para el punto 1; en razón de que no se tiene acreditada en el estudio de la resolución de mérito; la participación del Ayuntamiento Ixtapaluca en la Feria Nacional Ixtapaluca (FENAIX) 2023. </w:t>
      </w:r>
    </w:p>
    <w:p w:rsidR="000F4EB7" w:rsidRDefault="000F4EB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0F4EB7" w:rsidRDefault="00AF66A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es así, ya que de una búsqueda exhaustiva de la realización de dicho evento en internet, sólo se localizaron las siguientes publicaciones:</w:t>
      </w:r>
    </w:p>
    <w:p w:rsidR="000F4EB7" w:rsidRDefault="00AF66A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76200</wp:posOffset>
                </wp:positionV>
                <wp:extent cx="5422998" cy="1984181"/>
                <wp:effectExtent l="0" t="0" r="0" b="0"/>
                <wp:wrapNone/>
                <wp:docPr id="2064281567" name="Conector recto de flecha 2064281567"/>
                <wp:cNvGraphicFramePr/>
                <a:graphic xmlns:a="http://schemas.openxmlformats.org/drawingml/2006/main">
                  <a:graphicData uri="http://schemas.microsoft.com/office/word/2010/wordprocessingShape">
                    <wps:wsp>
                      <wps:cNvCnPr/>
                      <wps:spPr>
                        <a:xfrm>
                          <a:off x="2639264" y="2792672"/>
                          <a:ext cx="5413473" cy="1974656"/>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422998" cy="1984181"/>
                <wp:effectExtent b="0" l="0" r="0" t="0"/>
                <wp:wrapNone/>
                <wp:docPr id="206428156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422998" cy="1984181"/>
                        </a:xfrm>
                        <a:prstGeom prst="rect"/>
                        <a:ln/>
                      </pic:spPr>
                    </pic:pic>
                  </a:graphicData>
                </a:graphic>
              </wp:anchor>
            </w:drawing>
          </mc:Fallback>
        </mc:AlternateContent>
      </w:r>
    </w:p>
    <w:p w:rsidR="000F4EB7" w:rsidRDefault="00AF66A7">
      <w:pPr>
        <w:spacing w:after="0" w:line="360" w:lineRule="auto"/>
        <w:jc w:val="center"/>
        <w:rPr>
          <w:rFonts w:ascii="Palatino Linotype" w:eastAsia="Palatino Linotype" w:hAnsi="Palatino Linotype" w:cs="Palatino Linotype"/>
          <w:sz w:val="24"/>
          <w:szCs w:val="24"/>
        </w:rPr>
      </w:pPr>
      <w:r>
        <w:rPr>
          <w:noProof/>
          <w:lang w:val="es-MX"/>
        </w:rPr>
        <w:lastRenderedPageBreak/>
        <w:drawing>
          <wp:inline distT="0" distB="0" distL="0" distR="0">
            <wp:extent cx="4109343" cy="3666697"/>
            <wp:effectExtent l="0" t="0" r="0" b="0"/>
            <wp:docPr id="20642815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109343" cy="3666697"/>
                    </a:xfrm>
                    <a:prstGeom prst="rect">
                      <a:avLst/>
                    </a:prstGeom>
                    <a:ln/>
                  </pic:spPr>
                </pic:pic>
              </a:graphicData>
            </a:graphic>
          </wp:inline>
        </w:drawing>
      </w:r>
    </w:p>
    <w:p w:rsidR="000F4EB7" w:rsidRDefault="00AF66A7">
      <w:pPr>
        <w:spacing w:after="0" w:line="360" w:lineRule="auto"/>
        <w:jc w:val="center"/>
        <w:rPr>
          <w:rFonts w:ascii="Palatino Linotype" w:eastAsia="Palatino Linotype" w:hAnsi="Palatino Linotype" w:cs="Palatino Linotype"/>
          <w:sz w:val="24"/>
          <w:szCs w:val="24"/>
        </w:rPr>
      </w:pPr>
      <w:r>
        <w:rPr>
          <w:noProof/>
          <w:lang w:val="es-MX"/>
        </w:rPr>
        <w:drawing>
          <wp:inline distT="0" distB="0" distL="0" distR="0">
            <wp:extent cx="4140485" cy="3086393"/>
            <wp:effectExtent l="0" t="0" r="0" b="0"/>
            <wp:docPr id="2064281570" name="image3.jpg"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0" name="image3.jpg" descr="No hay ninguna descripción de la foto disponible."/>
                    <pic:cNvPicPr preferRelativeResize="0"/>
                  </pic:nvPicPr>
                  <pic:blipFill>
                    <a:blip r:embed="rId10"/>
                    <a:srcRect/>
                    <a:stretch>
                      <a:fillRect/>
                    </a:stretch>
                  </pic:blipFill>
                  <pic:spPr>
                    <a:xfrm>
                      <a:off x="0" y="0"/>
                      <a:ext cx="4140485" cy="3086393"/>
                    </a:xfrm>
                    <a:prstGeom prst="rect">
                      <a:avLst/>
                    </a:prstGeom>
                    <a:ln/>
                  </pic:spPr>
                </pic:pic>
              </a:graphicData>
            </a:graphic>
          </wp:inline>
        </w:drawing>
      </w:r>
    </w:p>
    <w:p w:rsidR="000F4EB7" w:rsidRDefault="00AF66A7">
      <w:pPr>
        <w:spacing w:after="0" w:line="360" w:lineRule="auto"/>
        <w:jc w:val="center"/>
        <w:rPr>
          <w:rFonts w:ascii="Palatino Linotype" w:eastAsia="Palatino Linotype" w:hAnsi="Palatino Linotype" w:cs="Palatino Linotype"/>
          <w:sz w:val="24"/>
          <w:szCs w:val="24"/>
        </w:rPr>
      </w:pPr>
      <w:r>
        <w:rPr>
          <w:noProof/>
          <w:lang w:val="es-MX"/>
        </w:rPr>
        <w:lastRenderedPageBreak/>
        <w:drawing>
          <wp:inline distT="0" distB="0" distL="0" distR="0">
            <wp:extent cx="4043709" cy="3428780"/>
            <wp:effectExtent l="0" t="0" r="0" b="0"/>
            <wp:docPr id="2064281569" name="image6.jpg"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0" name="image6.jpg" descr="No hay ninguna descripción de la foto disponible."/>
                    <pic:cNvPicPr preferRelativeResize="0"/>
                  </pic:nvPicPr>
                  <pic:blipFill>
                    <a:blip r:embed="rId11"/>
                    <a:srcRect/>
                    <a:stretch>
                      <a:fillRect/>
                    </a:stretch>
                  </pic:blipFill>
                  <pic:spPr>
                    <a:xfrm>
                      <a:off x="0" y="0"/>
                      <a:ext cx="4043709" cy="3428780"/>
                    </a:xfrm>
                    <a:prstGeom prst="rect">
                      <a:avLst/>
                    </a:prstGeom>
                    <a:ln/>
                  </pic:spPr>
                </pic:pic>
              </a:graphicData>
            </a:graphic>
          </wp:inline>
        </w:drawing>
      </w:r>
    </w:p>
    <w:p w:rsidR="000F4EB7" w:rsidRDefault="00AF66A7">
      <w:pPr>
        <w:spacing w:after="0" w:line="360" w:lineRule="auto"/>
        <w:jc w:val="center"/>
        <w:rPr>
          <w:rFonts w:ascii="Palatino Linotype" w:eastAsia="Palatino Linotype" w:hAnsi="Palatino Linotype" w:cs="Palatino Linotype"/>
          <w:sz w:val="24"/>
          <w:szCs w:val="24"/>
        </w:rPr>
      </w:pPr>
      <w:r>
        <w:rPr>
          <w:noProof/>
          <w:lang w:val="es-MX"/>
        </w:rPr>
        <w:drawing>
          <wp:inline distT="0" distB="0" distL="0" distR="0">
            <wp:extent cx="3996712" cy="2853883"/>
            <wp:effectExtent l="0" t="0" r="0" b="0"/>
            <wp:docPr id="2064281572" name="image4.jpg" descr="No hay ninguna descripción de la foto disponible."/>
            <wp:cNvGraphicFramePr/>
            <a:graphic xmlns:a="http://schemas.openxmlformats.org/drawingml/2006/main">
              <a:graphicData uri="http://schemas.openxmlformats.org/drawingml/2006/picture">
                <pic:pic xmlns:pic="http://schemas.openxmlformats.org/drawingml/2006/picture">
                  <pic:nvPicPr>
                    <pic:cNvPr id="0" name="image4.jpg" descr="No hay ninguna descripción de la foto disponible."/>
                    <pic:cNvPicPr preferRelativeResize="0"/>
                  </pic:nvPicPr>
                  <pic:blipFill>
                    <a:blip r:embed="rId12"/>
                    <a:srcRect/>
                    <a:stretch>
                      <a:fillRect/>
                    </a:stretch>
                  </pic:blipFill>
                  <pic:spPr>
                    <a:xfrm>
                      <a:off x="0" y="0"/>
                      <a:ext cx="3996712" cy="2853883"/>
                    </a:xfrm>
                    <a:prstGeom prst="rect">
                      <a:avLst/>
                    </a:prstGeom>
                    <a:ln/>
                  </pic:spPr>
                </pic:pic>
              </a:graphicData>
            </a:graphic>
          </wp:inline>
        </w:drawing>
      </w:r>
    </w:p>
    <w:p w:rsidR="000F4EB7" w:rsidRDefault="00AF66A7">
      <w:pPr>
        <w:spacing w:after="0" w:line="360" w:lineRule="auto"/>
        <w:jc w:val="center"/>
        <w:rPr>
          <w:rFonts w:ascii="Palatino Linotype" w:eastAsia="Palatino Linotype" w:hAnsi="Palatino Linotype" w:cs="Palatino Linotype"/>
          <w:sz w:val="24"/>
          <w:szCs w:val="24"/>
        </w:rPr>
      </w:pPr>
      <w:r>
        <w:rPr>
          <w:noProof/>
          <w:lang w:val="es-MX"/>
        </w:rPr>
        <w:lastRenderedPageBreak/>
        <w:drawing>
          <wp:inline distT="0" distB="0" distL="0" distR="0">
            <wp:extent cx="3991803" cy="3384767"/>
            <wp:effectExtent l="0" t="0" r="0" b="0"/>
            <wp:docPr id="2064281571" name="image5.jpg" descr="Puede ser una imagen de póster"/>
            <wp:cNvGraphicFramePr/>
            <a:graphic xmlns:a="http://schemas.openxmlformats.org/drawingml/2006/main">
              <a:graphicData uri="http://schemas.openxmlformats.org/drawingml/2006/picture">
                <pic:pic xmlns:pic="http://schemas.openxmlformats.org/drawingml/2006/picture">
                  <pic:nvPicPr>
                    <pic:cNvPr id="0" name="image5.jpg" descr="Puede ser una imagen de póster"/>
                    <pic:cNvPicPr preferRelativeResize="0"/>
                  </pic:nvPicPr>
                  <pic:blipFill>
                    <a:blip r:embed="rId13"/>
                    <a:srcRect/>
                    <a:stretch>
                      <a:fillRect/>
                    </a:stretch>
                  </pic:blipFill>
                  <pic:spPr>
                    <a:xfrm>
                      <a:off x="0" y="0"/>
                      <a:ext cx="3991803" cy="3384767"/>
                    </a:xfrm>
                    <a:prstGeom prst="rect">
                      <a:avLst/>
                    </a:prstGeom>
                    <a:ln/>
                  </pic:spPr>
                </pic:pic>
              </a:graphicData>
            </a:graphic>
          </wp:inline>
        </w:drawing>
      </w:r>
    </w:p>
    <w:p w:rsidR="000F4EB7" w:rsidRDefault="000F4EB7">
      <w:pPr>
        <w:spacing w:after="0" w:line="360" w:lineRule="auto"/>
        <w:jc w:val="both"/>
        <w:rPr>
          <w:rFonts w:ascii="Palatino Linotype" w:eastAsia="Palatino Linotype" w:hAnsi="Palatino Linotype" w:cs="Palatino Linotype"/>
          <w:sz w:val="24"/>
          <w:szCs w:val="24"/>
        </w:rPr>
      </w:pPr>
    </w:p>
    <w:p w:rsidR="000F4EB7" w:rsidRDefault="00AF66A7">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Así como de la página web </w:t>
      </w:r>
      <w:hyperlink r:id="rId14">
        <w:r>
          <w:rPr>
            <w:rFonts w:ascii="Palatino Linotype" w:eastAsia="Palatino Linotype" w:hAnsi="Palatino Linotype" w:cs="Palatino Linotype"/>
            <w:color w:val="0000FF"/>
            <w:u w:val="single"/>
          </w:rPr>
          <w:t>www.fenaix.com</w:t>
        </w:r>
      </w:hyperlink>
      <w:r>
        <w:rPr>
          <w:rFonts w:ascii="Palatino Linotype" w:eastAsia="Palatino Linotype" w:hAnsi="Palatino Linotype" w:cs="Palatino Linotype"/>
        </w:rPr>
        <w:t xml:space="preserve">, no se tiene certeza de la participación del Ayuntamiento de Ixtapaluca de la Administración Pública 2022-2024 en la organización, contratación y realización de la Feria Nacional Ixtapaluca (FENAIX) 2023; por consiguiente, no se tiene acreditada su competencia, razón por la cual considero que se debió dejar la posibilidad para el caso de que no haya poseído, administrado o generado la información que se ordena en el punto 1, bastará que así lo manifieste en términos del artículo </w:t>
      </w:r>
      <w:r>
        <w:rPr>
          <w:rFonts w:ascii="Palatino Linotype" w:eastAsia="Palatino Linotype" w:hAnsi="Palatino Linotype" w:cs="Palatino Linotype"/>
          <w:color w:val="000000"/>
        </w:rPr>
        <w:t>19, párrafo segundo de la Ley de Transparencia y Acceso a la Información Pública del Estado de México y Municipios, a saber:</w:t>
      </w:r>
    </w:p>
    <w:p w:rsidR="000F4EB7" w:rsidRDefault="000F4EB7">
      <w:pPr>
        <w:pBdr>
          <w:top w:val="nil"/>
          <w:left w:val="nil"/>
          <w:bottom w:val="nil"/>
          <w:right w:val="nil"/>
          <w:between w:val="nil"/>
        </w:pBdr>
        <w:spacing w:after="0" w:line="360" w:lineRule="auto"/>
        <w:jc w:val="both"/>
        <w:rPr>
          <w:rFonts w:ascii="Palatino Linotype" w:eastAsia="Palatino Linotype" w:hAnsi="Palatino Linotype" w:cs="Palatino Linotype"/>
        </w:rPr>
      </w:pPr>
    </w:p>
    <w:p w:rsidR="000F4EB7" w:rsidRDefault="00AF66A7">
      <w:pPr>
        <w:pBdr>
          <w:top w:val="nil"/>
          <w:left w:val="nil"/>
          <w:bottom w:val="nil"/>
          <w:right w:val="nil"/>
          <w:between w:val="nil"/>
        </w:pBdr>
        <w:spacing w:line="276" w:lineRule="auto"/>
        <w:ind w:left="851" w:right="618"/>
        <w:jc w:val="both"/>
        <w:rPr>
          <w:color w:val="000000"/>
        </w:rPr>
      </w:pPr>
      <w:r>
        <w:rPr>
          <w:rFonts w:ascii="Palatino Linotype" w:eastAsia="Palatino Linotype" w:hAnsi="Palatino Linotype" w:cs="Palatino Linotype"/>
          <w:i/>
          <w:color w:val="000000"/>
        </w:rPr>
        <w:t>“Artículo 19…</w:t>
      </w:r>
    </w:p>
    <w:p w:rsidR="000F4EB7" w:rsidRDefault="00AF66A7">
      <w:pPr>
        <w:pBdr>
          <w:top w:val="nil"/>
          <w:left w:val="nil"/>
          <w:bottom w:val="nil"/>
          <w:right w:val="nil"/>
          <w:between w:val="nil"/>
        </w:pBdr>
        <w:spacing w:line="276"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En los casos en que ciertas facultades, competencias o funciones no se hayan ejercido, se debe motivar la respuesta en función de las causas que motiven tal circunstancia.”</w:t>
      </w:r>
    </w:p>
    <w:p w:rsidR="000F4EB7" w:rsidRPr="007371B1" w:rsidRDefault="00AF66A7">
      <w:pPr>
        <w:spacing w:before="240" w:after="240" w:line="360" w:lineRule="auto"/>
        <w:jc w:val="both"/>
        <w:rPr>
          <w:rFonts w:ascii="Palatino Linotype" w:eastAsia="Palatino Linotype" w:hAnsi="Palatino Linotype" w:cs="Palatino Linotype"/>
          <w:i/>
        </w:rPr>
      </w:pPr>
      <w:bookmarkStart w:id="2" w:name="_heading=h.gjdgxs" w:colFirst="0" w:colLast="0"/>
      <w:bookmarkEnd w:id="2"/>
      <w:r w:rsidRPr="007371B1">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7371B1">
        <w:rPr>
          <w:rFonts w:ascii="Palatino Linotype" w:eastAsia="Palatino Linotype" w:hAnsi="Palatino Linotype" w:cs="Palatino Linotype"/>
          <w:b/>
        </w:rPr>
        <w:t>Sujeto Obligado</w:t>
      </w:r>
      <w:r w:rsidRPr="007371B1">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bookmarkStart w:id="3" w:name="_heading=h.2et92p0" w:colFirst="0" w:colLast="0"/>
    <w:bookmarkEnd w:id="3"/>
    <w:p w:rsidR="000F4EB7" w:rsidRDefault="007371B1">
      <w:pPr>
        <w:tabs>
          <w:tab w:val="left" w:pos="142"/>
          <w:tab w:val="left" w:pos="284"/>
        </w:tabs>
        <w:spacing w:before="240" w:after="240" w:line="360" w:lineRule="auto"/>
        <w:jc w:val="both"/>
        <w:rPr>
          <w:rFonts w:ascii="Palatino Linotype" w:eastAsia="Palatino Linotype" w:hAnsi="Palatino Linotype" w:cs="Palatino Linotype"/>
        </w:rPr>
        <w:sectPr w:rsidR="000F4EB7">
          <w:headerReference w:type="even" r:id="rId15"/>
          <w:headerReference w:type="default" r:id="rId16"/>
          <w:footerReference w:type="default" r:id="rId17"/>
          <w:pgSz w:w="12240" w:h="15840"/>
          <w:pgMar w:top="1871" w:right="1327" w:bottom="2836" w:left="1985" w:header="709" w:footer="586" w:gutter="0"/>
          <w:pgNumType w:start="1"/>
          <w:cols w:space="720"/>
        </w:sect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simplePos x="0" y="0"/>
                <wp:positionH relativeFrom="column">
                  <wp:posOffset>41631</wp:posOffset>
                </wp:positionH>
                <wp:positionV relativeFrom="paragraph">
                  <wp:posOffset>347623</wp:posOffset>
                </wp:positionV>
                <wp:extent cx="5610758" cy="4272077"/>
                <wp:effectExtent l="0" t="0" r="28575" b="33655"/>
                <wp:wrapNone/>
                <wp:docPr id="1" name="Conector recto 1"/>
                <wp:cNvGraphicFramePr/>
                <a:graphic xmlns:a="http://schemas.openxmlformats.org/drawingml/2006/main">
                  <a:graphicData uri="http://schemas.microsoft.com/office/word/2010/wordprocessingShape">
                    <wps:wsp>
                      <wps:cNvCnPr/>
                      <wps:spPr>
                        <a:xfrm>
                          <a:off x="0" y="0"/>
                          <a:ext cx="5610758" cy="42720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7981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27.35pt" to="445.1pt,3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yLtwEAALkDAAAOAAAAZHJzL2Uyb0RvYy54bWysU02P0zAQvSPxHyzfaZKK3aKo6R66gguC&#10;Ctgf4HXGjYW/NDZN+u8ZO20WAUJotRc7tt97M29msr2brGEnwKi963izqjkDJ32v3bHjD9/ev3nH&#10;WUzC9cJ4Bx0/Q+R3u9evtmNoYe0Hb3pARiIutmPo+JBSaKsqygGsiCsfwNGj8mhFoiMeqx7FSOrW&#10;VOu6vq1Gj31ALyFGur2fH/mu6CsFMn1WKkJipuOUWyorlvUxr9VuK9ojijBoeUlDPCMLK7SjoIvU&#10;vUiC/UD9h5TVEn30Kq2kt5VXSksoHshNU//m5usgAhQvVJwYljLFl5OVn04HZLqn3nHmhKUW7alR&#10;MnlkmDfW5BqNIbYE3bsDXk4xHDAbnhTavJMVNpW6npe6wpSYpMub26be3NAkSHp7u96s680mq1ZP&#10;9IAxfQBvWf7ouNEuGxetOH2MaYZeIcTL6cwJlK90NpDBxn0BRWYoZFPYZYxgb5CdBA1A/72YobAF&#10;mSlKG7OQ6n+TLthMgzJa/0tc0CWid2khWu08/i1qmq6pqhl/dT17zbYffX8u7SjloPkoBb3Mch7A&#10;X8+F/vTH7X4CAAD//wMAUEsDBBQABgAIAAAAIQD34PrK3gAAAAgBAAAPAAAAZHJzL2Rvd25yZXYu&#10;eG1sTI/BTsMwEETvSPyDtUjcqENEk5LGqapKCHFBNIW7G2+dlHgd2U4a/h5zKsfRjGbelJvZ9GxC&#10;5ztLAh4XCTCkxqqOtIDPw8vDCpgPkpTsLaGAH/SwqW5vSlkoe6E9TnXQLJaQL6SANoSh4Nw3LRrp&#10;F3ZAit7JOiNDlE5z5eQllpuep0mScSM7igutHHDXYvNdj0ZA/+amL73TWz++7rP6/HFK3w+TEPd3&#10;83YNLOAcrmH4w4/oUEWmox1JedYLyLIYFLB8yoFFe/WcpMCOAvI0XwKvSv7/QPULAAD//wMAUEsB&#10;Ai0AFAAGAAgAAAAhALaDOJL+AAAA4QEAABMAAAAAAAAAAAAAAAAAAAAAAFtDb250ZW50X1R5cGVz&#10;XS54bWxQSwECLQAUAAYACAAAACEAOP0h/9YAAACUAQAACwAAAAAAAAAAAAAAAAAvAQAAX3JlbHMv&#10;LnJlbHNQSwECLQAUAAYACAAAACEAI5I8i7cBAAC5AwAADgAAAAAAAAAAAAAAAAAuAgAAZHJzL2Uy&#10;b0RvYy54bWxQSwECLQAUAAYACAAAACEA9+D6yt4AAAAIAQAADwAAAAAAAAAAAAAAAAARBAAAZHJz&#10;L2Rvd25yZXYueG1sUEsFBgAAAAAEAAQA8wAAABwFAAAAAA==&#10;" strokecolor="black [3200]" strokeweight=".5pt">
                <v:stroke joinstyle="miter"/>
              </v:line>
            </w:pict>
          </mc:Fallback>
        </mc:AlternateContent>
      </w:r>
      <w:r w:rsidR="00AF66A7">
        <w:rPr>
          <w:rFonts w:ascii="Palatino Linotype" w:eastAsia="Palatino Linotype" w:hAnsi="Palatino Linotype" w:cs="Palatino Linotype"/>
        </w:rPr>
        <w:t>Es por todo lo vertido en líneas anteriores que la Suscrita formula el presente voto particular.</w:t>
      </w:r>
    </w:p>
    <w:p w:rsidR="000F4EB7" w:rsidRDefault="000F4EB7">
      <w:pPr>
        <w:spacing w:before="240" w:after="240" w:line="360" w:lineRule="auto"/>
        <w:ind w:right="423"/>
        <w:jc w:val="both"/>
        <w:rPr>
          <w:rFonts w:ascii="Palatino Linotype" w:eastAsia="Palatino Linotype" w:hAnsi="Palatino Linotype" w:cs="Palatino Linotype"/>
        </w:rPr>
      </w:pPr>
      <w:bookmarkStart w:id="4" w:name="_heading=h.3znysh7" w:colFirst="0" w:colLast="0"/>
      <w:bookmarkStart w:id="5" w:name="_GoBack"/>
      <w:bookmarkEnd w:id="4"/>
      <w:bookmarkEnd w:id="5"/>
    </w:p>
    <w:sectPr w:rsidR="000F4EB7">
      <w:headerReference w:type="default" r:id="rId18"/>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53" w:rsidRDefault="00254F53">
      <w:pPr>
        <w:spacing w:after="0" w:line="240" w:lineRule="auto"/>
      </w:pPr>
      <w:r>
        <w:separator/>
      </w:r>
    </w:p>
  </w:endnote>
  <w:endnote w:type="continuationSeparator" w:id="0">
    <w:p w:rsidR="00254F53" w:rsidRDefault="0025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B7" w:rsidRDefault="00AF66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B7C75">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B7C75">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0F4EB7" w:rsidRDefault="000F4EB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53" w:rsidRDefault="00254F53">
      <w:pPr>
        <w:spacing w:after="0" w:line="240" w:lineRule="auto"/>
      </w:pPr>
      <w:r>
        <w:separator/>
      </w:r>
    </w:p>
  </w:footnote>
  <w:footnote w:type="continuationSeparator" w:id="0">
    <w:p w:rsidR="00254F53" w:rsidRDefault="00254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B7" w:rsidRDefault="00AF66A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5055620" cy="15055620"/>
              <wp:effectExtent l="0" t="0" r="0" b="0"/>
              <wp:wrapNone/>
              <wp:docPr id="2064281566" name="Rectángulo 2064281566"/>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0F4EB7" w:rsidRDefault="00AF66A7">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5055620" cy="15055620"/>
              <wp:effectExtent b="0" l="0" r="0" t="0"/>
              <wp:wrapNone/>
              <wp:docPr id="206428156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5055620" cy="1505562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B7" w:rsidRDefault="00AF66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-1115056</wp:posOffset>
          </wp:positionH>
          <wp:positionV relativeFrom="paragraph">
            <wp:posOffset>-433700</wp:posOffset>
          </wp:positionV>
          <wp:extent cx="7510628" cy="9883775"/>
          <wp:effectExtent l="0" t="0" r="0" b="0"/>
          <wp:wrapNone/>
          <wp:docPr id="206428157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4EB7" w:rsidRDefault="000F4EB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F4EB7" w:rsidRDefault="000F4EB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F4EB7" w:rsidRDefault="00AF66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0F4EB7" w:rsidRDefault="00AF66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highlight w:val="red"/>
      </w:rPr>
    </w:pPr>
    <w:r>
      <w:rPr>
        <w:rFonts w:ascii="Palatino Linotype" w:eastAsia="Palatino Linotype" w:hAnsi="Palatino Linotype" w:cs="Palatino Linotype"/>
        <w:b/>
        <w:color w:val="000000"/>
        <w:sz w:val="20"/>
        <w:szCs w:val="20"/>
      </w:rPr>
      <w:t xml:space="preserve">   RECURSOS DE REVISIÓN 08454/INFOEM/IP/RR/202</w:t>
    </w:r>
    <w:r>
      <w:rPr>
        <w:rFonts w:ascii="Palatino Linotype" w:eastAsia="Palatino Linotype" w:hAnsi="Palatino Linotype" w:cs="Palatino Linotype"/>
        <w:b/>
        <w:sz w:val="20"/>
        <w:szCs w:val="20"/>
      </w:rPr>
      <w:t xml:space="preserve">3 </w:t>
    </w:r>
  </w:p>
  <w:p w:rsidR="000F4EB7" w:rsidRDefault="000F4E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B7" w:rsidRDefault="000F4EB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F4EB7" w:rsidRDefault="000F4EB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F4EB7" w:rsidRDefault="000F4EB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0F4EB7" w:rsidRDefault="000F4E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C291E"/>
    <w:multiLevelType w:val="multilevel"/>
    <w:tmpl w:val="28A8363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018D0"/>
    <w:multiLevelType w:val="multilevel"/>
    <w:tmpl w:val="1D8615FA"/>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E71B0"/>
    <w:multiLevelType w:val="multilevel"/>
    <w:tmpl w:val="59D6F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8737F0"/>
    <w:multiLevelType w:val="multilevel"/>
    <w:tmpl w:val="7F50C2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B7"/>
    <w:rsid w:val="000F4EB7"/>
    <w:rsid w:val="00254F53"/>
    <w:rsid w:val="006B7C75"/>
    <w:rsid w:val="007371B1"/>
    <w:rsid w:val="00AF6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BE7A2-5E7A-443A-9A1B-A6429446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fena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GxjThxloMRv8BAOu9aGkKCJTg==">CgMxLjAyCGguZ2pkZ3hzMg5oLmR2ZWtpeXltYmR5eDIOaC5hcHA5eWN5YWZraHkyCGguZ2pkZ3hzMgloLjJldDkycDAyCWguM3pueXNoNzgAciExck9DbmNJWjBLQmdiQUZ3c19rTGVxblg4blV0Z0dEb3I=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2024-04-08T17:44:00Z</cp:lastPrinted>
  <dcterms:created xsi:type="dcterms:W3CDTF">2024-04-05T19:15:00Z</dcterms:created>
  <dcterms:modified xsi:type="dcterms:W3CDTF">2024-04-08T17:45:00Z</dcterms:modified>
</cp:coreProperties>
</file>