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2FFF7" w14:textId="77777777" w:rsidR="00BF5B6F" w:rsidRDefault="003B2387" w:rsidP="00BF5B6F">
      <w:pPr>
        <w:spacing w:before="240" w:after="240" w:line="360" w:lineRule="auto"/>
        <w:ind w:right="-142"/>
        <w:jc w:val="both"/>
        <w:rPr>
          <w:rFonts w:ascii="Palatino Linotype" w:eastAsia="Palatino Linotype" w:hAnsi="Palatino Linotype" w:cs="Palatino Linotype"/>
          <w:b/>
          <w:sz w:val="24"/>
          <w:szCs w:val="24"/>
        </w:rPr>
      </w:pPr>
      <w:bookmarkStart w:id="0" w:name="_heading=h.3dy6vkm" w:colFirst="0" w:colLast="0"/>
      <w:bookmarkStart w:id="1" w:name="_GoBack"/>
      <w:bookmarkEnd w:id="0"/>
      <w:bookmarkEnd w:id="1"/>
      <w:r>
        <w:rPr>
          <w:rFonts w:ascii="Palatino Linotype" w:eastAsia="Palatino Linotype" w:hAnsi="Palatino Linotype" w:cs="Palatino Linotype"/>
          <w:b/>
          <w:sz w:val="24"/>
          <w:szCs w:val="24"/>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w:t>
      </w:r>
      <w:r w:rsidR="00DE0C32">
        <w:rPr>
          <w:rFonts w:ascii="Palatino Linotype" w:eastAsia="Palatino Linotype" w:hAnsi="Palatino Linotype" w:cs="Palatino Linotype"/>
          <w:b/>
          <w:color w:val="000000"/>
          <w:sz w:val="24"/>
          <w:szCs w:val="24"/>
        </w:rPr>
        <w:t>LA TRIGÉSIMA SEXTA SESIÓN ORDINARIA DEL NUEVE DE OCTU</w:t>
      </w:r>
      <w:r>
        <w:rPr>
          <w:rFonts w:ascii="Palatino Linotype" w:eastAsia="Palatino Linotype" w:hAnsi="Palatino Linotype" w:cs="Palatino Linotype"/>
          <w:b/>
          <w:color w:val="000000"/>
          <w:sz w:val="24"/>
          <w:szCs w:val="24"/>
        </w:rPr>
        <w:t xml:space="preserve">BRE DE DOS MIL VEINTICUATRO, </w:t>
      </w:r>
      <w:r>
        <w:rPr>
          <w:rFonts w:ascii="Palatino Linotype" w:eastAsia="Palatino Linotype" w:hAnsi="Palatino Linotype" w:cs="Palatino Linotype"/>
          <w:b/>
          <w:sz w:val="24"/>
          <w:szCs w:val="24"/>
        </w:rPr>
        <w:t xml:space="preserve">EN EL RECURSO DE REVISIÓN </w:t>
      </w:r>
      <w:r w:rsidR="00884322" w:rsidRPr="00884322">
        <w:rPr>
          <w:rFonts w:ascii="Palatino Linotype" w:eastAsia="Palatino Linotype" w:hAnsi="Palatino Linotype" w:cs="Palatino Linotype"/>
          <w:b/>
          <w:sz w:val="24"/>
          <w:szCs w:val="24"/>
        </w:rPr>
        <w:t>0</w:t>
      </w:r>
      <w:r w:rsidR="00B7040D">
        <w:rPr>
          <w:rFonts w:ascii="Palatino Linotype" w:eastAsia="Palatino Linotype" w:hAnsi="Palatino Linotype" w:cs="Palatino Linotype"/>
          <w:b/>
          <w:sz w:val="24"/>
          <w:szCs w:val="24"/>
        </w:rPr>
        <w:t>5069</w:t>
      </w:r>
      <w:r w:rsidR="00884322" w:rsidRPr="00884322">
        <w:rPr>
          <w:rFonts w:ascii="Palatino Linotype" w:eastAsia="Palatino Linotype" w:hAnsi="Palatino Linotype" w:cs="Palatino Linotype"/>
          <w:b/>
          <w:sz w:val="24"/>
          <w:szCs w:val="24"/>
        </w:rPr>
        <w:t>/INFOEM/IP/RR/2024</w:t>
      </w:r>
      <w:r>
        <w:rPr>
          <w:rFonts w:ascii="Palatino Linotype" w:eastAsia="Palatino Linotype" w:hAnsi="Palatino Linotype" w:cs="Palatino Linotype"/>
          <w:b/>
          <w:sz w:val="24"/>
          <w:szCs w:val="24"/>
        </w:rPr>
        <w:t xml:space="preserve">.     </w:t>
      </w:r>
      <w:bookmarkStart w:id="2" w:name="_heading=h.1t3h5sf" w:colFirst="0" w:colLast="0"/>
      <w:bookmarkEnd w:id="2"/>
    </w:p>
    <w:p w14:paraId="20997B72" w14:textId="111B748D" w:rsidR="00E95837" w:rsidRDefault="003B2387" w:rsidP="00BF5B6F">
      <w:pPr>
        <w:spacing w:before="240" w:after="240" w:line="360" w:lineRule="auto"/>
        <w:ind w:right="-142"/>
        <w:jc w:val="both"/>
        <w:rPr>
          <w:rFonts w:ascii="Palatino Linotype" w:eastAsia="Palatino Linotype" w:hAnsi="Palatino Linotype" w:cs="Palatino Linotype"/>
          <w:b/>
        </w:rPr>
      </w:pPr>
      <w:r>
        <w:rPr>
          <w:rFonts w:ascii="Palatino Linotype" w:eastAsia="Palatino Linotype" w:hAnsi="Palatino Linotype" w:cs="Palatino Linotype"/>
        </w:rPr>
        <w:t xml:space="preserve">Pleno del Instituto de Transparencia, Acceso a la Información Pública y Protección de Datos Personales del Estado de México resolvió por unanimidad de votos, la Resolución relativa al Recurso de Revisión </w:t>
      </w:r>
      <w:r w:rsidR="00884322" w:rsidRPr="00884322">
        <w:rPr>
          <w:rFonts w:ascii="Palatino Linotype" w:eastAsia="Palatino Linotype" w:hAnsi="Palatino Linotype" w:cs="Palatino Linotype"/>
          <w:b/>
        </w:rPr>
        <w:t>0</w:t>
      </w:r>
      <w:r w:rsidR="00B7040D">
        <w:rPr>
          <w:rFonts w:ascii="Palatino Linotype" w:eastAsia="Palatino Linotype" w:hAnsi="Palatino Linotype" w:cs="Palatino Linotype"/>
          <w:b/>
        </w:rPr>
        <w:t>5069</w:t>
      </w:r>
      <w:r w:rsidR="00884322" w:rsidRPr="00884322">
        <w:rPr>
          <w:rFonts w:ascii="Palatino Linotype" w:eastAsia="Palatino Linotype" w:hAnsi="Palatino Linotype" w:cs="Palatino Linotype"/>
          <w:b/>
        </w:rPr>
        <w:t>/INFOEM/IP/RR/2024</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3B2186E0" w14:textId="7C80981A" w:rsidR="00E95837" w:rsidRDefault="003B2387">
      <w:pPr>
        <w:spacing w:after="0" w:line="360" w:lineRule="auto"/>
        <w:jc w:val="both"/>
        <w:rPr>
          <w:rFonts w:ascii="Palatino Linotype" w:eastAsia="Palatino Linotype" w:hAnsi="Palatino Linotype" w:cs="Palatino Linotype"/>
        </w:rPr>
      </w:pPr>
      <w:bookmarkStart w:id="3" w:name="_heading=h.4d34og8" w:colFirst="0" w:colLast="0"/>
      <w:bookmarkEnd w:id="3"/>
      <w:r>
        <w:rPr>
          <w:rFonts w:ascii="Palatino Linotype" w:eastAsia="Palatino Linotype" w:hAnsi="Palatino Linotype" w:cs="Palatino Linotype"/>
        </w:rPr>
        <w:t>Al respecto, resulta importante señalar que coincido con los términos generales planteados en la Resolución, no obstante, considero que en el caso de</w:t>
      </w:r>
      <w:r w:rsidR="0003413F">
        <w:rPr>
          <w:rFonts w:ascii="Palatino Linotype" w:eastAsia="Palatino Linotype" w:hAnsi="Palatino Linotype" w:cs="Palatino Linotype"/>
        </w:rPr>
        <w:t xml:space="preserve"> la </w:t>
      </w:r>
      <w:r w:rsidR="00884322" w:rsidRPr="00884322">
        <w:rPr>
          <w:rFonts w:ascii="Palatino Linotype" w:eastAsia="Palatino Linotype" w:hAnsi="Palatino Linotype" w:cs="Palatino Linotype"/>
        </w:rPr>
        <w:t xml:space="preserve">nómina de </w:t>
      </w:r>
      <w:r w:rsidR="00884322">
        <w:rPr>
          <w:rFonts w:ascii="Palatino Linotype" w:eastAsia="Palatino Linotype" w:hAnsi="Palatino Linotype" w:cs="Palatino Linotype"/>
        </w:rPr>
        <w:t>los p</w:t>
      </w:r>
      <w:r w:rsidR="00884322" w:rsidRPr="00884322">
        <w:rPr>
          <w:rFonts w:ascii="Palatino Linotype" w:eastAsia="Palatino Linotype" w:hAnsi="Palatino Linotype" w:cs="Palatino Linotype"/>
        </w:rPr>
        <w:t>olicías adscri</w:t>
      </w:r>
      <w:r w:rsidR="00884322">
        <w:rPr>
          <w:rFonts w:ascii="Palatino Linotype" w:eastAsia="Palatino Linotype" w:hAnsi="Palatino Linotype" w:cs="Palatino Linotype"/>
        </w:rPr>
        <w:t xml:space="preserve">tos a la Dirección de Seguridad </w:t>
      </w:r>
      <w:r w:rsidR="00884322" w:rsidRPr="00884322">
        <w:rPr>
          <w:rFonts w:ascii="Palatino Linotype" w:eastAsia="Palatino Linotype" w:hAnsi="Palatino Linotype" w:cs="Palatino Linotype"/>
        </w:rPr>
        <w:t>Pública</w:t>
      </w:r>
      <w:r w:rsidR="00460C88">
        <w:rPr>
          <w:rFonts w:ascii="Palatino Linotype" w:eastAsia="Palatino Linotype" w:hAnsi="Palatino Linotype" w:cs="Palatino Linotype"/>
        </w:rPr>
        <w:t xml:space="preserve"> y Vialidad </w:t>
      </w:r>
      <w:r w:rsidR="00884322" w:rsidRPr="00884322">
        <w:rPr>
          <w:rFonts w:ascii="Palatino Linotype" w:eastAsia="Palatino Linotype" w:hAnsi="Palatino Linotype" w:cs="Palatino Linotype"/>
        </w:rPr>
        <w:t>Municipa</w:t>
      </w:r>
      <w:r w:rsidR="00884322">
        <w:rPr>
          <w:rFonts w:ascii="Palatino Linotype" w:eastAsia="Palatino Linotype" w:hAnsi="Palatino Linotype" w:cs="Palatino Linotype"/>
        </w:rPr>
        <w:t xml:space="preserve">l del Ayuntamiento de </w:t>
      </w:r>
      <w:r w:rsidR="0003413F">
        <w:rPr>
          <w:rFonts w:ascii="Palatino Linotype" w:eastAsia="Palatino Linotype" w:hAnsi="Palatino Linotype" w:cs="Palatino Linotype"/>
        </w:rPr>
        <w:t xml:space="preserve">Tenango del Aire </w:t>
      </w:r>
      <w:r>
        <w:rPr>
          <w:rFonts w:ascii="Palatino Linotype" w:eastAsia="Palatino Linotype" w:hAnsi="Palatino Linotype" w:cs="Palatino Linotype"/>
        </w:rPr>
        <w:t xml:space="preserve">deben tomarse en cuenta las consideraciones que a continuación se exponen. </w:t>
      </w:r>
    </w:p>
    <w:p w14:paraId="10401DA3" w14:textId="77777777" w:rsidR="00E95837" w:rsidRDefault="00E95837">
      <w:pPr>
        <w:spacing w:after="0" w:line="360" w:lineRule="auto"/>
        <w:jc w:val="both"/>
        <w:rPr>
          <w:rFonts w:ascii="Palatino Linotype" w:eastAsia="Palatino Linotype" w:hAnsi="Palatino Linotype" w:cs="Palatino Linotype"/>
        </w:rPr>
      </w:pPr>
    </w:p>
    <w:p w14:paraId="06BDBD07" w14:textId="77777777" w:rsidR="00E95837" w:rsidRDefault="003B238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Sobre este punto, debemos partir desde la máxima establecida en nuestro texto Constitucional Federal pues el artículo 21 en su párrafo noveno reconoce que la seguridad pública es una función del Estado a cargo de la Federación, las Entidades Federativas y </w:t>
      </w:r>
      <w:r>
        <w:rPr>
          <w:rFonts w:ascii="Palatino Linotype" w:eastAsia="Palatino Linotype" w:hAnsi="Palatino Linotype" w:cs="Palatino Linotype"/>
          <w:b/>
        </w:rPr>
        <w:t>los Municipios</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cuyos fines son </w:t>
      </w:r>
      <w:r>
        <w:rPr>
          <w:rFonts w:ascii="Palatino Linotype" w:eastAsia="Palatino Linotype" w:hAnsi="Palatino Linotype" w:cs="Palatino Linotype"/>
          <w:b/>
        </w:rPr>
        <w:lastRenderedPageBreak/>
        <w:t>salvaguardar la vida, las libertades, la integridad y el patrimonio de las personas, así como contribuir a la generación y preservación del orden público y la paz social</w:t>
      </w:r>
      <w:r>
        <w:rPr>
          <w:rFonts w:ascii="Palatino Linotype" w:eastAsia="Palatino Linotype" w:hAnsi="Palatino Linotype" w:cs="Palatino Linotype"/>
        </w:rPr>
        <w:t xml:space="preserve">. </w:t>
      </w:r>
    </w:p>
    <w:p w14:paraId="38095B9B" w14:textId="77777777" w:rsidR="00E95837" w:rsidRDefault="00E95837">
      <w:pPr>
        <w:spacing w:after="0" w:line="360" w:lineRule="auto"/>
        <w:jc w:val="both"/>
        <w:rPr>
          <w:rFonts w:ascii="Palatino Linotype" w:eastAsia="Palatino Linotype" w:hAnsi="Palatino Linotype" w:cs="Palatino Linotype"/>
        </w:rPr>
      </w:pPr>
    </w:p>
    <w:p w14:paraId="5A0C2DA3" w14:textId="77777777" w:rsidR="00E95837" w:rsidRDefault="003B238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señala que la actuación de las instituciones de seguridad pública se regirá por los principios de legalidad, objetividad, eficiencia, profesionalismo, honradez y respeto a los derechos humanos.</w:t>
      </w:r>
    </w:p>
    <w:p w14:paraId="203FA860" w14:textId="77777777" w:rsidR="00E95837" w:rsidRDefault="00E95837">
      <w:pPr>
        <w:spacing w:after="0" w:line="360" w:lineRule="auto"/>
        <w:jc w:val="both"/>
        <w:rPr>
          <w:rFonts w:ascii="Palatino Linotype" w:eastAsia="Palatino Linotype" w:hAnsi="Palatino Linotype" w:cs="Palatino Linotype"/>
        </w:rPr>
      </w:pPr>
    </w:p>
    <w:p w14:paraId="452B1C67" w14:textId="77777777" w:rsidR="00E95837" w:rsidRDefault="003B238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Dicha circunstancia es replicada por la Ley de Seguridad del Estado de México en su artículo 1, fracciones II, III y V, las cuales señalan que dicho ordenamiento es de orden público, de interés social y de observancia general en todo el territorio del Estado de México y tiene por objeto establecer las bases de coordinación del Estado y los Municipios con la Federación, las Entidades Federativas, Municipios y Alcaldías de la Ciudad de México; integrar el Sistema Estatal de Seguridad Pública, que a su vez contribuirá con el Sistema Nacional de Seguridad Pública; para la construcción de las bases para una plena seguridad ciudadana.</w:t>
      </w:r>
    </w:p>
    <w:p w14:paraId="21ED77BB" w14:textId="77777777" w:rsidR="00E95837" w:rsidRDefault="00E95837">
      <w:pPr>
        <w:spacing w:after="0" w:line="360" w:lineRule="auto"/>
        <w:jc w:val="both"/>
        <w:rPr>
          <w:rFonts w:ascii="Palatino Linotype" w:eastAsia="Palatino Linotype" w:hAnsi="Palatino Linotype" w:cs="Palatino Linotype"/>
        </w:rPr>
      </w:pPr>
    </w:p>
    <w:p w14:paraId="2E171262" w14:textId="77777777" w:rsidR="00E95837" w:rsidRDefault="003B238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 tal suerte que con lo señalado hasta este punto se advierte que la finalidad de la función de seguridad pública indudablemente tienen como eje central a la persona humana y, por ende, contribuyen al establecimiento de la seguridad ciudadana, la cual tiene por objeto proteger a las personas; asegurar el ejercicio de su ciudadanía, sus libertades y derechos fundamentales; establecer espacios de participación social corresponsable y armónica; propiciar la solución pacífica de los conflictos interpersonales y sociales; fortalecer a las instituciones, y propiciar condiciones durables que permitan a los ciudadanos desarrollar sus capacidades, en un ambiente de paz y democracia.</w:t>
      </w:r>
    </w:p>
    <w:p w14:paraId="4628FE16" w14:textId="77777777" w:rsidR="00E95837" w:rsidRDefault="00E95837">
      <w:pPr>
        <w:spacing w:after="0" w:line="360" w:lineRule="auto"/>
        <w:jc w:val="both"/>
        <w:rPr>
          <w:rFonts w:ascii="Palatino Linotype" w:eastAsia="Palatino Linotype" w:hAnsi="Palatino Linotype" w:cs="Palatino Linotype"/>
        </w:rPr>
      </w:pPr>
    </w:p>
    <w:p w14:paraId="2DA86C95" w14:textId="77777777" w:rsidR="00E95837" w:rsidRDefault="003B2387">
      <w:pPr>
        <w:spacing w:after="0" w:line="360" w:lineRule="auto"/>
        <w:jc w:val="both"/>
        <w:rPr>
          <w:rFonts w:ascii="Palatino Linotype" w:eastAsia="Palatino Linotype" w:hAnsi="Palatino Linotype" w:cs="Palatino Linotype"/>
        </w:rPr>
      </w:pPr>
      <w:bookmarkStart w:id="4" w:name="_heading=h.gjdgxs" w:colFirst="0" w:colLast="0"/>
      <w:bookmarkEnd w:id="4"/>
      <w:r>
        <w:rPr>
          <w:rFonts w:ascii="Palatino Linotype" w:eastAsia="Palatino Linotype" w:hAnsi="Palatino Linotype" w:cs="Palatino Linotype"/>
        </w:rPr>
        <w:lastRenderedPageBreak/>
        <w:t xml:space="preserve">Una vez acreditado el objeto de la seguridad pública, así como los sujetos encargados de ejecutar las acciones para consumar esta función, podemos observar con claridad la importancia de los elementos operativos que ejecutan estas acciones encaminadas a preservar el orden dentro de la dinámica social y podemos partir de este punto para determinar el riesgo de la divulgación de esta información y por ende, la procedencia de su clasificación como información reservada. </w:t>
      </w:r>
    </w:p>
    <w:p w14:paraId="315A5AC2" w14:textId="77777777" w:rsidR="00E95837" w:rsidRDefault="00E95837">
      <w:pPr>
        <w:spacing w:after="0" w:line="360" w:lineRule="auto"/>
        <w:jc w:val="both"/>
        <w:rPr>
          <w:rFonts w:ascii="Palatino Linotype" w:eastAsia="Palatino Linotype" w:hAnsi="Palatino Linotype" w:cs="Palatino Linotype"/>
        </w:rPr>
      </w:pPr>
    </w:p>
    <w:p w14:paraId="72589B04" w14:textId="77777777" w:rsidR="00E95837" w:rsidRDefault="003B238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primer momento podemos vislumbrar que el artículo 81, fracción II de la Ley de Seguridad del Estado de México dispone de manera expresa que toda información para la seguridad pública generada o en poder de Instituciones de Seguridad Pública o de cualquier instancia del Sistema Estatal debe clasificarse, sirve de referencia la siguiente cita:</w:t>
      </w:r>
    </w:p>
    <w:p w14:paraId="4C3FE0CA" w14:textId="77777777" w:rsidR="00E95837" w:rsidRDefault="00E95837">
      <w:pPr>
        <w:spacing w:after="0" w:line="240" w:lineRule="auto"/>
        <w:ind w:left="851" w:right="900"/>
        <w:jc w:val="both"/>
        <w:rPr>
          <w:rFonts w:ascii="Palatino Linotype" w:eastAsia="Palatino Linotype" w:hAnsi="Palatino Linotype" w:cs="Palatino Linotype"/>
          <w:i/>
        </w:rPr>
      </w:pPr>
    </w:p>
    <w:p w14:paraId="499F746F" w14:textId="77777777" w:rsidR="00E95837" w:rsidRDefault="003B2387">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81.-</w:t>
      </w:r>
      <w:r>
        <w:rPr>
          <w:rFonts w:ascii="Palatino Linotype" w:eastAsia="Palatino Linotype" w:hAnsi="Palatino Linotype" w:cs="Palatino Linotype"/>
          <w:i/>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w:t>
      </w:r>
    </w:p>
    <w:p w14:paraId="05429201" w14:textId="77777777" w:rsidR="00E95837" w:rsidRDefault="003B2387">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65E7F55F" w14:textId="77777777" w:rsidR="00E95837" w:rsidRDefault="003B2387">
      <w:pPr>
        <w:spacing w:after="0" w:line="240" w:lineRule="auto"/>
        <w:ind w:left="851" w:right="900"/>
        <w:jc w:val="both"/>
        <w:rPr>
          <w:rFonts w:ascii="Palatino Linotype" w:eastAsia="Palatino Linotype" w:hAnsi="Palatino Linotype" w:cs="Palatino Linotype"/>
          <w:i/>
        </w:rPr>
      </w:pPr>
      <w:bookmarkStart w:id="5" w:name="_heading=h.2et92p0" w:colFirst="0" w:colLast="0"/>
      <w:bookmarkEnd w:id="5"/>
      <w:r>
        <w:rPr>
          <w:rFonts w:ascii="Palatino Linotype" w:eastAsia="Palatino Linotype" w:hAnsi="Palatino Linotype" w:cs="Palatino Linotype"/>
          <w:b/>
          <w:i/>
          <w:u w:val="single"/>
        </w:rPr>
        <w:t>II. Aquella cuya revelación pueda ser utilizada para actualizar o potenciar una amenaza a la seguridad pública o a las instituciones del Estado de México;</w:t>
      </w:r>
      <w:r>
        <w:rPr>
          <w:rFonts w:ascii="Palatino Linotype" w:eastAsia="Palatino Linotype" w:hAnsi="Palatino Linotype" w:cs="Palatino Linotype"/>
          <w:b/>
          <w:i/>
        </w:rPr>
        <w:t xml:space="preserve">” </w:t>
      </w:r>
    </w:p>
    <w:p w14:paraId="0EBD2285" w14:textId="77777777" w:rsidR="00E95837" w:rsidRDefault="00E95837">
      <w:pPr>
        <w:spacing w:after="0" w:line="360" w:lineRule="auto"/>
        <w:ind w:left="567" w:right="990"/>
        <w:jc w:val="both"/>
        <w:rPr>
          <w:rFonts w:ascii="Palatino Linotype" w:eastAsia="Palatino Linotype" w:hAnsi="Palatino Linotype" w:cs="Palatino Linotype"/>
          <w:b/>
          <w:i/>
          <w:u w:val="single"/>
        </w:rPr>
      </w:pPr>
    </w:p>
    <w:p w14:paraId="08E1F61A" w14:textId="77777777" w:rsidR="00E95837" w:rsidRDefault="003B238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armonía con esta disposición normativa, la Ley General de Transparencia y Acceso a la Información Pública, en su artículo 113, fracción I señala que deberá reservarse la información que con su publicación se comprometa a la seguridad pública y cuente con un efecto demostrable, posteriormente el artículo 140 fracción I de la Ley de Transparencia Local replica esta circunstancia de reserva, que señalan: </w:t>
      </w:r>
    </w:p>
    <w:p w14:paraId="5FAAF63F" w14:textId="77777777" w:rsidR="00E95837" w:rsidRDefault="00E95837">
      <w:pPr>
        <w:tabs>
          <w:tab w:val="left" w:pos="284"/>
        </w:tabs>
        <w:spacing w:after="0" w:line="240" w:lineRule="auto"/>
        <w:ind w:left="567" w:right="709"/>
        <w:jc w:val="both"/>
        <w:rPr>
          <w:rFonts w:ascii="Palatino Linotype" w:eastAsia="Palatino Linotype" w:hAnsi="Palatino Linotype" w:cs="Palatino Linotype"/>
          <w:i/>
        </w:rPr>
      </w:pPr>
    </w:p>
    <w:p w14:paraId="3CB5AE92" w14:textId="77777777" w:rsidR="00E95837" w:rsidRDefault="003B2387" w:rsidP="006E36E2">
      <w:pPr>
        <w:spacing w:after="120" w:line="360" w:lineRule="auto"/>
        <w:ind w:left="851" w:right="1417"/>
        <w:jc w:val="both"/>
        <w:rPr>
          <w:rFonts w:ascii="Palatino Linotype" w:eastAsia="Palatino Linotype" w:hAnsi="Palatino Linotype" w:cs="Palatino Linotype"/>
          <w:b/>
        </w:rPr>
      </w:pPr>
      <w:r>
        <w:rPr>
          <w:rFonts w:ascii="Palatino Linotype" w:eastAsia="Palatino Linotype" w:hAnsi="Palatino Linotype" w:cs="Palatino Linotype"/>
          <w:b/>
        </w:rPr>
        <w:t>“Ley General de Transparencia y Acceso a la Información Pública:</w:t>
      </w:r>
    </w:p>
    <w:p w14:paraId="20F6EF28" w14:textId="77777777" w:rsidR="00E95837" w:rsidRDefault="003B2387" w:rsidP="006E36E2">
      <w:pPr>
        <w:spacing w:after="120" w:line="276" w:lineRule="auto"/>
        <w:ind w:left="851" w:right="1417"/>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Artículo 113</w:t>
      </w:r>
      <w:r>
        <w:rPr>
          <w:rFonts w:ascii="Palatino Linotype" w:eastAsia="Palatino Linotype" w:hAnsi="Palatino Linotype" w:cs="Palatino Linotype"/>
          <w:i/>
        </w:rPr>
        <w:t>. Como información reservada podrá clasificarse aquella cuya publicación:</w:t>
      </w:r>
    </w:p>
    <w:p w14:paraId="3C419C63" w14:textId="77777777" w:rsidR="00E95837" w:rsidRDefault="003B2387" w:rsidP="006E36E2">
      <w:pPr>
        <w:spacing w:after="120" w:line="276" w:lineRule="auto"/>
        <w:ind w:left="851" w:right="1417"/>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nacional, la seguridad pública o la defensa nacional y cuente con un propósito genuino y un efecto demostrable</w:t>
      </w:r>
      <w:r>
        <w:rPr>
          <w:rFonts w:ascii="Palatino Linotype" w:eastAsia="Palatino Linotype" w:hAnsi="Palatino Linotype" w:cs="Palatino Linotype"/>
          <w:i/>
        </w:rPr>
        <w:t>;”</w:t>
      </w:r>
    </w:p>
    <w:p w14:paraId="3C19470D" w14:textId="77777777" w:rsidR="00E95837" w:rsidRDefault="003B2387" w:rsidP="006E36E2">
      <w:pPr>
        <w:spacing w:after="120" w:line="276" w:lineRule="auto"/>
        <w:ind w:left="851" w:right="1417"/>
        <w:jc w:val="both"/>
        <w:rPr>
          <w:rFonts w:ascii="Palatino Linotype" w:eastAsia="Palatino Linotype" w:hAnsi="Palatino Linotype" w:cs="Palatino Linotype"/>
          <w:b/>
        </w:rPr>
      </w:pPr>
      <w:r>
        <w:rPr>
          <w:rFonts w:ascii="Palatino Linotype" w:eastAsia="Palatino Linotype" w:hAnsi="Palatino Linotype" w:cs="Palatino Linotype"/>
          <w:b/>
        </w:rPr>
        <w:t xml:space="preserve">“Ley de Transparencia y Acceso a la Información Pública del Estado de México y Municipios: </w:t>
      </w:r>
    </w:p>
    <w:p w14:paraId="30C78355" w14:textId="77777777" w:rsidR="00E95837" w:rsidRDefault="003B2387" w:rsidP="006E36E2">
      <w:pPr>
        <w:spacing w:after="120" w:line="276" w:lineRule="auto"/>
        <w:ind w:left="851" w:right="1417"/>
        <w:jc w:val="both"/>
        <w:rPr>
          <w:rFonts w:ascii="Palatino Linotype" w:eastAsia="Palatino Linotype" w:hAnsi="Palatino Linotype" w:cs="Palatino Linotype"/>
          <w:i/>
        </w:rPr>
      </w:pPr>
      <w:r>
        <w:rPr>
          <w:rFonts w:ascii="Palatino Linotype" w:eastAsia="Palatino Linotype" w:hAnsi="Palatino Linotype" w:cs="Palatino Linotype"/>
          <w:b/>
          <w:i/>
        </w:rPr>
        <w:t>Artículo 140</w:t>
      </w:r>
      <w:r>
        <w:rPr>
          <w:rFonts w:ascii="Palatino Linotype" w:eastAsia="Palatino Linotype" w:hAnsi="Palatino Linotype" w:cs="Palatino Linotype"/>
          <w:i/>
        </w:rPr>
        <w:t>. El acceso a la información pública será restringido excepcionalmente, cuando por razones de interés público, ésta sea clasificada como reservada, conforme a los criterios siguientes:</w:t>
      </w:r>
    </w:p>
    <w:p w14:paraId="710623E6" w14:textId="77777777" w:rsidR="00E95837" w:rsidRDefault="003B2387" w:rsidP="006E36E2">
      <w:pPr>
        <w:spacing w:after="120" w:line="276" w:lineRule="auto"/>
        <w:ind w:left="851" w:right="1417"/>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pública y cuente con un propósito genuino y un efecto demostrable</w:t>
      </w:r>
      <w:r>
        <w:rPr>
          <w:rFonts w:ascii="Palatino Linotype" w:eastAsia="Palatino Linotype" w:hAnsi="Palatino Linotype" w:cs="Palatino Linotype"/>
          <w:i/>
        </w:rPr>
        <w:t>;”</w:t>
      </w:r>
    </w:p>
    <w:p w14:paraId="139C2E76" w14:textId="77777777" w:rsidR="00E95837" w:rsidRDefault="00E95837">
      <w:pPr>
        <w:spacing w:after="120" w:line="276" w:lineRule="auto"/>
        <w:ind w:left="567" w:right="900"/>
        <w:jc w:val="both"/>
        <w:rPr>
          <w:rFonts w:ascii="Palatino Linotype" w:eastAsia="Palatino Linotype" w:hAnsi="Palatino Linotype" w:cs="Palatino Linotype"/>
          <w:i/>
          <w:sz w:val="8"/>
          <w:szCs w:val="8"/>
        </w:rPr>
      </w:pPr>
    </w:p>
    <w:p w14:paraId="69AF1ABD" w14:textId="77777777" w:rsidR="00E95837" w:rsidRDefault="003B238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Correlativo a lo anterior, Lineamientos Generales en Materia de Clasificación y Desclasificación de la Información, así como para la Elaboración de Versiones Públicas, publicados el 16 de abril de 2016 y reformados el 18 de noviembre de 2022 señalan en su numeral décimo octavo que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w:t>
      </w:r>
    </w:p>
    <w:p w14:paraId="7DA1B580" w14:textId="77777777" w:rsidR="00E95837" w:rsidRDefault="00E95837">
      <w:pPr>
        <w:spacing w:after="0" w:line="360" w:lineRule="auto"/>
        <w:jc w:val="both"/>
        <w:rPr>
          <w:rFonts w:ascii="Palatino Linotype" w:eastAsia="Palatino Linotype" w:hAnsi="Palatino Linotype" w:cs="Palatino Linotype"/>
        </w:rPr>
      </w:pPr>
    </w:p>
    <w:p w14:paraId="3FBCDE78" w14:textId="77777777" w:rsidR="00E95837" w:rsidRDefault="003B238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crucial señalar que estos Lineamientos señalan </w:t>
      </w:r>
      <w:r>
        <w:rPr>
          <w:rFonts w:ascii="Palatino Linotype" w:eastAsia="Palatino Linotype" w:hAnsi="Palatino Linotype" w:cs="Palatino Linotype"/>
          <w:b/>
          <w:u w:val="single"/>
        </w:rPr>
        <w:t>que es susceptible de considerarse como reservada aquella que revele datos que pudieran ser aprovechados para conocer la capacidad de reacción de las instituciones encargadas de la seguridad pública</w:t>
      </w:r>
      <w:r>
        <w:rPr>
          <w:rFonts w:ascii="Palatino Linotype" w:eastAsia="Palatino Linotype" w:hAnsi="Palatino Linotype" w:cs="Palatino Linotype"/>
        </w:rPr>
        <w:t>, sus planes, estrategias, tecnología, información, sistemas de comunicaciones.</w:t>
      </w:r>
    </w:p>
    <w:p w14:paraId="4BAF7BE2" w14:textId="77777777" w:rsidR="00E95837" w:rsidRDefault="00E95837">
      <w:pPr>
        <w:spacing w:after="0" w:line="360" w:lineRule="auto"/>
        <w:jc w:val="both"/>
        <w:rPr>
          <w:rFonts w:ascii="Palatino Linotype" w:eastAsia="Palatino Linotype" w:hAnsi="Palatino Linotype" w:cs="Palatino Linotype"/>
        </w:rPr>
      </w:pPr>
    </w:p>
    <w:p w14:paraId="26306239" w14:textId="77777777" w:rsidR="00E95837" w:rsidRDefault="003B238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Hasta este punto tenemos que los instrumentos normativos que debemos observar en estricto sentido disponen puntualmente la reserva de información para los casos en los que se revele información que pueda ser empleada para conocer la capacidad de reacción, es decir, todo lo relativo a servidores públicos operativos que integran las instituciones de seguridad pública, ya que su divulgación podría ser utilizada para actualizar o potenciar una amenaza para la seguridad pública de la sociedad; teniendo esto en cuenta y trasladando estas premisas al caso particular se estima que con la entrega de información de los servidores públicos con funciones operativas adscritos a instituciones de seguridad pública, revela información actualizada sobre el número de policías operativos en activo a la fecha de la solicitud de información y en consecuencia su estado de fuerza vigente, lo cual no sólo contraviene lo dispuesto expresamente por las disposiciones previamente insertadas, sino que, además, pone en riesgo los valores jurídicos y los principios bajo los cuales de las instituciones de seguridad pública se debe regir como son la legalidad, objetividad, eficiencia, profesionalismo, honradez y respeto a los derechos humanos reconocidos en la Constitución General.</w:t>
      </w:r>
    </w:p>
    <w:p w14:paraId="2934E55F" w14:textId="77777777" w:rsidR="00E95837" w:rsidRDefault="00E95837">
      <w:pPr>
        <w:spacing w:after="0" w:line="360" w:lineRule="auto"/>
        <w:jc w:val="both"/>
        <w:rPr>
          <w:rFonts w:ascii="Palatino Linotype" w:eastAsia="Palatino Linotype" w:hAnsi="Palatino Linotype" w:cs="Palatino Linotype"/>
        </w:rPr>
      </w:pPr>
    </w:p>
    <w:p w14:paraId="6D503DFB" w14:textId="77777777" w:rsidR="00E95837" w:rsidRDefault="003B2387">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En conclusión, la reserva del personal operativo procede por dos circunstancias:</w:t>
      </w:r>
    </w:p>
    <w:p w14:paraId="3A66C989" w14:textId="77777777" w:rsidR="00E95837" w:rsidRDefault="003B2387" w:rsidP="006E36E2">
      <w:pPr>
        <w:spacing w:before="240" w:after="240" w:line="360" w:lineRule="auto"/>
        <w:ind w:left="284" w:right="1275"/>
        <w:jc w:val="both"/>
        <w:rPr>
          <w:rFonts w:ascii="Palatino Linotype" w:eastAsia="Palatino Linotype" w:hAnsi="Palatino Linotype" w:cs="Palatino Linotype"/>
        </w:rPr>
      </w:pPr>
      <w:r>
        <w:rPr>
          <w:rFonts w:ascii="Palatino Linotype" w:eastAsia="Palatino Linotype" w:hAnsi="Palatino Linotype" w:cs="Palatino Linotype"/>
        </w:rPr>
        <w:t xml:space="preserve">1. Se identifica en términos concretos cómo es que la información requerida podría comprometer el ejercicio de sus facultades constitucionales y, con ello, la seguridad pública, en virtud de que: </w:t>
      </w:r>
    </w:p>
    <w:p w14:paraId="144E5048" w14:textId="77777777" w:rsidR="00E95837" w:rsidRDefault="003B2387" w:rsidP="006E36E2">
      <w:pPr>
        <w:spacing w:before="240" w:after="240" w:line="360" w:lineRule="auto"/>
        <w:ind w:left="567" w:right="1275"/>
        <w:jc w:val="both"/>
        <w:rPr>
          <w:rFonts w:ascii="Palatino Linotype" w:eastAsia="Palatino Linotype" w:hAnsi="Palatino Linotype" w:cs="Palatino Linotype"/>
        </w:rPr>
      </w:pPr>
      <w:r>
        <w:rPr>
          <w:rFonts w:ascii="Palatino Linotype" w:eastAsia="Palatino Linotype" w:hAnsi="Palatino Linotype" w:cs="Palatino Linotype"/>
        </w:rPr>
        <w:t xml:space="preserve">a) La información podría ser aprovechada por los grupos criminales para conocer la capacidad de reacción </w:t>
      </w:r>
    </w:p>
    <w:p w14:paraId="1B6AA6E3" w14:textId="77777777" w:rsidR="00E95837" w:rsidRDefault="003B2387" w:rsidP="006E36E2">
      <w:pPr>
        <w:spacing w:before="240" w:after="240" w:line="360" w:lineRule="auto"/>
        <w:ind w:left="567" w:right="1275"/>
        <w:jc w:val="both"/>
        <w:rPr>
          <w:rFonts w:ascii="Palatino Linotype" w:eastAsia="Palatino Linotype" w:hAnsi="Palatino Linotype" w:cs="Palatino Linotype"/>
        </w:rPr>
      </w:pPr>
      <w:bookmarkStart w:id="6" w:name="_heading=h.1fob9te" w:colFirst="0" w:colLast="0"/>
      <w:bookmarkEnd w:id="6"/>
      <w:r>
        <w:rPr>
          <w:rFonts w:ascii="Palatino Linotype" w:eastAsia="Palatino Linotype" w:hAnsi="Palatino Linotype" w:cs="Palatino Linotype"/>
        </w:rPr>
        <w:t xml:space="preserve">b) Con dicha información se revelarían a detalle las características funcionales del personal y con ello, su organización para el cumplimiento de sus funciones; y </w:t>
      </w:r>
    </w:p>
    <w:p w14:paraId="659105F0" w14:textId="77777777" w:rsidR="00E95837" w:rsidRDefault="003B2387" w:rsidP="006E36E2">
      <w:pPr>
        <w:spacing w:before="240" w:after="240" w:line="360" w:lineRule="auto"/>
        <w:ind w:left="567" w:right="1275"/>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2. Existe una relación causal general entre la entrega de la información y la afectación a la seguridad pública, pues los grupos criminales estarían en posibilidad de obstaculizar o bloquear actividades encaminadas a preservar el orden dentro de la dinámica social. </w:t>
      </w:r>
    </w:p>
    <w:p w14:paraId="079DC03A" w14:textId="77777777" w:rsidR="00E95837" w:rsidRDefault="003B2387">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entre mayor información se dé a conocer respecto del </w:t>
      </w:r>
      <w:r>
        <w:rPr>
          <w:rFonts w:ascii="Palatino Linotype" w:eastAsia="Palatino Linotype" w:hAnsi="Palatino Linotype" w:cs="Palatino Linotype"/>
          <w:b/>
          <w:i/>
        </w:rPr>
        <w:t xml:space="preserve">estado de fuerza </w:t>
      </w:r>
      <w:r>
        <w:rPr>
          <w:rFonts w:ascii="Palatino Linotype" w:eastAsia="Palatino Linotype" w:hAnsi="Palatino Linotype" w:cs="Palatino Linotype"/>
        </w:rPr>
        <w:t xml:space="preserve">con que cuentan </w:t>
      </w:r>
      <w:proofErr w:type="gramStart"/>
      <w:r>
        <w:rPr>
          <w:rFonts w:ascii="Palatino Linotype" w:eastAsia="Palatino Linotype" w:hAnsi="Palatino Linotype" w:cs="Palatino Linotype"/>
        </w:rPr>
        <w:t>el</w:t>
      </w:r>
      <w:proofErr w:type="gramEnd"/>
      <w:r>
        <w:rPr>
          <w:rFonts w:ascii="Palatino Linotype" w:eastAsia="Palatino Linotype" w:hAnsi="Palatino Linotype" w:cs="Palatino Linotype"/>
        </w:rPr>
        <w:t xml:space="preserve"> Estado y Municipios, mayor es la probabilidad de que la información pueda implementarse como medio para actualizar o potenciar una amenaza en contra de la seguridad pública de los mismos.</w:t>
      </w:r>
    </w:p>
    <w:p w14:paraId="49E42419" w14:textId="77777777" w:rsidR="00E95837" w:rsidRDefault="003B2387">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14:paraId="5049A14E" w14:textId="77777777" w:rsidR="00E95837" w:rsidRDefault="003B2387">
      <w:pP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No pasa inadvertido para la suscrita que en los casos en los que se publiciten diversas notas o documentos en los que se dé a conocer información estadística sobre el número de elementos de policía con los que cuentan los ayuntamientos, esta información no se encuentra actualizada, aunado a que no se hace una distinción entre el número de personal operativo y administrativo.</w:t>
      </w:r>
    </w:p>
    <w:p w14:paraId="33BE1F74" w14:textId="77777777" w:rsidR="00E95837" w:rsidRDefault="00E95837">
      <w:pPr>
        <w:spacing w:after="0" w:line="360" w:lineRule="auto"/>
        <w:ind w:right="139"/>
        <w:jc w:val="both"/>
        <w:rPr>
          <w:rFonts w:ascii="Palatino Linotype" w:eastAsia="Palatino Linotype" w:hAnsi="Palatino Linotype" w:cs="Palatino Linotype"/>
        </w:rPr>
      </w:pPr>
    </w:p>
    <w:p w14:paraId="1FC9711F" w14:textId="77777777" w:rsidR="00E95837" w:rsidRPr="007D0E8A" w:rsidRDefault="003B2387" w:rsidP="007D0E8A">
      <w:pPr>
        <w:spacing w:after="0" w:line="360" w:lineRule="auto"/>
        <w:jc w:val="both"/>
        <w:rPr>
          <w:rFonts w:ascii="Palatino Linotype" w:eastAsia="Palatino Linotype" w:hAnsi="Palatino Linotype" w:cs="Palatino Linotype"/>
        </w:rPr>
      </w:pPr>
      <w:bookmarkStart w:id="7" w:name="_heading=h.tyjcwt" w:colFirst="0" w:colLast="0"/>
      <w:bookmarkEnd w:id="7"/>
      <w:r>
        <w:rPr>
          <w:rFonts w:ascii="Palatino Linotype" w:eastAsia="Palatino Linotype" w:hAnsi="Palatino Linotype" w:cs="Palatino Linotype"/>
        </w:rPr>
        <w:t>En consecuencia, la información de los elementos operativos adscritos a instituciones de seguridad pública,  deben recibir un tratamiento de carácter excepcional, y esto es en razón de que,  son los responsables de procurar el orden, la estabilidad y la defensa de la sociedad a la que pertenecen, por lo que, se estima que al proporcionar documentales en las que se aprecie dicha información se revela el número de servidores públicos operativos con funciones de seguridad pública activos en el Sujeto obligado; información con la que se da a conocer el estado de fuerza y la capacidad de reacción del órgano público.</w:t>
      </w:r>
      <w:bookmarkStart w:id="8" w:name="_heading=h.30j0zll" w:colFirst="0" w:colLast="0"/>
      <w:bookmarkStart w:id="9" w:name="_heading=h.3znysh7" w:colFirst="0" w:colLast="0"/>
      <w:bookmarkEnd w:id="8"/>
      <w:bookmarkEnd w:id="9"/>
    </w:p>
    <w:p w14:paraId="0E056CC9" w14:textId="77777777" w:rsidR="00DE0C32" w:rsidRPr="00DE0C32" w:rsidRDefault="007D0E8A" w:rsidP="00DE0C32">
      <w:pPr>
        <w:spacing w:before="240" w:after="240" w:line="360" w:lineRule="auto"/>
        <w:jc w:val="both"/>
        <w:rPr>
          <w:rFonts w:ascii="Palatino Linotype" w:eastAsia="Palatino Linotype" w:hAnsi="Palatino Linotype" w:cs="Palatino Linotype"/>
        </w:rPr>
      </w:pPr>
      <w:r w:rsidRPr="007D0E8A">
        <w:rPr>
          <w:rFonts w:ascii="Palatino Linotype" w:eastAsia="Palatino Linotype" w:hAnsi="Palatino Linotype" w:cs="Palatino Linotype"/>
        </w:rPr>
        <w:t xml:space="preserve">Ahora bien, la suscrita considera que es de vital importancia señalar que para los casos en los que los particulares deseen conocer las remuneraciones de los elementos operativos de las instituciones de seguridad pública, estas se pueden otorgar mediante el tabulador de sueldos, pues en este soporte </w:t>
      </w:r>
      <w:r w:rsidRPr="007D0E8A">
        <w:rPr>
          <w:rFonts w:ascii="Palatino Linotype" w:eastAsia="Palatino Linotype" w:hAnsi="Palatino Linotype" w:cs="Palatino Linotype"/>
        </w:rPr>
        <w:lastRenderedPageBreak/>
        <w:t xml:space="preserve">se asientan los puestos funcionales y las remuneraciones, lo anterior encuentra sustento en el Instructivo del módulo 4 </w:t>
      </w:r>
      <w:r w:rsidRPr="00DE0C32">
        <w:rPr>
          <w:rFonts w:ascii="Palatino Linotype" w:eastAsia="Palatino Linotype" w:hAnsi="Palatino Linotype" w:cs="Palatino Linotype"/>
        </w:rPr>
        <w:t>para la ent</w:t>
      </w:r>
      <w:r w:rsidR="00DE0C32" w:rsidRPr="00DE0C32">
        <w:rPr>
          <w:rFonts w:ascii="Palatino Linotype" w:eastAsia="Palatino Linotype" w:hAnsi="Palatino Linotype" w:cs="Palatino Linotype"/>
        </w:rPr>
        <w:t>rega del informe trimestral 2024, el cual establece que en dicho documento obran los siguientes elementos:</w:t>
      </w:r>
    </w:p>
    <w:p w14:paraId="012B092E" w14:textId="342F2A7E" w:rsidR="00DE0C32" w:rsidRDefault="00B969AD" w:rsidP="00DE0C32">
      <w:pPr>
        <w:spacing w:after="0" w:line="360" w:lineRule="auto"/>
        <w:jc w:val="center"/>
        <w:rPr>
          <w:rFonts w:ascii="Palatino Linotype" w:eastAsia="Palatino Linotype" w:hAnsi="Palatino Linotype" w:cs="Palatino Linotype"/>
          <w:sz w:val="24"/>
          <w:szCs w:val="24"/>
        </w:rPr>
      </w:pPr>
      <w:r>
        <w:rPr>
          <w:rFonts w:ascii="Palatino Linotype" w:hAnsi="Palatino Linotype"/>
          <w:noProof/>
          <w:color w:val="000000"/>
          <w:bdr w:val="single" w:sz="2" w:space="0" w:color="000000" w:frame="1"/>
        </w:rPr>
        <w:drawing>
          <wp:inline distT="0" distB="0" distL="0" distR="0" wp14:anchorId="21F6EF6A" wp14:editId="04189935">
            <wp:extent cx="5060450" cy="5762625"/>
            <wp:effectExtent l="0" t="0" r="6985" b="0"/>
            <wp:docPr id="2012602692"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602692" name="Imagen 1" descr="Tabla&#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7179" cy="5850001"/>
                    </a:xfrm>
                    <a:prstGeom prst="rect">
                      <a:avLst/>
                    </a:prstGeom>
                    <a:noFill/>
                    <a:ln>
                      <a:noFill/>
                    </a:ln>
                  </pic:spPr>
                </pic:pic>
              </a:graphicData>
            </a:graphic>
          </wp:inline>
        </w:drawing>
      </w:r>
    </w:p>
    <w:p w14:paraId="59F656A6" w14:textId="4EFF6F9B" w:rsidR="00DE0C32" w:rsidRDefault="00B969AD" w:rsidP="00B969AD">
      <w:pPr>
        <w:spacing w:after="0" w:line="360" w:lineRule="auto"/>
        <w:jc w:val="center"/>
        <w:rPr>
          <w:rFonts w:ascii="Palatino Linotype" w:eastAsia="Palatino Linotype" w:hAnsi="Palatino Linotype" w:cs="Palatino Linotype"/>
        </w:rPr>
      </w:pPr>
      <w:r>
        <w:rPr>
          <w:rFonts w:ascii="Palatino Linotype" w:hAnsi="Palatino Linotype"/>
          <w:noProof/>
          <w:color w:val="000000"/>
          <w:bdr w:val="single" w:sz="2" w:space="0" w:color="000000" w:frame="1"/>
        </w:rPr>
        <w:lastRenderedPageBreak/>
        <w:drawing>
          <wp:inline distT="0" distB="0" distL="0" distR="0" wp14:anchorId="0042DD2D" wp14:editId="08D99FE2">
            <wp:extent cx="4714875" cy="4257675"/>
            <wp:effectExtent l="0" t="0" r="9525" b="9525"/>
            <wp:docPr id="687282923"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282923" name="Imagen 2" descr="Text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4875" cy="4257675"/>
                    </a:xfrm>
                    <a:prstGeom prst="rect">
                      <a:avLst/>
                    </a:prstGeom>
                    <a:noFill/>
                    <a:ln>
                      <a:noFill/>
                    </a:ln>
                  </pic:spPr>
                </pic:pic>
              </a:graphicData>
            </a:graphic>
          </wp:inline>
        </w:drawing>
      </w:r>
      <w:bookmarkStart w:id="10" w:name="_heading=h.fald234fiuyg" w:colFirst="0" w:colLast="0"/>
      <w:bookmarkEnd w:id="10"/>
    </w:p>
    <w:p w14:paraId="4013FE0D" w14:textId="77777777" w:rsidR="00B969AD" w:rsidRDefault="00B969AD" w:rsidP="00B969AD">
      <w:pPr>
        <w:spacing w:after="0" w:line="360" w:lineRule="auto"/>
        <w:jc w:val="center"/>
        <w:rPr>
          <w:rFonts w:ascii="Palatino Linotype" w:eastAsia="Palatino Linotype" w:hAnsi="Palatino Linotype" w:cs="Palatino Linotype"/>
        </w:rPr>
      </w:pPr>
    </w:p>
    <w:p w14:paraId="5A66FC0A" w14:textId="77777777" w:rsidR="007D0E8A" w:rsidRPr="007D0E8A" w:rsidRDefault="007D0E8A" w:rsidP="007D0E8A">
      <w:pPr>
        <w:spacing w:after="0" w:line="360" w:lineRule="auto"/>
        <w:ind w:right="139"/>
        <w:jc w:val="both"/>
        <w:rPr>
          <w:rFonts w:ascii="Palatino Linotype" w:eastAsia="Palatino Linotype" w:hAnsi="Palatino Linotype" w:cs="Palatino Linotype"/>
        </w:rPr>
      </w:pPr>
      <w:r w:rsidRPr="007D0E8A">
        <w:rPr>
          <w:rFonts w:ascii="Palatino Linotype" w:eastAsia="Palatino Linotype" w:hAnsi="Palatino Linotype" w:cs="Palatino Linotype"/>
        </w:rPr>
        <w:t>De manera que con la consulta de este documento podrá visualizarse con claridad el cargo y la remuneración sin conocer el estado de fuerza de las entidades públicas y así no se restringe el derecho de acceso a la información de los particulares.</w:t>
      </w:r>
    </w:p>
    <w:p w14:paraId="3BDFEE64" w14:textId="77777777" w:rsidR="00E95837" w:rsidRDefault="00E95837">
      <w:pPr>
        <w:spacing w:after="0" w:line="360" w:lineRule="auto"/>
        <w:ind w:right="139"/>
        <w:jc w:val="both"/>
        <w:rPr>
          <w:rFonts w:ascii="Palatino Linotype" w:eastAsia="Palatino Linotype" w:hAnsi="Palatino Linotype" w:cs="Palatino Linotype"/>
        </w:rPr>
      </w:pPr>
    </w:p>
    <w:p w14:paraId="14CEEF06" w14:textId="77777777" w:rsidR="008A5E06" w:rsidRDefault="003B2387" w:rsidP="008A5E06">
      <w:pPr>
        <w:spacing w:after="0" w:line="360" w:lineRule="auto"/>
        <w:ind w:right="139"/>
        <w:jc w:val="both"/>
        <w:rPr>
          <w:rFonts w:ascii="Palatino Linotype" w:eastAsia="Palatino Linotype" w:hAnsi="Palatino Linotype" w:cs="Palatino Linotype"/>
        </w:rPr>
        <w:sectPr w:rsidR="008A5E06">
          <w:headerReference w:type="default" r:id="rId9"/>
          <w:footerReference w:type="default" r:id="rId10"/>
          <w:pgSz w:w="12240" w:h="15840"/>
          <w:pgMar w:top="1871" w:right="900" w:bottom="2835" w:left="1701" w:header="709" w:footer="584" w:gutter="0"/>
          <w:pgNumType w:start="1"/>
          <w:cols w:space="720"/>
        </w:sectPr>
      </w:pPr>
      <w:bookmarkStart w:id="11" w:name="_heading=h.jkaxn8mgxy7q" w:colFirst="0" w:colLast="0"/>
      <w:bookmarkEnd w:id="11"/>
      <w:r>
        <w:rPr>
          <w:rFonts w:ascii="Palatino Linotype" w:eastAsia="Palatino Linotype" w:hAnsi="Palatino Linotype" w:cs="Palatino Linotype"/>
        </w:rPr>
        <w:t xml:space="preserve">Es por todo lo anteriormente expuesto que considero que en las líneas argumentativas que anteceden, se acreditó de manera fehaciente que esta información debe ser reservada pues su entrega revela datos que pudieran ser aprovechados para conocer la capacidad de reacción de las instituciones encargadas de la seguridad pública y </w:t>
      </w:r>
      <w:r>
        <w:rPr>
          <w:rFonts w:ascii="Palatino Linotype" w:eastAsia="Palatino Linotype" w:hAnsi="Palatino Linotype" w:cs="Palatino Linotype"/>
          <w:b/>
          <w:u w:val="single"/>
        </w:rPr>
        <w:t xml:space="preserve">facilitaría a las células delictivas el neutralizar </w:t>
      </w:r>
      <w:r>
        <w:rPr>
          <w:rFonts w:ascii="Palatino Linotype" w:eastAsia="Palatino Linotype" w:hAnsi="Palatino Linotype" w:cs="Palatino Linotype"/>
          <w:b/>
          <w:u w:val="single"/>
        </w:rPr>
        <w:lastRenderedPageBreak/>
        <w:t xml:space="preserve">las acciones implementadas o por implementar para la preservación de la paz pública, afectando así su estado de fuerza, o bien les permita </w:t>
      </w:r>
      <w:r>
        <w:rPr>
          <w:rFonts w:ascii="Palatino Linotype" w:eastAsia="Palatino Linotype" w:hAnsi="Palatino Linotype" w:cs="Palatino Linotype"/>
        </w:rPr>
        <w:t>realizar actos para amenazar, inhibir, extorsionar o corromper las funciones del personal operativo, lo que causaría una vulneración a la Seguridad Municipal, por lo tanto la suscrita no comparte las consideraciones vertidas en la resolución respecto del tratamiento que se le da a la información relativa a elementos operativos de instituciones de seguridad pública, y  por ende formula el presente voto particular.</w:t>
      </w:r>
    </w:p>
    <w:p w14:paraId="4DDB3296" w14:textId="0930162A" w:rsidR="00E95837" w:rsidRDefault="00E95837" w:rsidP="008A5E06">
      <w:pPr>
        <w:spacing w:after="0" w:line="360" w:lineRule="auto"/>
        <w:ind w:right="139"/>
        <w:jc w:val="both"/>
        <w:rPr>
          <w:rFonts w:ascii="Palatino Linotype" w:eastAsia="Palatino Linotype" w:hAnsi="Palatino Linotype" w:cs="Palatino Linotype"/>
        </w:rPr>
      </w:pPr>
    </w:p>
    <w:sectPr w:rsidR="00E95837">
      <w:headerReference w:type="default" r:id="rId11"/>
      <w:footerReference w:type="default" r:id="rId12"/>
      <w:pgSz w:w="12240" w:h="15840"/>
      <w:pgMar w:top="1871" w:right="900" w:bottom="2835" w:left="1701" w:header="709" w:footer="5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369B0" w14:textId="77777777" w:rsidR="00335464" w:rsidRDefault="003B2387">
      <w:pPr>
        <w:spacing w:after="0" w:line="240" w:lineRule="auto"/>
      </w:pPr>
      <w:r>
        <w:separator/>
      </w:r>
    </w:p>
  </w:endnote>
  <w:endnote w:type="continuationSeparator" w:id="0">
    <w:p w14:paraId="0198BB5F" w14:textId="77777777" w:rsidR="00335464" w:rsidRDefault="003B2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745A4" w14:textId="77777777" w:rsidR="00E95837" w:rsidRDefault="003B2387">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8A5E06">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8A5E06">
      <w:rPr>
        <w:rFonts w:ascii="Times New Roman" w:eastAsia="Times New Roman" w:hAnsi="Times New Roman" w:cs="Times New Roman"/>
        <w:b/>
        <w:noProof/>
        <w:color w:val="000000"/>
        <w:sz w:val="24"/>
        <w:szCs w:val="24"/>
      </w:rPr>
      <w:t>10</w:t>
    </w:r>
    <w:r>
      <w:rPr>
        <w:rFonts w:ascii="Times New Roman" w:eastAsia="Times New Roman" w:hAnsi="Times New Roman" w:cs="Times New Roman"/>
        <w:b/>
        <w:color w:val="000000"/>
        <w:sz w:val="24"/>
        <w:szCs w:val="24"/>
      </w:rPr>
      <w:fldChar w:fldCharType="end"/>
    </w:r>
  </w:p>
  <w:p w14:paraId="275785B0" w14:textId="77777777" w:rsidR="00E95837" w:rsidRDefault="00E95837">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CE49A" w14:textId="6994277F" w:rsidR="008A5E06" w:rsidRDefault="008A5E06">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b/>
        <w:color w:val="000000"/>
        <w:sz w:val="24"/>
        <w:szCs w:val="24"/>
      </w:rPr>
      <w:t>0</w:t>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Pr>
        <w:rFonts w:ascii="Times New Roman" w:eastAsia="Times New Roman" w:hAnsi="Times New Roman" w:cs="Times New Roman"/>
        <w:b/>
        <w:noProof/>
        <w:color w:val="000000"/>
        <w:sz w:val="24"/>
        <w:szCs w:val="24"/>
      </w:rPr>
      <w:t>10</w:t>
    </w:r>
    <w:r>
      <w:rPr>
        <w:rFonts w:ascii="Times New Roman" w:eastAsia="Times New Roman" w:hAnsi="Times New Roman" w:cs="Times New Roman"/>
        <w:b/>
        <w:color w:val="000000"/>
        <w:sz w:val="24"/>
        <w:szCs w:val="24"/>
      </w:rPr>
      <w:fldChar w:fldCharType="end"/>
    </w:r>
  </w:p>
  <w:p w14:paraId="646AA04A" w14:textId="77777777" w:rsidR="008A5E06" w:rsidRDefault="008A5E06">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170B0" w14:textId="77777777" w:rsidR="00335464" w:rsidRDefault="003B2387">
      <w:pPr>
        <w:spacing w:after="0" w:line="240" w:lineRule="auto"/>
      </w:pPr>
      <w:r>
        <w:separator/>
      </w:r>
    </w:p>
  </w:footnote>
  <w:footnote w:type="continuationSeparator" w:id="0">
    <w:p w14:paraId="345FAE78" w14:textId="77777777" w:rsidR="00335464" w:rsidRDefault="003B23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1EB87" w14:textId="77777777" w:rsidR="00E95837" w:rsidRDefault="003B238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14:anchorId="6BC1AF5B" wp14:editId="00712BDA">
          <wp:simplePos x="0" y="0"/>
          <wp:positionH relativeFrom="column">
            <wp:posOffset>-1341739</wp:posOffset>
          </wp:positionH>
          <wp:positionV relativeFrom="paragraph">
            <wp:posOffset>-453371</wp:posOffset>
          </wp:positionV>
          <wp:extent cx="7510145" cy="9883775"/>
          <wp:effectExtent l="0" t="0" r="0" b="0"/>
          <wp:wrapNone/>
          <wp:docPr id="2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14:paraId="28058664" w14:textId="77777777" w:rsidR="00E95837" w:rsidRDefault="003B238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14:paraId="770176FA" w14:textId="05FC1071" w:rsidR="00E95837" w:rsidRDefault="003B2387">
    <w:pPr>
      <w:pBdr>
        <w:top w:val="nil"/>
        <w:left w:val="nil"/>
        <w:bottom w:val="nil"/>
        <w:right w:val="nil"/>
        <w:between w:val="nil"/>
      </w:pBdr>
      <w:tabs>
        <w:tab w:val="center" w:pos="4419"/>
        <w:tab w:val="right" w:pos="8838"/>
      </w:tabs>
      <w:spacing w:after="0" w:line="240" w:lineRule="auto"/>
      <w:ind w:left="2835"/>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w:t>
    </w:r>
    <w:r w:rsidR="00884322" w:rsidRPr="00884322">
      <w:rPr>
        <w:rFonts w:ascii="Palatino Linotype" w:eastAsia="Palatino Linotype" w:hAnsi="Palatino Linotype" w:cs="Palatino Linotype"/>
        <w:b/>
        <w:color w:val="000000"/>
        <w:sz w:val="20"/>
        <w:szCs w:val="20"/>
      </w:rPr>
      <w:t>0</w:t>
    </w:r>
    <w:r w:rsidR="00B7040D">
      <w:rPr>
        <w:rFonts w:ascii="Palatino Linotype" w:eastAsia="Palatino Linotype" w:hAnsi="Palatino Linotype" w:cs="Palatino Linotype"/>
        <w:b/>
        <w:color w:val="000000"/>
        <w:sz w:val="20"/>
        <w:szCs w:val="20"/>
      </w:rPr>
      <w:t>5069</w:t>
    </w:r>
    <w:r w:rsidR="00884322" w:rsidRPr="00884322">
      <w:rPr>
        <w:rFonts w:ascii="Palatino Linotype" w:eastAsia="Palatino Linotype" w:hAnsi="Palatino Linotype" w:cs="Palatino Linotype"/>
        <w:b/>
        <w:color w:val="000000"/>
        <w:sz w:val="20"/>
        <w:szCs w:val="20"/>
      </w:rPr>
      <w:t>/INFOEM/IP/RR/2024</w:t>
    </w:r>
  </w:p>
  <w:p w14:paraId="0E3E4E0F" w14:textId="73BD397E" w:rsidR="00E95837" w:rsidRDefault="003B2387" w:rsidP="00B7040D">
    <w:pPr>
      <w:pBdr>
        <w:top w:val="nil"/>
        <w:left w:val="nil"/>
        <w:bottom w:val="nil"/>
        <w:right w:val="nil"/>
        <w:between w:val="nil"/>
      </w:pBdr>
      <w:tabs>
        <w:tab w:val="center" w:pos="4419"/>
        <w:tab w:val="right" w:pos="8838"/>
      </w:tabs>
      <w:spacing w:after="0" w:line="240" w:lineRule="auto"/>
      <w:ind w:left="2835"/>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sidR="00B7040D" w:rsidRPr="00B7040D">
      <w:rPr>
        <w:rFonts w:ascii="Palatino Linotype" w:eastAsia="Palatino Linotype" w:hAnsi="Palatino Linotype" w:cs="Palatino Linotype"/>
        <w:b/>
        <w:color w:val="000000"/>
        <w:sz w:val="20"/>
        <w:szCs w:val="20"/>
      </w:rPr>
      <w:t>Ayuntamiento de Tenango</w:t>
    </w:r>
    <w:r w:rsidR="00B7040D">
      <w:rPr>
        <w:rFonts w:ascii="Palatino Linotype" w:eastAsia="Palatino Linotype" w:hAnsi="Palatino Linotype" w:cs="Palatino Linotype"/>
        <w:b/>
        <w:color w:val="000000"/>
        <w:sz w:val="20"/>
        <w:szCs w:val="20"/>
      </w:rPr>
      <w:t xml:space="preserve"> </w:t>
    </w:r>
    <w:r w:rsidR="00B7040D" w:rsidRPr="00B7040D">
      <w:rPr>
        <w:rFonts w:ascii="Palatino Linotype" w:eastAsia="Palatino Linotype" w:hAnsi="Palatino Linotype" w:cs="Palatino Linotype"/>
        <w:b/>
        <w:color w:val="000000"/>
        <w:sz w:val="20"/>
        <w:szCs w:val="20"/>
      </w:rPr>
      <w:t>del Aire</w:t>
    </w:r>
  </w:p>
  <w:p w14:paraId="07454508" w14:textId="731F3121" w:rsidR="00E95837" w:rsidRDefault="003B2387">
    <w:pPr>
      <w:pBdr>
        <w:top w:val="nil"/>
        <w:left w:val="nil"/>
        <w:bottom w:val="nil"/>
        <w:right w:val="nil"/>
        <w:between w:val="nil"/>
      </w:pBdr>
      <w:tabs>
        <w:tab w:val="center" w:pos="4419"/>
        <w:tab w:val="right" w:pos="8838"/>
      </w:tabs>
      <w:spacing w:after="0" w:line="240" w:lineRule="auto"/>
      <w:ind w:left="2835"/>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w:t>
    </w:r>
    <w:r w:rsidR="00B7040D">
      <w:rPr>
        <w:rFonts w:ascii="Palatino Linotype" w:eastAsia="Palatino Linotype" w:hAnsi="Palatino Linotype" w:cs="Palatino Linotype"/>
        <w:b/>
        <w:sz w:val="20"/>
        <w:szCs w:val="20"/>
      </w:rPr>
      <w:t>a</w:t>
    </w:r>
    <w:r>
      <w:rPr>
        <w:rFonts w:ascii="Palatino Linotype" w:eastAsia="Palatino Linotype" w:hAnsi="Palatino Linotype" w:cs="Palatino Linotype"/>
        <w:b/>
        <w:color w:val="000000"/>
        <w:sz w:val="20"/>
        <w:szCs w:val="20"/>
      </w:rPr>
      <w:t xml:space="preserve"> Ponente: </w:t>
    </w:r>
    <w:r w:rsidR="00B7040D">
      <w:rPr>
        <w:rFonts w:ascii="Palatino Linotype" w:eastAsia="Palatino Linotype" w:hAnsi="Palatino Linotype" w:cs="Palatino Linotype"/>
        <w:b/>
        <w:color w:val="000000"/>
        <w:sz w:val="20"/>
        <w:szCs w:val="20"/>
      </w:rPr>
      <w:t>Guadalupe Ramírez Peña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63D71" w14:textId="04B315AC" w:rsidR="008A5E06" w:rsidRDefault="008A5E0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p>
  <w:p w14:paraId="77E9DB8F" w14:textId="36D7826B" w:rsidR="008A5E06" w:rsidRDefault="008A5E06" w:rsidP="008A5E06">
    <w:pPr>
      <w:pBdr>
        <w:top w:val="nil"/>
        <w:left w:val="nil"/>
        <w:bottom w:val="nil"/>
        <w:right w:val="nil"/>
        <w:between w:val="nil"/>
      </w:pBdr>
      <w:tabs>
        <w:tab w:val="center" w:pos="4419"/>
        <w:tab w:val="right" w:pos="8838"/>
      </w:tabs>
      <w:spacing w:after="0" w:line="240" w:lineRule="auto"/>
      <w:ind w:left="2835"/>
      <w:jc w:val="center"/>
      <w:rPr>
        <w:rFonts w:ascii="Palatino Linotype" w:eastAsia="Palatino Linotype" w:hAnsi="Palatino Linotype" w:cs="Palatino Linotype"/>
        <w:b/>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837"/>
    <w:rsid w:val="0003413F"/>
    <w:rsid w:val="000F26C9"/>
    <w:rsid w:val="00335464"/>
    <w:rsid w:val="003B2387"/>
    <w:rsid w:val="00460C88"/>
    <w:rsid w:val="006E36E2"/>
    <w:rsid w:val="007D0E8A"/>
    <w:rsid w:val="00884322"/>
    <w:rsid w:val="008A5E06"/>
    <w:rsid w:val="00B7040D"/>
    <w:rsid w:val="00B969AD"/>
    <w:rsid w:val="00BF3016"/>
    <w:rsid w:val="00BF5B6F"/>
    <w:rsid w:val="00DE0C32"/>
    <w:rsid w:val="00E958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91FAE"/>
  <w15:docId w15:val="{533C4693-A2BB-480C-8FD1-FAB7911D0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customStyle="1" w:styleId="Citas">
    <w:name w:val="Citas"/>
    <w:basedOn w:val="Normal"/>
    <w:qFormat/>
    <w:rsid w:val="00191E4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AB487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B4878"/>
    <w:rPr>
      <w:rFonts w:ascii="Times New Roman" w:eastAsia="Times New Roman" w:hAnsi="Times New Roman" w:cs="Times New Roman"/>
      <w:sz w:val="24"/>
      <w:szCs w:val="24"/>
      <w:lang w:eastAsia="es-ES"/>
    </w:rPr>
  </w:style>
  <w:style w:type="paragraph" w:customStyle="1" w:styleId="INFOEM">
    <w:name w:val="INFOEM"/>
    <w:basedOn w:val="Normal"/>
    <w:qFormat/>
    <w:rsid w:val="00A430B5"/>
    <w:pPr>
      <w:spacing w:before="240" w:line="360" w:lineRule="auto"/>
      <w:ind w:left="851" w:right="851"/>
      <w:jc w:val="both"/>
    </w:pPr>
    <w:rPr>
      <w:rFonts w:ascii="Palatino Linotype" w:hAnsi="Palatino Linotype"/>
      <w:i/>
      <w:szCs w:val="1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0B7742"/>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table" w:customStyle="1" w:styleId="Tablaconcuadrcula31">
    <w:name w:val="Tabla con cuadrícula31"/>
    <w:basedOn w:val="Tablanormal"/>
    <w:uiPriority w:val="59"/>
    <w:rsid w:val="00E030B8"/>
    <w:pPr>
      <w:spacing w:after="0" w:line="240" w:lineRule="auto"/>
    </w:pPr>
    <w:rPr>
      <w:rFonts w:asciiTheme="minorHAnsi" w:eastAsiaTheme="minorHAnsi" w:hAnsiTheme="minorHAnsi" w:cstheme="min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a"/>
    <w:pPr>
      <w:spacing w:after="0" w:line="240" w:lineRule="auto"/>
    </w:pPr>
    <w:tblPr>
      <w:tblStyleRowBandSize w:val="1"/>
      <w:tblStyleColBandSize w:val="1"/>
      <w:tblCellMar>
        <w:left w:w="108" w:type="dxa"/>
        <w:right w:w="108" w:type="dxa"/>
      </w:tblCellMar>
    </w:tblPr>
  </w:style>
  <w:style w:type="table" w:customStyle="1" w:styleId="a0">
    <w:basedOn w:val="TableNormala"/>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jvM3DIR52SvSXGq/9+22mZPkFA==">CgMxLjAyCWguM2R5NnZrbTIJaC4xdDNoNXNmMgloLjRkMzRvZzgyCGguZ2pkZ3hzMgloLjJldDkycDAyCWguMWZvYjl0ZTIIaC50eWpjd3QyCWguMzBqMHpsbDIOaC5mYWxkMjM0Zml1eWcyCWguM3pueXNoNzIOaC5qa2F4bjhtZ3h5N3E4AHIhMTVySDQ5SXY3WW85blgzWU9jLUJSbEVhYUhwamw3ZGM1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1836</Words>
  <Characters>10104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INFOEM402</cp:lastModifiedBy>
  <cp:revision>7</cp:revision>
  <cp:lastPrinted>2024-09-17T16:12:00Z</cp:lastPrinted>
  <dcterms:created xsi:type="dcterms:W3CDTF">2024-10-14T00:45:00Z</dcterms:created>
  <dcterms:modified xsi:type="dcterms:W3CDTF">2025-01-16T20:46:00Z</dcterms:modified>
</cp:coreProperties>
</file>