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55D" w:rsidRDefault="00A7655D" w:rsidP="00A7655D">
      <w:pPr>
        <w:pStyle w:val="Encabezado"/>
        <w:spacing w:line="360" w:lineRule="auto"/>
        <w:ind w:right="49"/>
        <w:jc w:val="both"/>
        <w:rPr>
          <w:rFonts w:ascii="Palatino Linotype" w:hAnsi="Palatino Linotype" w:cs="Tahoma"/>
          <w:b/>
        </w:rPr>
      </w:pPr>
      <w:bookmarkStart w:id="0" w:name="_GoBack"/>
      <w:bookmarkEnd w:id="0"/>
      <w:r w:rsidRPr="00300422">
        <w:rPr>
          <w:rFonts w:ascii="Palatino Linotype" w:hAnsi="Palatino Linotype" w:cs="Tahoma"/>
          <w:b/>
        </w:rPr>
        <w:t>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w:t>
      </w:r>
      <w:r>
        <w:rPr>
          <w:rFonts w:ascii="Palatino Linotype" w:hAnsi="Palatino Linotype" w:cs="Tahoma"/>
          <w:b/>
        </w:rPr>
        <w:t xml:space="preserve"> </w:t>
      </w:r>
      <w:r w:rsidR="006C2ADB">
        <w:rPr>
          <w:rFonts w:ascii="Palatino Linotype" w:eastAsia="Palatino Linotype" w:hAnsi="Palatino Linotype" w:cs="Palatino Linotype"/>
          <w:b/>
        </w:rPr>
        <w:t>07972</w:t>
      </w:r>
      <w:r>
        <w:rPr>
          <w:rFonts w:ascii="Palatino Linotype" w:eastAsia="Palatino Linotype" w:hAnsi="Palatino Linotype" w:cs="Palatino Linotype"/>
          <w:b/>
        </w:rPr>
        <w:t>/INFOEM/IP/RR/2023</w:t>
      </w:r>
      <w:r w:rsidR="006C2ADB">
        <w:rPr>
          <w:rFonts w:ascii="Palatino Linotype" w:eastAsia="Palatino Linotype" w:hAnsi="Palatino Linotype" w:cs="Palatino Linotype"/>
          <w:b/>
        </w:rPr>
        <w:t xml:space="preserve"> Y ACUMULADOS</w:t>
      </w:r>
      <w:r w:rsidRPr="00300422">
        <w:rPr>
          <w:rFonts w:ascii="Palatino Linotype" w:hAnsi="Palatino Linotype" w:cs="Tahoma"/>
          <w:b/>
        </w:rPr>
        <w:t>, PROMOVIDO EN CONTRA DE</w:t>
      </w:r>
      <w:r w:rsidR="006C2ADB">
        <w:rPr>
          <w:rFonts w:ascii="Palatino Linotype" w:hAnsi="Palatino Linotype" w:cs="Tahoma"/>
          <w:b/>
        </w:rPr>
        <w:t xml:space="preserve"> </w:t>
      </w:r>
      <w:r w:rsidRPr="00300422">
        <w:rPr>
          <w:rFonts w:ascii="Palatino Linotype" w:hAnsi="Palatino Linotype" w:cs="Tahoma"/>
          <w:b/>
        </w:rPr>
        <w:t>L</w:t>
      </w:r>
      <w:r w:rsidR="006C2ADB">
        <w:rPr>
          <w:rFonts w:ascii="Palatino Linotype" w:hAnsi="Palatino Linotype" w:cs="Tahoma"/>
          <w:b/>
        </w:rPr>
        <w:t>A</w:t>
      </w:r>
      <w:r w:rsidR="006C2ADB" w:rsidRPr="00300422">
        <w:rPr>
          <w:rFonts w:ascii="Palatino Linotype" w:hAnsi="Palatino Linotype" w:cs="Tahoma"/>
          <w:b/>
        </w:rPr>
        <w:t xml:space="preserve"> </w:t>
      </w:r>
      <w:r w:rsidR="006C2ADB" w:rsidRPr="006C2ADB">
        <w:rPr>
          <w:rFonts w:ascii="Palatino Linotype" w:eastAsia="Palatino Linotype" w:hAnsi="Palatino Linotype" w:cs="Palatino Linotype"/>
          <w:b/>
          <w:lang w:val="es-MX"/>
        </w:rPr>
        <w:t>UNIVERSIDAD TECNOLÓGICA FIDEL VELÁZQUEZ</w:t>
      </w:r>
      <w:r w:rsidR="006C2ADB">
        <w:rPr>
          <w:rFonts w:ascii="Palatino Linotype" w:hAnsi="Palatino Linotype" w:cs="Tahoma"/>
          <w:b/>
        </w:rPr>
        <w:t xml:space="preserve">. </w:t>
      </w:r>
    </w:p>
    <w:p w:rsidR="00A7655D" w:rsidRDefault="00A7655D" w:rsidP="00A7655D">
      <w:pPr>
        <w:pStyle w:val="Encabezado"/>
        <w:spacing w:line="360" w:lineRule="auto"/>
        <w:ind w:right="49"/>
        <w:jc w:val="both"/>
        <w:rPr>
          <w:rFonts w:ascii="Palatino Linotype" w:hAnsi="Palatino Linotype" w:cs="Tahoma"/>
        </w:rPr>
      </w:pPr>
    </w:p>
    <w:p w:rsidR="00A7655D" w:rsidRDefault="00A7655D" w:rsidP="00A7655D">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6C2ADB">
        <w:rPr>
          <w:rFonts w:ascii="Palatino Linotype" w:eastAsia="Palatino Linotype" w:hAnsi="Palatino Linotype" w:cs="Palatino Linotype"/>
          <w:b/>
        </w:rPr>
        <w:t>07972</w:t>
      </w:r>
      <w:r>
        <w:rPr>
          <w:rFonts w:ascii="Palatino Linotype" w:eastAsia="Palatino Linotype" w:hAnsi="Palatino Linotype" w:cs="Palatino Linotype"/>
          <w:b/>
        </w:rPr>
        <w:t>/INFOEM/IP/RR/2023</w:t>
      </w:r>
      <w:r w:rsidR="006C2ADB">
        <w:rPr>
          <w:rFonts w:ascii="Palatino Linotype" w:eastAsia="Palatino Linotype" w:hAnsi="Palatino Linotype" w:cs="Palatino Linotype"/>
          <w:b/>
        </w:rPr>
        <w:t xml:space="preserve"> Y ACUMULADOS</w:t>
      </w:r>
      <w:r>
        <w:rPr>
          <w:rFonts w:ascii="Palatino Linotype" w:hAnsi="Palatino Linotype" w:cs="Tahoma"/>
          <w:b/>
          <w:bCs/>
        </w:rPr>
        <w:t>.</w:t>
      </w:r>
    </w:p>
    <w:p w:rsidR="00A7655D" w:rsidRPr="005A391A" w:rsidRDefault="00A7655D" w:rsidP="00A7655D">
      <w:pPr>
        <w:spacing w:after="0" w:line="360" w:lineRule="auto"/>
        <w:jc w:val="both"/>
        <w:rPr>
          <w:rFonts w:ascii="Palatino Linotype" w:hAnsi="Palatino Linotype" w:cs="Tahoma"/>
        </w:rPr>
      </w:pPr>
    </w:p>
    <w:p w:rsidR="00A7655D" w:rsidRDefault="00A7655D" w:rsidP="00A7655D">
      <w:pPr>
        <w:spacing w:before="240" w:after="240" w:line="360" w:lineRule="auto"/>
        <w:ind w:right="49"/>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6C2ADB" w:rsidRPr="006C2ADB">
        <w:rPr>
          <w:rFonts w:ascii="Palatino Linotype" w:eastAsia="Palatino Linotype" w:hAnsi="Palatino Linotype" w:cs="Palatino Linotype"/>
          <w:iCs/>
          <w:lang w:val="es-MX"/>
        </w:rPr>
        <w:t xml:space="preserve">listado de personal dado de alta durante el periodo </w:t>
      </w:r>
      <w:r w:rsidR="006C2ADB">
        <w:rPr>
          <w:rFonts w:ascii="Palatino Linotype" w:eastAsia="Palatino Linotype" w:hAnsi="Palatino Linotype" w:cs="Palatino Linotype"/>
          <w:iCs/>
          <w:lang w:val="es-MX"/>
        </w:rPr>
        <w:t xml:space="preserve">2021, 2022 y </w:t>
      </w:r>
      <w:r w:rsidR="006C2ADB" w:rsidRPr="006C2ADB">
        <w:rPr>
          <w:rFonts w:ascii="Palatino Linotype" w:eastAsia="Palatino Linotype" w:hAnsi="Palatino Linotype" w:cs="Palatino Linotype"/>
          <w:iCs/>
          <w:lang w:val="es-MX"/>
        </w:rPr>
        <w:t>2023</w:t>
      </w:r>
      <w:r w:rsidR="006C2ADB">
        <w:rPr>
          <w:rFonts w:ascii="Palatino Linotype" w:eastAsia="Palatino Linotype" w:hAnsi="Palatino Linotype" w:cs="Palatino Linotype"/>
          <w:iCs/>
          <w:lang w:val="es-MX"/>
        </w:rPr>
        <w:t>, así como currí</w:t>
      </w:r>
      <w:r w:rsidR="006C2ADB" w:rsidRPr="006C2ADB">
        <w:rPr>
          <w:rFonts w:ascii="Palatino Linotype" w:eastAsia="Palatino Linotype" w:hAnsi="Palatino Linotype" w:cs="Palatino Linotype"/>
          <w:iCs/>
          <w:lang w:val="es-MX"/>
        </w:rPr>
        <w:t xml:space="preserve">culum y documentación que integre su expediente de personal en </w:t>
      </w:r>
      <w:r w:rsidR="006C2ADB">
        <w:rPr>
          <w:rFonts w:ascii="Palatino Linotype" w:eastAsia="Palatino Linotype" w:hAnsi="Palatino Linotype" w:cs="Palatino Linotype"/>
          <w:iCs/>
          <w:lang w:val="es-MX"/>
        </w:rPr>
        <w:t>versión pública,</w:t>
      </w:r>
      <w:r>
        <w:rPr>
          <w:rFonts w:ascii="Palatino Linotype" w:hAnsi="Palatino Linotype" w:cs="Tahoma"/>
        </w:rPr>
        <w:t xml:space="preserve"> </w:t>
      </w:r>
      <w:r w:rsidRPr="00300422">
        <w:rPr>
          <w:rFonts w:ascii="Palatino Linotype" w:hAnsi="Palatino Linotype" w:cs="Tahoma"/>
        </w:rPr>
        <w:t>por lo que</w:t>
      </w:r>
      <w:r>
        <w:rPr>
          <w:rFonts w:ascii="Palatino Linotype" w:hAnsi="Palatino Linotype" w:cs="Tahoma"/>
        </w:rPr>
        <w:t>,</w:t>
      </w:r>
      <w:r w:rsidRPr="00300422">
        <w:rPr>
          <w:rFonts w:ascii="Palatino Linotype" w:hAnsi="Palatino Linotype" w:cs="Tahoma"/>
        </w:rPr>
        <w:t xml:space="preserve"> se determinó ordenar la entrega </w:t>
      </w:r>
      <w:r>
        <w:rPr>
          <w:rFonts w:ascii="Palatino Linotype" w:hAnsi="Palatino Linotype" w:cs="Tahoma"/>
        </w:rPr>
        <w:t>de</w:t>
      </w:r>
      <w:r w:rsidR="00793AA6">
        <w:rPr>
          <w:rFonts w:ascii="Palatino Linotype" w:hAnsi="Palatino Linotype" w:cs="Tahoma"/>
        </w:rPr>
        <w:t xml:space="preserve"> </w:t>
      </w:r>
      <w:r w:rsidR="00793AA6" w:rsidRPr="00793AA6">
        <w:rPr>
          <w:rFonts w:ascii="Palatino Linotype" w:hAnsi="Palatino Linotype"/>
          <w:color w:val="000000" w:themeColor="text1"/>
        </w:rPr>
        <w:t>Los Expedientes personales de los servidores públicos dados de alta en la Universidad Tecnológica Fidel Velázquez, de los años 2021, 2022 y del uno de enero al veintiséis de octubre de 2023</w:t>
      </w:r>
      <w:r w:rsidRPr="00793AA6">
        <w:rPr>
          <w:rFonts w:ascii="Palatino Linotype" w:hAnsi="Palatino Linotype" w:cs="Tahoma"/>
        </w:rPr>
        <w:t>;</w:t>
      </w:r>
      <w:r w:rsidRPr="00300422">
        <w:rPr>
          <w:rFonts w:ascii="Palatino Linotype" w:hAnsi="Palatino Linotype" w:cs="Tahoma"/>
        </w:rPr>
        <w:t xml:space="preserve"> sin embargo, también se ordenó clasificar la firma.</w:t>
      </w:r>
    </w:p>
    <w:p w:rsidR="00A7655D" w:rsidRPr="00603EC4" w:rsidRDefault="00A7655D" w:rsidP="00A7655D">
      <w:pPr>
        <w:spacing w:after="0" w:line="360" w:lineRule="auto"/>
        <w:jc w:val="both"/>
        <w:rPr>
          <w:rFonts w:ascii="Palatino Linotype" w:hAnsi="Palatino Linotype" w:cs="Tahoma"/>
        </w:rPr>
      </w:pPr>
    </w:p>
    <w:p w:rsidR="00A7655D" w:rsidRPr="00300422" w:rsidRDefault="00A7655D" w:rsidP="00A7655D">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rsidR="00A7655D" w:rsidRDefault="00A7655D" w:rsidP="00A7655D">
      <w:pPr>
        <w:spacing w:after="0" w:line="360" w:lineRule="auto"/>
        <w:jc w:val="both"/>
        <w:rPr>
          <w:rFonts w:ascii="Palatino Linotype" w:hAnsi="Palatino Linotype" w:cs="Arial"/>
        </w:rPr>
      </w:pPr>
    </w:p>
    <w:p w:rsidR="00A7655D" w:rsidRPr="00300422" w:rsidRDefault="00A7655D" w:rsidP="00A7655D">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rsidR="00A7655D" w:rsidRPr="00300422" w:rsidRDefault="00A7655D" w:rsidP="00A7655D">
      <w:pPr>
        <w:pStyle w:val="Prrafodelista"/>
        <w:spacing w:after="0" w:line="360" w:lineRule="auto"/>
        <w:jc w:val="both"/>
        <w:rPr>
          <w:rFonts w:ascii="Palatino Linotype" w:hAnsi="Palatino Linotype" w:cs="Arial"/>
        </w:rPr>
      </w:pPr>
    </w:p>
    <w:p w:rsidR="00A7655D" w:rsidRPr="00300422" w:rsidRDefault="00A7655D" w:rsidP="00A7655D">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rsidR="00A7655D" w:rsidRPr="00300422" w:rsidRDefault="00A7655D" w:rsidP="00A7655D">
      <w:pPr>
        <w:pStyle w:val="Prrafodelista"/>
        <w:spacing w:after="0" w:line="360" w:lineRule="auto"/>
        <w:ind w:left="567" w:right="567"/>
        <w:jc w:val="both"/>
        <w:rPr>
          <w:rFonts w:ascii="Palatino Linotype" w:hAnsi="Palatino Linotype" w:cs="Arial"/>
          <w:i/>
          <w:iCs/>
          <w:sz w:val="20"/>
          <w:szCs w:val="20"/>
        </w:rPr>
      </w:pPr>
    </w:p>
    <w:p w:rsidR="00A7655D" w:rsidRPr="00300422" w:rsidRDefault="00A7655D" w:rsidP="00A7655D">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rsidR="00A7655D" w:rsidRPr="00300422" w:rsidRDefault="00A7655D" w:rsidP="00A7655D">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rsidR="00A7655D" w:rsidRPr="00300422" w:rsidRDefault="00A7655D" w:rsidP="00A7655D">
      <w:pPr>
        <w:pStyle w:val="Prrafodelista"/>
        <w:spacing w:after="0" w:line="360" w:lineRule="auto"/>
        <w:jc w:val="both"/>
        <w:rPr>
          <w:rFonts w:ascii="Palatino Linotype" w:hAnsi="Palatino Linotype" w:cs="Arial"/>
        </w:rPr>
      </w:pPr>
    </w:p>
    <w:p w:rsidR="00A7655D" w:rsidRPr="00300422" w:rsidRDefault="00A7655D" w:rsidP="00A7655D">
      <w:pPr>
        <w:spacing w:after="0" w:line="360" w:lineRule="auto"/>
        <w:jc w:val="both"/>
        <w:rPr>
          <w:rFonts w:ascii="Palatino Linotype" w:hAnsi="Palatino Linotype" w:cs="Arial"/>
        </w:rPr>
      </w:pPr>
      <w:r w:rsidRPr="00300422">
        <w:rPr>
          <w:rFonts w:ascii="Palatino Linotype" w:hAnsi="Palatino Linotype" w:cs="Arial"/>
        </w:rPr>
        <w:t>Así</w:t>
      </w:r>
      <w:r>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lastRenderedPageBreak/>
        <w:t>el 25 de marzo de 2022, que define la cédula profesional y el título universitario en su artículo 3°, fracciones I y IX, de la siguiente manera:</w:t>
      </w:r>
    </w:p>
    <w:p w:rsidR="00A7655D" w:rsidRPr="00300422" w:rsidRDefault="00A7655D" w:rsidP="00A7655D">
      <w:pPr>
        <w:pStyle w:val="Prrafodelista"/>
        <w:spacing w:after="0" w:line="360" w:lineRule="auto"/>
        <w:jc w:val="both"/>
        <w:rPr>
          <w:rFonts w:ascii="Palatino Linotype" w:hAnsi="Palatino Linotype" w:cs="Arial"/>
        </w:rPr>
      </w:pPr>
    </w:p>
    <w:p w:rsidR="00A7655D" w:rsidRPr="00300422" w:rsidRDefault="00A7655D" w:rsidP="00A7655D">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rsidR="00A7655D" w:rsidRPr="00300422" w:rsidRDefault="00A7655D" w:rsidP="00A7655D">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rsidR="00A7655D" w:rsidRPr="00300422" w:rsidRDefault="00A7655D" w:rsidP="00A7655D">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rsidR="00A7655D" w:rsidRPr="00300422" w:rsidRDefault="00A7655D" w:rsidP="00A7655D">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rsidR="00A7655D" w:rsidRPr="00300422" w:rsidRDefault="00A7655D" w:rsidP="00A7655D">
      <w:pPr>
        <w:pStyle w:val="Prrafodelista"/>
        <w:spacing w:after="0" w:line="360" w:lineRule="auto"/>
        <w:jc w:val="both"/>
        <w:rPr>
          <w:rFonts w:ascii="Palatino Linotype" w:hAnsi="Palatino Linotype" w:cs="Arial"/>
        </w:rPr>
      </w:pPr>
    </w:p>
    <w:p w:rsidR="00A7655D" w:rsidRPr="00300422" w:rsidRDefault="00A7655D" w:rsidP="00A7655D">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rsidR="00A7655D" w:rsidRPr="00300422" w:rsidRDefault="00A7655D" w:rsidP="00A7655D">
      <w:pPr>
        <w:pStyle w:val="Prrafodelista"/>
        <w:spacing w:after="0" w:line="360" w:lineRule="auto"/>
        <w:jc w:val="both"/>
        <w:rPr>
          <w:rFonts w:ascii="Palatino Linotype" w:hAnsi="Palatino Linotype" w:cs="Arial"/>
        </w:rPr>
      </w:pPr>
    </w:p>
    <w:p w:rsidR="00A7655D" w:rsidRPr="00300422" w:rsidRDefault="00A7655D" w:rsidP="00A7655D">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rsidR="00A7655D" w:rsidRPr="00300422" w:rsidRDefault="00A7655D" w:rsidP="00A7655D">
      <w:pPr>
        <w:pStyle w:val="Prrafodelista"/>
        <w:spacing w:after="0" w:line="360" w:lineRule="auto"/>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rsidR="00A7655D" w:rsidRDefault="00A7655D" w:rsidP="00A7655D">
      <w:pPr>
        <w:pStyle w:val="Prrafodelista"/>
        <w:spacing w:after="0" w:line="360" w:lineRule="auto"/>
        <w:ind w:left="0"/>
        <w:jc w:val="both"/>
        <w:rPr>
          <w:rFonts w:ascii="Palatino Linotype" w:eastAsia="Calibri" w:hAnsi="Palatino Linotype" w:cs="Tahoma"/>
          <w:bCs/>
        </w:rPr>
      </w:pPr>
    </w:p>
    <w:p w:rsidR="00A7655D" w:rsidRPr="00300422" w:rsidRDefault="00A7655D" w:rsidP="00A7655D">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rsidR="00A7655D" w:rsidRPr="00300422" w:rsidRDefault="00A7655D" w:rsidP="00A7655D">
      <w:pPr>
        <w:spacing w:after="0" w:line="360" w:lineRule="auto"/>
        <w:ind w:right="49"/>
        <w:jc w:val="both"/>
        <w:rPr>
          <w:rFonts w:ascii="Palatino Linotype" w:hAnsi="Palatino Linotype" w:cs="Arial"/>
        </w:rPr>
      </w:pPr>
    </w:p>
    <w:p w:rsidR="00A7655D" w:rsidRPr="00300422" w:rsidRDefault="00A7655D" w:rsidP="00A7655D">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rsidR="00A7655D" w:rsidRPr="00300422" w:rsidRDefault="00A7655D" w:rsidP="00A7655D">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rsidR="00A7655D" w:rsidRPr="00300422" w:rsidRDefault="00A7655D" w:rsidP="00A7655D">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rsidR="00A7655D" w:rsidRPr="00300422" w:rsidRDefault="00A7655D" w:rsidP="00A7655D">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rsidR="00A7655D" w:rsidRPr="00300422" w:rsidRDefault="00A7655D" w:rsidP="00A7655D">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rsidR="00A7655D" w:rsidRPr="00300422" w:rsidRDefault="00A7655D" w:rsidP="00A7655D">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rsidR="00A7655D" w:rsidRPr="00300422" w:rsidRDefault="00A7655D" w:rsidP="00A7655D">
      <w:pPr>
        <w:spacing w:after="0" w:line="360" w:lineRule="auto"/>
        <w:ind w:right="49"/>
        <w:jc w:val="both"/>
        <w:rPr>
          <w:rFonts w:ascii="Palatino Linotype" w:hAnsi="Palatino Linotype" w:cs="Arial"/>
        </w:rPr>
      </w:pPr>
    </w:p>
    <w:p w:rsidR="00A7655D" w:rsidRPr="00300422" w:rsidRDefault="00A7655D" w:rsidP="00A7655D">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w:t>
      </w:r>
      <w:r w:rsidRPr="00300422">
        <w:rPr>
          <w:rFonts w:ascii="Palatino Linotype" w:hAnsi="Palatino Linotype" w:cs="Arial"/>
        </w:rPr>
        <w:lastRenderedPageBreak/>
        <w:t xml:space="preserve">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rsidR="00A7655D" w:rsidRPr="00300422" w:rsidRDefault="00A7655D" w:rsidP="00A7655D">
      <w:pPr>
        <w:spacing w:after="0" w:line="360" w:lineRule="auto"/>
        <w:ind w:right="49"/>
        <w:jc w:val="both"/>
        <w:rPr>
          <w:rFonts w:ascii="Palatino Linotype" w:hAnsi="Palatino Linotype" w:cs="Arial"/>
        </w:rPr>
      </w:pPr>
    </w:p>
    <w:p w:rsidR="00A7655D" w:rsidRPr="00300422" w:rsidRDefault="00A7655D" w:rsidP="00A7655D">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rsidR="00A7655D" w:rsidRPr="00300422" w:rsidRDefault="00A7655D" w:rsidP="00A7655D">
      <w:pPr>
        <w:spacing w:after="0" w:line="360" w:lineRule="auto"/>
        <w:ind w:right="49"/>
        <w:jc w:val="both"/>
        <w:rPr>
          <w:rFonts w:ascii="Palatino Linotype" w:hAnsi="Palatino Linotype" w:cs="Arial"/>
        </w:rPr>
      </w:pPr>
    </w:p>
    <w:p w:rsidR="00A7655D" w:rsidRDefault="00A7655D" w:rsidP="00A7655D">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rsidR="00A7655D" w:rsidRDefault="00A7655D" w:rsidP="00A7655D">
      <w:pPr>
        <w:spacing w:after="0" w:line="360" w:lineRule="auto"/>
        <w:ind w:right="49"/>
        <w:jc w:val="both"/>
        <w:rPr>
          <w:rFonts w:ascii="Palatino Linotype" w:hAnsi="Palatino Linotype" w:cs="Arial"/>
        </w:rPr>
      </w:pPr>
    </w:p>
    <w:p w:rsidR="00A7655D" w:rsidRPr="00300422" w:rsidRDefault="00A7655D" w:rsidP="00A7655D">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 xml:space="preserve">necesidad de resolver el </w:t>
      </w:r>
      <w:r w:rsidRPr="00300422">
        <w:rPr>
          <w:rFonts w:ascii="Palatino Linotype" w:hAnsi="Palatino Linotype" w:cs="Arial"/>
          <w:b/>
          <w:bCs/>
        </w:rPr>
        <w:lastRenderedPageBreak/>
        <w:t>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A7655D" w:rsidRPr="00300422" w:rsidRDefault="00A7655D" w:rsidP="00A7655D">
      <w:pPr>
        <w:spacing w:after="0" w:line="360" w:lineRule="auto"/>
        <w:ind w:right="49"/>
        <w:jc w:val="both"/>
        <w:rPr>
          <w:rFonts w:ascii="Palatino Linotype" w:hAnsi="Palatino Linotype" w:cs="Arial"/>
        </w:rPr>
      </w:pPr>
    </w:p>
    <w:p w:rsidR="00A7655D" w:rsidRDefault="00A7655D" w:rsidP="00A7655D">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rsidR="00A7655D" w:rsidRPr="009F218B" w:rsidRDefault="00A7655D" w:rsidP="00A7655D">
      <w:pPr>
        <w:spacing w:after="0" w:line="360" w:lineRule="auto"/>
        <w:ind w:right="49"/>
        <w:jc w:val="both"/>
        <w:rPr>
          <w:rFonts w:ascii="Palatino Linotype" w:eastAsia="Times New Roman" w:hAnsi="Palatino Linotype" w:cs="Tahoma"/>
          <w:bCs/>
          <w:iCs/>
          <w:lang w:val="es-MX" w:eastAsia="es-ES"/>
        </w:rPr>
      </w:pPr>
    </w:p>
    <w:p w:rsidR="00A7655D" w:rsidRDefault="00A7655D" w:rsidP="00A7655D">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rsidR="00A7655D" w:rsidRPr="009F218B" w:rsidRDefault="00A7655D" w:rsidP="00A7655D">
      <w:pPr>
        <w:spacing w:after="0" w:line="360" w:lineRule="auto"/>
        <w:ind w:left="426" w:right="49"/>
        <w:contextualSpacing/>
        <w:jc w:val="both"/>
        <w:rPr>
          <w:rFonts w:ascii="Palatino Linotype" w:eastAsia="Times New Roman" w:hAnsi="Palatino Linotype" w:cs="Tahoma"/>
          <w:bCs/>
          <w:iCs/>
          <w:lang w:val="es-MX" w:eastAsia="es-ES"/>
        </w:rPr>
      </w:pPr>
    </w:p>
    <w:p w:rsidR="00A7655D" w:rsidRDefault="00A7655D" w:rsidP="00A7655D">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rsidR="00A7655D" w:rsidRDefault="00A7655D" w:rsidP="00A7655D">
      <w:pPr>
        <w:pStyle w:val="Prrafodelista"/>
        <w:rPr>
          <w:rFonts w:ascii="Palatino Linotype" w:eastAsia="Times New Roman" w:hAnsi="Palatino Linotype" w:cs="Tahoma"/>
          <w:bCs/>
          <w:iCs/>
          <w:lang w:val="es-MX" w:eastAsia="es-ES"/>
        </w:rPr>
      </w:pPr>
    </w:p>
    <w:p w:rsidR="00A7655D" w:rsidRPr="009F218B" w:rsidRDefault="00A7655D" w:rsidP="00A7655D">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rsidR="00A7655D" w:rsidRDefault="00A7655D" w:rsidP="00A7655D">
      <w:pPr>
        <w:pStyle w:val="Prrafodelista"/>
        <w:spacing w:after="0" w:line="360" w:lineRule="auto"/>
        <w:ind w:left="0"/>
        <w:jc w:val="both"/>
        <w:rPr>
          <w:rFonts w:ascii="Palatino Linotype" w:hAnsi="Palatino Linotype" w:cs="Arial"/>
        </w:rPr>
      </w:pPr>
    </w:p>
    <w:p w:rsidR="00A7655D" w:rsidRPr="00264223" w:rsidRDefault="00A7655D" w:rsidP="00A7655D">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lastRenderedPageBreak/>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rsidR="00A7655D" w:rsidRDefault="00A7655D" w:rsidP="00A7655D">
      <w:pPr>
        <w:pStyle w:val="Prrafodelista"/>
        <w:spacing w:after="0" w:line="360" w:lineRule="auto"/>
        <w:ind w:left="0"/>
        <w:jc w:val="both"/>
        <w:rPr>
          <w:rFonts w:ascii="Palatino Linotype" w:hAnsi="Palatino Linotype" w:cs="Arial"/>
          <w:b/>
        </w:rPr>
      </w:pPr>
    </w:p>
    <w:p w:rsidR="00A7655D" w:rsidRPr="009F44D4" w:rsidRDefault="00A7655D" w:rsidP="00A7655D">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rsidR="00A7655D" w:rsidRDefault="00A7655D" w:rsidP="00A7655D">
      <w:pPr>
        <w:pStyle w:val="Prrafodelista"/>
        <w:spacing w:after="0" w:line="360" w:lineRule="auto"/>
        <w:ind w:left="0"/>
        <w:jc w:val="both"/>
        <w:rPr>
          <w:rFonts w:ascii="Palatino Linotype" w:hAnsi="Palatino Linotype" w:cs="Arial"/>
        </w:rPr>
      </w:pPr>
    </w:p>
    <w:p w:rsidR="00A7655D" w:rsidRPr="007E15F0" w:rsidRDefault="00A7655D" w:rsidP="00A7655D">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rsidR="00A7655D" w:rsidRPr="00442620"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De tal suerte que, la ausencia de elementos de relevancia como la firma dificulta que estos documentos cumplan con el propósito para el cual son expedidos, es decir, la finalidad </w:t>
      </w:r>
      <w:r w:rsidRPr="00300422">
        <w:rPr>
          <w:rFonts w:ascii="Palatino Linotype" w:hAnsi="Palatino Linotype" w:cs="Arial"/>
        </w:rPr>
        <w:lastRenderedPageBreak/>
        <w:t>constitucionalmente válida es que estos elementos sean medios de identificación de su titular como profesionista.</w:t>
      </w:r>
    </w:p>
    <w:p w:rsidR="00A7655D" w:rsidRDefault="00A7655D" w:rsidP="00A7655D">
      <w:pPr>
        <w:pStyle w:val="Prrafodelista"/>
        <w:spacing w:after="0" w:line="360" w:lineRule="auto"/>
        <w:ind w:left="0"/>
        <w:jc w:val="both"/>
        <w:rPr>
          <w:rFonts w:ascii="Palatino Linotype" w:hAnsi="Palatino Linotype" w:cs="Arial"/>
        </w:rPr>
      </w:pPr>
    </w:p>
    <w:p w:rsidR="00A7655D" w:rsidRPr="009F44D4" w:rsidRDefault="00A7655D" w:rsidP="00A7655D">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rsidR="00A7655D" w:rsidRDefault="00A7655D" w:rsidP="00A7655D">
      <w:pPr>
        <w:pStyle w:val="Prrafodelista"/>
        <w:spacing w:after="0" w:line="360" w:lineRule="auto"/>
        <w:ind w:left="0"/>
        <w:jc w:val="both"/>
        <w:rPr>
          <w:rFonts w:ascii="Palatino Linotype" w:hAnsi="Palatino Linotype" w:cs="Arial"/>
        </w:rPr>
      </w:pPr>
    </w:p>
    <w:p w:rsidR="00A7655D" w:rsidRPr="000122F9" w:rsidRDefault="00A7655D" w:rsidP="00A7655D">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rsidR="00A7655D" w:rsidRPr="000122F9"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En esta fase, se debe establecer que la medida propuesta debe ser estrictamente proporcional y constituir la mínima afectación posible al otro derecho involucrado (derecho a la vida privada), de tal forma que el de protección de datos personales retroceda en la estricta e </w:t>
      </w:r>
      <w:r w:rsidRPr="00300422">
        <w:rPr>
          <w:rFonts w:ascii="Palatino Linotype" w:hAnsi="Palatino Linotype" w:cs="Arial"/>
        </w:rPr>
        <w:lastRenderedPageBreak/>
        <w:t>indispensable proporción para que el de acceso a la información prevalezca, sin que, desde luego, desaparezca el primero, cuando sí suponen una invasión a la vida privada.</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rsidR="00A7655D" w:rsidRDefault="00A7655D" w:rsidP="00A7655D">
      <w:pPr>
        <w:pStyle w:val="Prrafodelista"/>
        <w:spacing w:after="0" w:line="360" w:lineRule="auto"/>
        <w:ind w:left="0"/>
        <w:jc w:val="both"/>
        <w:rPr>
          <w:rFonts w:ascii="Palatino Linotype" w:hAnsi="Palatino Linotype" w:cs="Arial"/>
        </w:rPr>
      </w:pPr>
    </w:p>
    <w:p w:rsidR="00A7655D" w:rsidRPr="001D75DE" w:rsidRDefault="00A7655D" w:rsidP="00A7655D">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xml:space="preserve">, por lo que se trata de que cualquier </w:t>
      </w:r>
      <w:r>
        <w:rPr>
          <w:rFonts w:ascii="Palatino Linotype" w:hAnsi="Palatino Linotype" w:cs="Arial"/>
        </w:rPr>
        <w:lastRenderedPageBreak/>
        <w:t>persona interesada en conocer el nivel de preparación de un servidor público pueda conocerlo; esto implica que la información se encuentra relacionada directamente con la calidad de servidor público y no con su vida privada.</w:t>
      </w:r>
    </w:p>
    <w:p w:rsidR="00A7655D" w:rsidRDefault="00A7655D" w:rsidP="00A7655D">
      <w:pPr>
        <w:pStyle w:val="Prrafodelista"/>
        <w:spacing w:after="0" w:line="360" w:lineRule="auto"/>
        <w:ind w:left="0"/>
        <w:jc w:val="both"/>
        <w:rPr>
          <w:rFonts w:ascii="Palatino Linotype" w:hAnsi="Palatino Linotype" w:cs="Arial"/>
        </w:rPr>
      </w:pPr>
    </w:p>
    <w:p w:rsidR="00A7655D" w:rsidRDefault="00A7655D" w:rsidP="00A7655D">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rsidR="00A7655D" w:rsidRDefault="00A7655D" w:rsidP="00A7655D">
      <w:pPr>
        <w:spacing w:after="0" w:line="360" w:lineRule="auto"/>
        <w:jc w:val="both"/>
        <w:rPr>
          <w:rFonts w:ascii="Palatino Linotype" w:eastAsia="Calibri" w:hAnsi="Palatino Linotype" w:cs="Tahoma"/>
        </w:rPr>
      </w:pPr>
    </w:p>
    <w:p w:rsidR="00A7655D" w:rsidRDefault="00A7655D" w:rsidP="00A7655D">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p>
    <w:p w:rsidR="00A7655D" w:rsidRDefault="00A7655D" w:rsidP="00A7655D">
      <w:pPr>
        <w:rPr>
          <w:rFonts w:ascii="Palatino Linotype" w:eastAsia="Calibri" w:hAnsi="Palatino Linotype" w:cs="Tahoma"/>
        </w:rPr>
      </w:pPr>
      <w:r>
        <w:rPr>
          <w:rFonts w:ascii="Palatino Linotype" w:eastAsia="Calibri" w:hAnsi="Palatino Linotype" w:cs="Tahoma"/>
        </w:rPr>
        <w:br w:type="page"/>
      </w:r>
    </w:p>
    <w:p w:rsidR="00A7655D" w:rsidRPr="002D04D5" w:rsidRDefault="00A7655D" w:rsidP="00A7655D">
      <w:pPr>
        <w:spacing w:after="0" w:line="360" w:lineRule="auto"/>
        <w:jc w:val="both"/>
        <w:rPr>
          <w:rFonts w:ascii="Palatino Linotype" w:eastAsia="Calibri" w:hAnsi="Palatino Linotype" w:cs="Tahoma"/>
        </w:rPr>
      </w:pPr>
    </w:p>
    <w:p w:rsidR="00A7655D" w:rsidRDefault="00A7655D" w:rsidP="00A7655D"/>
    <w:p w:rsidR="00A7655D" w:rsidRDefault="00A7655D" w:rsidP="00A7655D"/>
    <w:p w:rsidR="00A7655D" w:rsidRDefault="00A7655D" w:rsidP="00A7655D"/>
    <w:p w:rsidR="00335307" w:rsidRDefault="00335307"/>
    <w:sectPr w:rsidR="00335307"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A8C" w:rsidRDefault="00B07A8C" w:rsidP="006C2ADB">
      <w:pPr>
        <w:spacing w:after="0" w:line="240" w:lineRule="auto"/>
      </w:pPr>
      <w:r>
        <w:separator/>
      </w:r>
    </w:p>
  </w:endnote>
  <w:endnote w:type="continuationSeparator" w:id="0">
    <w:p w:rsidR="00B07A8C" w:rsidRDefault="00B07A8C" w:rsidP="006C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rsidR="00D3361F" w:rsidRDefault="00716F6F"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31650">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31650">
              <w:rPr>
                <w:b/>
                <w:bCs/>
                <w:noProof/>
              </w:rPr>
              <w:t>11</w:t>
            </w:r>
            <w:r>
              <w:rPr>
                <w:b/>
                <w:bCs/>
                <w:sz w:val="24"/>
                <w:szCs w:val="24"/>
              </w:rPr>
              <w:fldChar w:fldCharType="end"/>
            </w:r>
          </w:p>
        </w:sdtContent>
      </w:sdt>
    </w:sdtContent>
  </w:sdt>
  <w:p w:rsidR="00D3361F" w:rsidRDefault="00B07A8C">
    <w:pPr>
      <w:pStyle w:val="Piedepgina"/>
    </w:pPr>
  </w:p>
  <w:p w:rsidR="00557965" w:rsidRDefault="00B07A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A8C" w:rsidRDefault="00B07A8C" w:rsidP="006C2ADB">
      <w:pPr>
        <w:spacing w:after="0" w:line="240" w:lineRule="auto"/>
      </w:pPr>
      <w:r>
        <w:separator/>
      </w:r>
    </w:p>
  </w:footnote>
  <w:footnote w:type="continuationSeparator" w:id="0">
    <w:p w:rsidR="00B07A8C" w:rsidRDefault="00B07A8C" w:rsidP="006C2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rsidTr="00603EC4">
      <w:trPr>
        <w:trHeight w:val="1702"/>
      </w:trPr>
      <w:tc>
        <w:tcPr>
          <w:tcW w:w="3549" w:type="dxa"/>
          <w:vAlign w:val="bottom"/>
        </w:tcPr>
        <w:p w:rsidR="00D3361F" w:rsidRDefault="00B07A8C" w:rsidP="0014093F">
          <w:pPr>
            <w:pStyle w:val="Encabezado"/>
            <w:tabs>
              <w:tab w:val="clear" w:pos="4252"/>
              <w:tab w:val="clear" w:pos="8504"/>
              <w:tab w:val="center" w:pos="2614"/>
              <w:tab w:val="right" w:pos="3195"/>
            </w:tabs>
            <w:ind w:left="-255"/>
          </w:pPr>
        </w:p>
        <w:p w:rsidR="00D3361F" w:rsidRDefault="00716F6F" w:rsidP="0077694E">
          <w:pPr>
            <w:pStyle w:val="Encabezado"/>
            <w:tabs>
              <w:tab w:val="clear" w:pos="4252"/>
              <w:tab w:val="center" w:pos="2614"/>
            </w:tabs>
          </w:pPr>
          <w:r>
            <w:rPr>
              <w:noProof/>
              <w:sz w:val="10"/>
              <w:szCs w:val="10"/>
              <w:lang w:val="es-MX" w:eastAsia="es-MX"/>
            </w:rPr>
            <w:drawing>
              <wp:anchor distT="0" distB="0" distL="114300" distR="114300" simplePos="0" relativeHeight="251659264" behindDoc="0" locked="0" layoutInCell="1" allowOverlap="1" wp14:anchorId="45EBA8F0" wp14:editId="7CBCCA43">
                <wp:simplePos x="0" y="0"/>
                <wp:positionH relativeFrom="column">
                  <wp:posOffset>-153035</wp:posOffset>
                </wp:positionH>
                <wp:positionV relativeFrom="paragraph">
                  <wp:posOffset>107950</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Align w:val="center"/>
        </w:tcPr>
        <w:p w:rsidR="00D3361F" w:rsidRDefault="00B07A8C" w:rsidP="003E7476">
          <w:pPr>
            <w:pStyle w:val="Encabezado"/>
            <w:ind w:left="34" w:right="175"/>
            <w:jc w:val="both"/>
            <w:rPr>
              <w:rFonts w:ascii="Palatino Linotype" w:hAnsi="Palatino Linotype" w:cs="Tahoma"/>
              <w:b/>
              <w:szCs w:val="20"/>
            </w:rPr>
          </w:pPr>
        </w:p>
        <w:p w:rsidR="00393CAA" w:rsidRDefault="00B07A8C" w:rsidP="00393CAA">
          <w:pPr>
            <w:pStyle w:val="Encabezado"/>
            <w:ind w:right="175"/>
            <w:jc w:val="both"/>
            <w:rPr>
              <w:rFonts w:ascii="Palatino Linotype" w:hAnsi="Palatino Linotype" w:cs="Tahoma"/>
              <w:b/>
              <w:szCs w:val="20"/>
            </w:rPr>
          </w:pPr>
        </w:p>
        <w:p w:rsidR="00D3361F" w:rsidRPr="001C75DB" w:rsidRDefault="00716F6F"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Pr>
              <w:rFonts w:ascii="Palatino Linotype" w:hAnsi="Palatino Linotype" w:cs="Tahoma"/>
              <w:b/>
              <w:szCs w:val="20"/>
            </w:rPr>
            <w:t xml:space="preserve"> Concurrente</w:t>
          </w:r>
        </w:p>
        <w:p w:rsidR="007E10AF" w:rsidRDefault="00716F6F" w:rsidP="00CF293E">
          <w:pPr>
            <w:pStyle w:val="Encabezado"/>
            <w:ind w:left="34" w:right="181"/>
            <w:jc w:val="both"/>
            <w:rPr>
              <w:rFonts w:ascii="Palatino Linotype" w:hAnsi="Palatino Linotype" w:cs="Tahoma"/>
              <w:bCs/>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6C2ADB">
            <w:rPr>
              <w:rFonts w:ascii="Palatino Linotype" w:hAnsi="Palatino Linotype" w:cs="Tahoma"/>
              <w:b/>
              <w:bCs/>
              <w:szCs w:val="20"/>
            </w:rPr>
            <w:t>07972</w:t>
          </w:r>
          <w:r w:rsidRPr="00F375DC">
            <w:rPr>
              <w:rFonts w:ascii="Palatino Linotype" w:hAnsi="Palatino Linotype" w:cs="Tahoma"/>
              <w:b/>
              <w:bCs/>
              <w:szCs w:val="20"/>
            </w:rPr>
            <w:t>/INFOEM/IP/RR/2023</w:t>
          </w:r>
          <w:r w:rsidR="006C2ADB">
            <w:rPr>
              <w:rFonts w:ascii="Palatino Linotype" w:hAnsi="Palatino Linotype" w:cs="Tahoma"/>
              <w:b/>
              <w:bCs/>
              <w:szCs w:val="20"/>
            </w:rPr>
            <w:t xml:space="preserve"> y Acumulados</w:t>
          </w:r>
        </w:p>
        <w:p w:rsidR="00D3361F" w:rsidRPr="00361A93" w:rsidRDefault="00716F6F" w:rsidP="00CF293E">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6C2ADB" w:rsidRPr="006C2ADB">
            <w:rPr>
              <w:rFonts w:ascii="Palatino Linotype" w:eastAsia="Palatino Linotype" w:hAnsi="Palatino Linotype" w:cs="Palatino Linotype"/>
              <w:b/>
              <w:lang w:val="es-MX"/>
            </w:rPr>
            <w:t>Universidad Tecnológica Fidel Velázquez</w:t>
          </w:r>
        </w:p>
      </w:tc>
    </w:tr>
  </w:tbl>
  <w:p w:rsidR="00D3361F" w:rsidRPr="001106EA" w:rsidRDefault="00B07A8C" w:rsidP="00DB20B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144596"/>
    <w:multiLevelType w:val="hybridMultilevel"/>
    <w:tmpl w:val="61DCA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5D"/>
    <w:rsid w:val="00335307"/>
    <w:rsid w:val="00631650"/>
    <w:rsid w:val="006C2ADB"/>
    <w:rsid w:val="00716F6F"/>
    <w:rsid w:val="00793AA6"/>
    <w:rsid w:val="009F37C1"/>
    <w:rsid w:val="00A7655D"/>
    <w:rsid w:val="00B07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51C66-B513-4767-8816-B428EFF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55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5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655D"/>
    <w:rPr>
      <w:lang w:val="es-ES"/>
    </w:rPr>
  </w:style>
  <w:style w:type="paragraph" w:styleId="Piedepgina">
    <w:name w:val="footer"/>
    <w:basedOn w:val="Normal"/>
    <w:link w:val="PiedepginaCar"/>
    <w:uiPriority w:val="99"/>
    <w:unhideWhenUsed/>
    <w:rsid w:val="00A765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655D"/>
    <w:rPr>
      <w:lang w:val="es-ES"/>
    </w:rPr>
  </w:style>
  <w:style w:type="table" w:styleId="Tablaconcuadrcula">
    <w:name w:val="Table Grid"/>
    <w:basedOn w:val="Tablanormal"/>
    <w:uiPriority w:val="59"/>
    <w:rsid w:val="00A7655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655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655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2614</Words>
  <Characters>14377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2024-01-22T18:53:00Z</cp:lastPrinted>
  <dcterms:created xsi:type="dcterms:W3CDTF">2024-01-22T17:29:00Z</dcterms:created>
  <dcterms:modified xsi:type="dcterms:W3CDTF">2024-01-22T18:53:00Z</dcterms:modified>
</cp:coreProperties>
</file>