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49BCC" w14:textId="77777777" w:rsidR="003A4D84" w:rsidRDefault="003A4D84" w:rsidP="009453F2">
      <w:pPr>
        <w:tabs>
          <w:tab w:val="left" w:pos="1843"/>
        </w:tabs>
        <w:spacing w:after="0" w:line="360" w:lineRule="auto"/>
        <w:jc w:val="both"/>
        <w:rPr>
          <w:rFonts w:ascii="Palatino Linotype" w:hAnsi="Palatino Linotype" w:cs="Tahoma"/>
          <w:b/>
        </w:rPr>
      </w:pPr>
    </w:p>
    <w:p w14:paraId="4A463455" w14:textId="594AE51E" w:rsidR="009453F2" w:rsidRDefault="009453F2" w:rsidP="009453F2">
      <w:pPr>
        <w:tabs>
          <w:tab w:val="left" w:pos="1843"/>
        </w:tabs>
        <w:spacing w:after="0" w:line="360" w:lineRule="auto"/>
        <w:jc w:val="both"/>
        <w:rPr>
          <w:rFonts w:ascii="Palatino Linotype" w:hAnsi="Palatino Linotype" w:cs="Tahoma"/>
          <w:b/>
        </w:rPr>
      </w:pPr>
      <w:r w:rsidRPr="00274A5F">
        <w:rPr>
          <w:rFonts w:ascii="Palatino Linotype" w:hAnsi="Palatino Linotype" w:cs="Tahoma"/>
          <w:b/>
        </w:rPr>
        <w:t xml:space="preserve">VOTO PARTICULAR QUE FORMULA EL COMISIONADO LUIS GUSTAVO PARRA NORIEGA, A LA RESOLUCIÓN DEL RECURSO DE REVISIÓN </w:t>
      </w:r>
      <w:r>
        <w:rPr>
          <w:rFonts w:ascii="Palatino Linotype" w:eastAsia="Palatino Linotype" w:hAnsi="Palatino Linotype" w:cs="Palatino Linotype"/>
          <w:b/>
        </w:rPr>
        <w:t>04354</w:t>
      </w:r>
      <w:r w:rsidRPr="00274A5F">
        <w:rPr>
          <w:rFonts w:ascii="Palatino Linotype" w:eastAsia="Palatino Linotype" w:hAnsi="Palatino Linotype" w:cs="Palatino Linotype"/>
          <w:b/>
        </w:rPr>
        <w:t>/INFOEM/IP/RR/202</w:t>
      </w:r>
      <w:r>
        <w:rPr>
          <w:rFonts w:ascii="Palatino Linotype" w:eastAsia="Palatino Linotype" w:hAnsi="Palatino Linotype" w:cs="Palatino Linotype"/>
          <w:b/>
        </w:rPr>
        <w:t>3</w:t>
      </w:r>
      <w:r w:rsidRPr="00274A5F">
        <w:rPr>
          <w:rFonts w:ascii="Palatino Linotype" w:hAnsi="Palatino Linotype"/>
          <w:b/>
          <w:lang w:val="es-MX"/>
        </w:rPr>
        <w:t>,</w:t>
      </w:r>
      <w:r w:rsidRPr="00274A5F">
        <w:rPr>
          <w:rFonts w:ascii="Palatino Linotype" w:hAnsi="Palatino Linotype" w:cs="Tahoma"/>
          <w:b/>
        </w:rPr>
        <w:t xml:space="preserve"> PROMOVIDO EN CONTRA DEL </w:t>
      </w:r>
      <w:r>
        <w:rPr>
          <w:rFonts w:ascii="Palatino Linotype" w:hAnsi="Palatino Linotype" w:cs="Tahoma"/>
          <w:b/>
        </w:rPr>
        <w:t>AYUNTAMIENTO DE ATLAUTLA.</w:t>
      </w:r>
    </w:p>
    <w:p w14:paraId="025278D9" w14:textId="77777777" w:rsidR="009453F2" w:rsidRPr="00274A5F" w:rsidRDefault="009453F2" w:rsidP="009453F2">
      <w:pPr>
        <w:tabs>
          <w:tab w:val="left" w:pos="1843"/>
        </w:tabs>
        <w:spacing w:after="0" w:line="360" w:lineRule="auto"/>
        <w:jc w:val="both"/>
        <w:rPr>
          <w:rFonts w:ascii="Palatino Linotype" w:hAnsi="Palatino Linotype" w:cs="Arial"/>
          <w:b/>
          <w:sz w:val="24"/>
          <w:szCs w:val="24"/>
        </w:rPr>
      </w:pPr>
    </w:p>
    <w:p w14:paraId="30F2D9C0" w14:textId="1E7F4CDA" w:rsidR="009453F2" w:rsidRDefault="009453F2" w:rsidP="009453F2">
      <w:pPr>
        <w:tabs>
          <w:tab w:val="left" w:pos="1843"/>
        </w:tabs>
        <w:spacing w:after="0" w:line="360" w:lineRule="auto"/>
        <w:jc w:val="both"/>
        <w:rPr>
          <w:rFonts w:ascii="Palatino Linotype" w:hAnsi="Palatino Linotype"/>
          <w:b/>
          <w:lang w:val="es-MX"/>
        </w:rPr>
      </w:pPr>
      <w:r w:rsidRPr="00274A5F">
        <w:rPr>
          <w:rFonts w:ascii="Palatino Linotype" w:hAnsi="Palatino Linotype" w:cs="Tahoma"/>
        </w:rPr>
        <w:t xml:space="preserve">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45, 48, fracción I, de los Lineamientos para el funcionamiento del Pleno y las Comisiones del Instituto de Transparencia, Acceso a la Información Pública y Protección de Datos Personales del Estado de México y Municipios, emito el presente </w:t>
      </w:r>
      <w:r w:rsidRPr="00274A5F">
        <w:rPr>
          <w:rFonts w:ascii="Palatino Linotype" w:hAnsi="Palatino Linotype" w:cs="Tahoma"/>
          <w:b/>
        </w:rPr>
        <w:t>Voto Particular</w:t>
      </w:r>
      <w:r w:rsidRPr="00274A5F">
        <w:rPr>
          <w:rFonts w:ascii="Palatino Linotype" w:hAnsi="Palatino Linotype" w:cs="Tahoma"/>
        </w:rPr>
        <w:t xml:space="preserve"> por no compartir en su totalidad las consideraciones que sustentan la Resolución del Recurso de Revisión </w:t>
      </w:r>
      <w:r>
        <w:rPr>
          <w:rFonts w:ascii="Palatino Linotype" w:eastAsia="Palatino Linotype" w:hAnsi="Palatino Linotype" w:cs="Palatino Linotype"/>
          <w:b/>
        </w:rPr>
        <w:t>04354</w:t>
      </w:r>
      <w:r w:rsidRPr="00274A5F">
        <w:rPr>
          <w:rFonts w:ascii="Palatino Linotype" w:eastAsia="Palatino Linotype" w:hAnsi="Palatino Linotype" w:cs="Palatino Linotype"/>
          <w:b/>
        </w:rPr>
        <w:t>/INFOEM/IP/RR/</w:t>
      </w:r>
      <w:r>
        <w:rPr>
          <w:rFonts w:ascii="Palatino Linotype" w:eastAsia="Palatino Linotype" w:hAnsi="Palatino Linotype" w:cs="Palatino Linotype"/>
          <w:b/>
        </w:rPr>
        <w:t>2023</w:t>
      </w:r>
      <w:r w:rsidRPr="00274A5F">
        <w:rPr>
          <w:rFonts w:ascii="Palatino Linotype" w:hAnsi="Palatino Linotype"/>
          <w:b/>
          <w:lang w:val="es-MX"/>
        </w:rPr>
        <w:t>.</w:t>
      </w:r>
    </w:p>
    <w:p w14:paraId="6F986813" w14:textId="77777777" w:rsidR="009453F2" w:rsidRPr="00DF0541" w:rsidRDefault="009453F2" w:rsidP="009453F2">
      <w:pPr>
        <w:tabs>
          <w:tab w:val="left" w:pos="1843"/>
        </w:tabs>
        <w:spacing w:after="0" w:line="360" w:lineRule="auto"/>
        <w:jc w:val="both"/>
        <w:rPr>
          <w:rFonts w:ascii="Palatino Linotype" w:hAnsi="Palatino Linotype"/>
          <w:b/>
          <w:lang w:val="es-MX"/>
        </w:rPr>
      </w:pPr>
    </w:p>
    <w:p w14:paraId="2B66E270" w14:textId="59EF59A2" w:rsidR="0040472D" w:rsidRDefault="009453F2" w:rsidP="009453F2">
      <w:pPr>
        <w:spacing w:after="0" w:line="360" w:lineRule="auto"/>
        <w:jc w:val="both"/>
        <w:rPr>
          <w:rFonts w:ascii="Palatino Linotype" w:hAnsi="Palatino Linotype" w:cs="Tahoma"/>
        </w:rPr>
      </w:pPr>
      <w:r w:rsidRPr="000C73AC">
        <w:rPr>
          <w:rFonts w:ascii="Palatino Linotype" w:hAnsi="Palatino Linotype" w:cs="Tahoma"/>
        </w:rPr>
        <w:t xml:space="preserve">Como se desprende de la Resolución en comento, </w:t>
      </w:r>
      <w:r w:rsidRPr="00E0169A">
        <w:rPr>
          <w:rFonts w:ascii="Palatino Linotype" w:hAnsi="Palatino Linotype" w:cs="Tahoma"/>
          <w:bCs/>
        </w:rPr>
        <w:t>el Particular solicitó entre otras cosas</w:t>
      </w:r>
      <w:r w:rsidR="0090293D">
        <w:rPr>
          <w:rFonts w:ascii="Palatino Linotype" w:hAnsi="Palatino Linotype" w:cs="Tahoma"/>
          <w:bCs/>
        </w:rPr>
        <w:t xml:space="preserve"> información desde</w:t>
      </w:r>
      <w:r w:rsidRPr="00E55E9D">
        <w:rPr>
          <w:rFonts w:ascii="Palatino Linotype" w:hAnsi="Palatino Linotype" w:cs="Tahoma"/>
          <w:b/>
          <w:bCs/>
          <w:i/>
          <w:lang w:val="es-ES_tradnl"/>
        </w:rPr>
        <w:t xml:space="preserve"> 2017 a 2023 y desglosado por año, nombres y montos económicos de personal contratado bajo el esquema asimilados a salarios</w:t>
      </w:r>
      <w:r>
        <w:rPr>
          <w:rFonts w:ascii="Palatino Linotype" w:hAnsi="Palatino Linotype" w:cs="Tahoma"/>
        </w:rPr>
        <w:t>; al respecto,</w:t>
      </w:r>
      <w:r w:rsidRPr="009105B8">
        <w:rPr>
          <w:rFonts w:ascii="Palatino Linotype" w:hAnsi="Palatino Linotype" w:cs="Tahoma"/>
        </w:rPr>
        <w:t xml:space="preserve"> </w:t>
      </w:r>
      <w:r>
        <w:rPr>
          <w:rFonts w:ascii="Palatino Linotype" w:hAnsi="Palatino Linotype" w:cs="Tahoma"/>
        </w:rPr>
        <w:t xml:space="preserve">este Organismo Garante ordenó la entrega de la información, no obstante, se precisó que, para el caso que </w:t>
      </w:r>
      <w:r>
        <w:rPr>
          <w:rFonts w:ascii="Palatino Linotype" w:eastAsia="Palatino Linotype" w:hAnsi="Palatino Linotype" w:cs="Palatino Linotype"/>
        </w:rPr>
        <w:t xml:space="preserve">se actualice una causal de reserva prevista en el artículo 140 de la Ley de Transparencia </w:t>
      </w:r>
      <w:r w:rsidRPr="009105B8">
        <w:rPr>
          <w:rFonts w:ascii="Palatino Linotype" w:eastAsia="Palatino Linotype" w:hAnsi="Palatino Linotype" w:cs="Palatino Linotype"/>
        </w:rPr>
        <w:t>y Acceso a la Información pública del</w:t>
      </w:r>
      <w:r>
        <w:rPr>
          <w:rFonts w:ascii="Palatino Linotype" w:eastAsia="Palatino Linotype" w:hAnsi="Palatino Linotype" w:cs="Palatino Linotype"/>
        </w:rPr>
        <w:t xml:space="preserve"> Estado de México y Municipios, deberá hacer entrega del acuerdo del Comité de Transparencia, por el cual se funde y motive la clasificación de la información como reservada.</w:t>
      </w:r>
    </w:p>
    <w:p w14:paraId="72F1CD83" w14:textId="756C9208" w:rsidR="002F4CEB" w:rsidRDefault="002F4CEB" w:rsidP="002F4CEB">
      <w:pPr>
        <w:spacing w:after="0" w:line="360" w:lineRule="auto"/>
        <w:jc w:val="both"/>
        <w:rPr>
          <w:rFonts w:ascii="Palatino Linotype" w:hAnsi="Palatino Linotype" w:cs="Tahoma"/>
        </w:rPr>
      </w:pPr>
    </w:p>
    <w:p w14:paraId="3E274007" w14:textId="77777777" w:rsidR="001B287D" w:rsidRDefault="001B287D" w:rsidP="002F4CEB">
      <w:pPr>
        <w:spacing w:after="0" w:line="360" w:lineRule="auto"/>
        <w:jc w:val="both"/>
        <w:rPr>
          <w:rFonts w:ascii="Palatino Linotype" w:hAnsi="Palatino Linotype" w:cs="Tahoma"/>
        </w:rPr>
      </w:pPr>
    </w:p>
    <w:p w14:paraId="20713E01" w14:textId="7FF3505E" w:rsidR="002E5CC1" w:rsidRDefault="002F4CEB" w:rsidP="002F4CEB">
      <w:pPr>
        <w:spacing w:after="0" w:line="360" w:lineRule="auto"/>
        <w:jc w:val="both"/>
        <w:rPr>
          <w:rFonts w:ascii="Palatino Linotype" w:hAnsi="Palatino Linotype" w:cs="Tahoma"/>
        </w:rPr>
      </w:pPr>
      <w:r>
        <w:rPr>
          <w:rFonts w:ascii="Palatino Linotype" w:hAnsi="Palatino Linotype" w:cs="Tahoma"/>
        </w:rPr>
        <w:lastRenderedPageBreak/>
        <w:t xml:space="preserve">En este sentido, si bien, coincido con los términos generales planteados en la Resolución, así como con </w:t>
      </w:r>
      <w:r w:rsidRPr="00D76A6E">
        <w:rPr>
          <w:rFonts w:ascii="Palatino Linotype" w:hAnsi="Palatino Linotype" w:cs="Tahoma"/>
          <w:u w:val="single"/>
        </w:rPr>
        <w:t>la reserva del nombre de aquellos servidores públicos que realizan funciones de seguridad pública</w:t>
      </w:r>
      <w:r w:rsidR="002E5CC1">
        <w:rPr>
          <w:rFonts w:ascii="Palatino Linotype" w:hAnsi="Palatino Linotype" w:cs="Tahoma"/>
        </w:rPr>
        <w:t>, consider</w:t>
      </w:r>
      <w:r w:rsidR="00D76A6E">
        <w:rPr>
          <w:rFonts w:ascii="Palatino Linotype" w:hAnsi="Palatino Linotype" w:cs="Tahoma"/>
        </w:rPr>
        <w:t>o</w:t>
      </w:r>
      <w:r w:rsidR="002E5CC1">
        <w:rPr>
          <w:rFonts w:ascii="Palatino Linotype" w:hAnsi="Palatino Linotype" w:cs="Tahoma"/>
        </w:rPr>
        <w:t xml:space="preserve"> que para acreditar dicha circunstancia el Organismo Garante debe de desarrollar y estudi</w:t>
      </w:r>
      <w:r w:rsidR="009453F2">
        <w:rPr>
          <w:rFonts w:ascii="Palatino Linotype" w:hAnsi="Palatino Linotype" w:cs="Tahoma"/>
        </w:rPr>
        <w:t>ar la prueba de daño específica</w:t>
      </w:r>
      <w:r w:rsidR="002E5CC1">
        <w:rPr>
          <w:rFonts w:ascii="Palatino Linotype" w:hAnsi="Palatino Linotype" w:cs="Tahoma"/>
        </w:rPr>
        <w:t>.</w:t>
      </w:r>
    </w:p>
    <w:p w14:paraId="14B4005E" w14:textId="77777777" w:rsidR="009453F2" w:rsidRDefault="009453F2" w:rsidP="002F4CEB">
      <w:pPr>
        <w:spacing w:after="0" w:line="360" w:lineRule="auto"/>
        <w:jc w:val="both"/>
        <w:rPr>
          <w:rFonts w:ascii="Palatino Linotype" w:hAnsi="Palatino Linotype" w:cs="Tahoma"/>
          <w:b/>
          <w:bCs/>
        </w:rPr>
      </w:pPr>
    </w:p>
    <w:p w14:paraId="4DFDCE9A" w14:textId="68BEED85" w:rsidR="00D76A6E" w:rsidRPr="00C75CD8" w:rsidRDefault="00D76A6E" w:rsidP="002F4CEB">
      <w:pPr>
        <w:spacing w:after="0" w:line="360" w:lineRule="auto"/>
        <w:jc w:val="both"/>
        <w:rPr>
          <w:rFonts w:ascii="Palatino Linotype" w:hAnsi="Palatino Linotype" w:cs="Tahoma"/>
          <w:b/>
          <w:bCs/>
        </w:rPr>
      </w:pPr>
      <w:r w:rsidRPr="00C75CD8">
        <w:rPr>
          <w:rFonts w:ascii="Palatino Linotype" w:hAnsi="Palatino Linotype" w:cs="Tahoma"/>
          <w:b/>
          <w:bCs/>
        </w:rPr>
        <w:t>A) Clasificación del nombre de los elementos operativos de segurid</w:t>
      </w:r>
      <w:r w:rsidR="004B15AF">
        <w:rPr>
          <w:rFonts w:ascii="Palatino Linotype" w:hAnsi="Palatino Linotype" w:cs="Tahoma"/>
          <w:b/>
          <w:bCs/>
        </w:rPr>
        <w:t>ad pública</w:t>
      </w:r>
    </w:p>
    <w:p w14:paraId="0600E498" w14:textId="77777777" w:rsidR="00C75CD8" w:rsidRDefault="00C75CD8" w:rsidP="002F4CEB">
      <w:pPr>
        <w:spacing w:after="0" w:line="360" w:lineRule="auto"/>
        <w:jc w:val="both"/>
        <w:rPr>
          <w:rFonts w:ascii="Palatino Linotype" w:hAnsi="Palatino Linotype" w:cs="Tahoma"/>
        </w:rPr>
      </w:pPr>
    </w:p>
    <w:p w14:paraId="41661194" w14:textId="4091FA0B" w:rsidR="002F4CEB" w:rsidRDefault="002E5CC1" w:rsidP="001A758C">
      <w:pPr>
        <w:spacing w:after="0" w:line="360" w:lineRule="auto"/>
        <w:jc w:val="both"/>
        <w:rPr>
          <w:rFonts w:ascii="Palatino Linotype" w:hAnsi="Palatino Linotype" w:cs="Tahoma"/>
        </w:rPr>
      </w:pPr>
      <w:r>
        <w:rPr>
          <w:rFonts w:ascii="Palatino Linotype" w:hAnsi="Palatino Linotype" w:cs="Tahoma"/>
        </w:rPr>
        <w:t>Por lo que hace a</w:t>
      </w:r>
      <w:r w:rsidR="00C75CD8">
        <w:rPr>
          <w:rFonts w:ascii="Palatino Linotype" w:hAnsi="Palatino Linotype" w:cs="Tahoma"/>
        </w:rPr>
        <w:t xml:space="preserve"> </w:t>
      </w:r>
      <w:r>
        <w:rPr>
          <w:rFonts w:ascii="Palatino Linotype" w:hAnsi="Palatino Linotype" w:cs="Tahoma"/>
        </w:rPr>
        <w:t>la clasificación del nombre de elementos operativos</w:t>
      </w:r>
      <w:r w:rsidR="002F4CEB">
        <w:rPr>
          <w:rFonts w:ascii="Palatino Linotype" w:hAnsi="Palatino Linotype" w:cs="Tahoma"/>
        </w:rPr>
        <w:t>, consider</w:t>
      </w:r>
      <w:r>
        <w:rPr>
          <w:rFonts w:ascii="Palatino Linotype" w:hAnsi="Palatino Linotype" w:cs="Tahoma"/>
        </w:rPr>
        <w:t>o</w:t>
      </w:r>
      <w:r w:rsidR="002F4CEB">
        <w:rPr>
          <w:rFonts w:ascii="Palatino Linotype" w:hAnsi="Palatino Linotype" w:cs="Tahoma"/>
        </w:rPr>
        <w:t xml:space="preserve"> especialmente que el tema de la reserva debe analizarse de forma tal que se plantee en el estudio la prueba de daño que permit</w:t>
      </w:r>
      <w:r>
        <w:rPr>
          <w:rFonts w:ascii="Palatino Linotype" w:hAnsi="Palatino Linotype" w:cs="Tahoma"/>
        </w:rPr>
        <w:t>a</w:t>
      </w:r>
      <w:r w:rsidR="002F4CEB">
        <w:rPr>
          <w:rFonts w:ascii="Palatino Linotype" w:hAnsi="Palatino Linotype" w:cs="Tahoma"/>
        </w:rPr>
        <w:t xml:space="preserve"> a este Organismo Garante confirmar que la entrega de la información causa un daño al interés públic</w:t>
      </w:r>
      <w:r>
        <w:rPr>
          <w:rFonts w:ascii="Palatino Linotype" w:hAnsi="Palatino Linotype" w:cs="Tahoma"/>
        </w:rPr>
        <w:t>o y</w:t>
      </w:r>
      <w:r w:rsidR="002F4CEB">
        <w:rPr>
          <w:rFonts w:ascii="Palatino Linotype" w:hAnsi="Palatino Linotype" w:cs="Tahoma"/>
        </w:rPr>
        <w:t xml:space="preserve"> que en ese caso particular</w:t>
      </w:r>
      <w:r>
        <w:rPr>
          <w:rFonts w:ascii="Palatino Linotype" w:hAnsi="Palatino Linotype" w:cs="Tahoma"/>
        </w:rPr>
        <w:t>,</w:t>
      </w:r>
      <w:r w:rsidR="002F4CEB">
        <w:rPr>
          <w:rFonts w:ascii="Palatino Linotype" w:hAnsi="Palatino Linotype" w:cs="Tahoma"/>
        </w:rPr>
        <w:t xml:space="preserve"> supera el derecho de acceso a la información de un particular; lo anterior</w:t>
      </w:r>
      <w:r w:rsidR="00C75CD8">
        <w:rPr>
          <w:rFonts w:ascii="Palatino Linotype" w:hAnsi="Palatino Linotype" w:cs="Tahoma"/>
        </w:rPr>
        <w:t>,</w:t>
      </w:r>
      <w:r w:rsidR="002F4CEB">
        <w:rPr>
          <w:rFonts w:ascii="Palatino Linotype" w:hAnsi="Palatino Linotype" w:cs="Tahoma"/>
        </w:rPr>
        <w:t xml:space="preserve"> en virtud de que, para que proceda o no la reserva</w:t>
      </w:r>
      <w:r>
        <w:rPr>
          <w:rFonts w:ascii="Palatino Linotype" w:hAnsi="Palatino Linotype" w:cs="Tahoma"/>
        </w:rPr>
        <w:t>,</w:t>
      </w:r>
      <w:r w:rsidR="002F4CEB">
        <w:rPr>
          <w:rFonts w:ascii="Palatino Linotype" w:hAnsi="Palatino Linotype" w:cs="Tahoma"/>
        </w:rPr>
        <w:t xml:space="preserve"> no basta con que se actualice el dispositivo normativo </w:t>
      </w:r>
      <w:r w:rsidR="00C75CD8">
        <w:rPr>
          <w:rFonts w:ascii="Palatino Linotype" w:hAnsi="Palatino Linotype" w:cs="Tahoma"/>
        </w:rPr>
        <w:t xml:space="preserve">previsto en el artículo 140 de la </w:t>
      </w:r>
      <w:r w:rsidR="00C75CD8" w:rsidRPr="00885189">
        <w:rPr>
          <w:rFonts w:ascii="Palatino Linotype" w:hAnsi="Palatino Linotype" w:cs="Tahoma"/>
        </w:rPr>
        <w:t>Ley de Transparencia y Acceso a la Información Pública del Estado de México y Municipios</w:t>
      </w:r>
      <w:r w:rsidR="002F4CEB">
        <w:rPr>
          <w:rFonts w:ascii="Palatino Linotype" w:hAnsi="Palatino Linotype" w:cs="Tahoma"/>
        </w:rPr>
        <w:t xml:space="preserve">, sino que además es menester acreditar </w:t>
      </w:r>
      <w:r>
        <w:rPr>
          <w:rFonts w:ascii="Palatino Linotype" w:hAnsi="Palatino Linotype" w:cs="Tahoma"/>
        </w:rPr>
        <w:t xml:space="preserve">la </w:t>
      </w:r>
      <w:r w:rsidR="002F4CEB">
        <w:rPr>
          <w:rFonts w:ascii="Palatino Linotype" w:hAnsi="Palatino Linotype" w:cs="Tahoma"/>
        </w:rPr>
        <w:t xml:space="preserve">prueba de daño, de conformidad con lo establecido en los artículos 128, 129 y 130 de la </w:t>
      </w:r>
      <w:r w:rsidR="002F4CEB" w:rsidRPr="00885189">
        <w:rPr>
          <w:rFonts w:ascii="Palatino Linotype" w:hAnsi="Palatino Linotype" w:cs="Tahoma"/>
        </w:rPr>
        <w:t xml:space="preserve">Ley </w:t>
      </w:r>
      <w:r w:rsidR="00C75CD8">
        <w:rPr>
          <w:rFonts w:ascii="Palatino Linotype" w:hAnsi="Palatino Linotype" w:cs="Tahoma"/>
        </w:rPr>
        <w:t>antes citada</w:t>
      </w:r>
      <w:r w:rsidR="002F4CEB">
        <w:rPr>
          <w:rFonts w:ascii="Palatino Linotype" w:hAnsi="Palatino Linotype" w:cs="Tahoma"/>
        </w:rPr>
        <w:t xml:space="preserve">, en relación </w:t>
      </w:r>
      <w:r w:rsidR="001A758C">
        <w:rPr>
          <w:rFonts w:ascii="Palatino Linotype" w:hAnsi="Palatino Linotype" w:cs="Tahoma"/>
        </w:rPr>
        <w:t>con el</w:t>
      </w:r>
      <w:r w:rsidR="002F4CEB">
        <w:rPr>
          <w:rFonts w:ascii="Palatino Linotype" w:hAnsi="Palatino Linotype" w:cs="Tahoma"/>
        </w:rPr>
        <w:t xml:space="preserve"> </w:t>
      </w:r>
      <w:r w:rsidR="001A758C">
        <w:rPr>
          <w:rFonts w:ascii="Palatino Linotype" w:hAnsi="Palatino Linotype" w:cs="Tahoma"/>
        </w:rPr>
        <w:t xml:space="preserve">Trigésimo de los </w:t>
      </w:r>
      <w:r w:rsidR="001A758C" w:rsidRPr="001A758C">
        <w:rPr>
          <w:rFonts w:ascii="Palatino Linotype" w:hAnsi="Palatino Linotype" w:cs="Tahoma"/>
        </w:rPr>
        <w:t>Lineamientos Generales en Materia de Clasificación y</w:t>
      </w:r>
      <w:r w:rsidR="001A758C">
        <w:rPr>
          <w:rFonts w:ascii="Palatino Linotype" w:hAnsi="Palatino Linotype" w:cs="Tahoma"/>
        </w:rPr>
        <w:t xml:space="preserve"> </w:t>
      </w:r>
      <w:r w:rsidR="001A758C" w:rsidRPr="001A758C">
        <w:rPr>
          <w:rFonts w:ascii="Palatino Linotype" w:hAnsi="Palatino Linotype" w:cs="Tahoma"/>
        </w:rPr>
        <w:t>Desclasificación de la Información, así como para la</w:t>
      </w:r>
      <w:r w:rsidR="001A758C">
        <w:rPr>
          <w:rFonts w:ascii="Palatino Linotype" w:hAnsi="Palatino Linotype" w:cs="Tahoma"/>
        </w:rPr>
        <w:t xml:space="preserve"> </w:t>
      </w:r>
      <w:r w:rsidR="001A758C" w:rsidRPr="001A758C">
        <w:rPr>
          <w:rFonts w:ascii="Palatino Linotype" w:hAnsi="Palatino Linotype" w:cs="Tahoma"/>
        </w:rPr>
        <w:t>Elaboración de Versiones Públicas</w:t>
      </w:r>
      <w:r w:rsidR="001A758C">
        <w:rPr>
          <w:rFonts w:ascii="Palatino Linotype" w:hAnsi="Palatino Linotype" w:cs="Tahoma"/>
        </w:rPr>
        <w:t>.</w:t>
      </w:r>
    </w:p>
    <w:p w14:paraId="03BD1F54" w14:textId="77777777" w:rsidR="002F4CEB" w:rsidRDefault="002F4CEB" w:rsidP="002F4CEB">
      <w:pPr>
        <w:spacing w:after="0" w:line="360" w:lineRule="auto"/>
        <w:jc w:val="both"/>
        <w:rPr>
          <w:rFonts w:ascii="Palatino Linotype" w:hAnsi="Palatino Linotype" w:cs="Tahoma"/>
        </w:rPr>
      </w:pPr>
    </w:p>
    <w:p w14:paraId="096794B6" w14:textId="07A8D18D" w:rsidR="002F4CEB" w:rsidRDefault="002F4CEB" w:rsidP="002F4CEB">
      <w:pPr>
        <w:spacing w:after="0" w:line="360" w:lineRule="auto"/>
        <w:jc w:val="both"/>
        <w:rPr>
          <w:rFonts w:ascii="Palatino Linotype" w:hAnsi="Palatino Linotype" w:cs="Tahoma"/>
        </w:rPr>
      </w:pPr>
      <w:r>
        <w:rPr>
          <w:rFonts w:ascii="Palatino Linotype" w:hAnsi="Palatino Linotype" w:cs="Tahoma"/>
        </w:rPr>
        <w:t>Es importante</w:t>
      </w:r>
      <w:r w:rsidR="001A758C">
        <w:rPr>
          <w:rFonts w:ascii="Palatino Linotype" w:hAnsi="Palatino Linotype" w:cs="Tahoma"/>
        </w:rPr>
        <w:t>,</w:t>
      </w:r>
      <w:r>
        <w:rPr>
          <w:rFonts w:ascii="Palatino Linotype" w:hAnsi="Palatino Linotype" w:cs="Tahoma"/>
        </w:rPr>
        <w:t xml:space="preserve"> hacer notar que</w:t>
      </w:r>
      <w:r w:rsidR="00C75CD8">
        <w:rPr>
          <w:rFonts w:ascii="Palatino Linotype" w:hAnsi="Palatino Linotype" w:cs="Tahoma"/>
        </w:rPr>
        <w:t>,</w:t>
      </w:r>
      <w:r>
        <w:rPr>
          <w:rFonts w:ascii="Palatino Linotype" w:hAnsi="Palatino Linotype" w:cs="Tahoma"/>
        </w:rPr>
        <w:t xml:space="preserve"> para estar en condiciones de confirmar o revocar la clasificación de información como reservada a través del procedimiento señalado en los </w:t>
      </w:r>
      <w:r w:rsidR="001A758C">
        <w:rPr>
          <w:rFonts w:ascii="Palatino Linotype" w:hAnsi="Palatino Linotype" w:cs="Tahoma"/>
        </w:rPr>
        <w:t>ordenamientos</w:t>
      </w:r>
      <w:r>
        <w:rPr>
          <w:rFonts w:ascii="Palatino Linotype" w:hAnsi="Palatino Linotype" w:cs="Tahoma"/>
        </w:rPr>
        <w:t xml:space="preserve"> citados, es necesario confirmar que la entrega </w:t>
      </w:r>
      <w:r w:rsidR="00C75CD8">
        <w:rPr>
          <w:rFonts w:ascii="Palatino Linotype" w:hAnsi="Palatino Linotype" w:cs="Tahoma"/>
        </w:rPr>
        <w:t xml:space="preserve">del nombre de los elementos operativos de seguridad </w:t>
      </w:r>
      <w:r w:rsidR="001B287D">
        <w:rPr>
          <w:rFonts w:ascii="Palatino Linotype" w:hAnsi="Palatino Linotype" w:cs="Tahoma"/>
        </w:rPr>
        <w:t>pública</w:t>
      </w:r>
      <w:r w:rsidR="00C75CD8">
        <w:rPr>
          <w:rFonts w:ascii="Palatino Linotype" w:hAnsi="Palatino Linotype" w:cs="Tahoma"/>
        </w:rPr>
        <w:t xml:space="preserve"> </w:t>
      </w:r>
      <w:r>
        <w:rPr>
          <w:rFonts w:ascii="Palatino Linotype" w:hAnsi="Palatino Linotype" w:cs="Tahoma"/>
        </w:rPr>
        <w:t xml:space="preserve">causaría un riesgo, real identificable y demostrable, ya que no basta con que la información actualice el </w:t>
      </w:r>
      <w:r w:rsidRPr="00976B1D">
        <w:rPr>
          <w:rFonts w:ascii="Palatino Linotype" w:hAnsi="Palatino Linotype" w:cs="Tahoma"/>
        </w:rPr>
        <w:t>supuesto de reserva del artículo 140, fracción IV, de la Ley de Transparencia de nuestra Entidad.</w:t>
      </w:r>
    </w:p>
    <w:p w14:paraId="65C0D09F" w14:textId="77777777" w:rsidR="002F4CEB" w:rsidRDefault="002F4CEB" w:rsidP="002F4CEB">
      <w:pPr>
        <w:spacing w:after="0" w:line="360" w:lineRule="auto"/>
        <w:jc w:val="both"/>
        <w:rPr>
          <w:rFonts w:ascii="Palatino Linotype" w:hAnsi="Palatino Linotype" w:cs="Tahoma"/>
        </w:rPr>
      </w:pPr>
    </w:p>
    <w:p w14:paraId="3110610B" w14:textId="654AE8BF" w:rsidR="002F4CEB" w:rsidRPr="00FB0274" w:rsidRDefault="001A758C" w:rsidP="002F4CEB">
      <w:pPr>
        <w:spacing w:after="0" w:line="360" w:lineRule="auto"/>
        <w:jc w:val="both"/>
        <w:rPr>
          <w:rFonts w:ascii="Palatino Linotype" w:hAnsi="Palatino Linotype"/>
        </w:rPr>
      </w:pPr>
      <w:r>
        <w:rPr>
          <w:rFonts w:ascii="Palatino Linotype" w:hAnsi="Palatino Linotype"/>
        </w:rPr>
        <w:lastRenderedPageBreak/>
        <w:t>Lo anterior, resulta importante</w:t>
      </w:r>
      <w:r w:rsidR="002F4CEB" w:rsidRPr="00FB0274">
        <w:rPr>
          <w:rFonts w:ascii="Palatino Linotype" w:hAnsi="Palatino Linotype"/>
        </w:rPr>
        <w:t>,</w:t>
      </w:r>
      <w:r>
        <w:rPr>
          <w:rFonts w:ascii="Palatino Linotype" w:hAnsi="Palatino Linotype"/>
        </w:rPr>
        <w:t xml:space="preserve"> toda vez que</w:t>
      </w:r>
      <w:r w:rsidR="002F4CEB" w:rsidRPr="00FB0274">
        <w:rPr>
          <w:rFonts w:ascii="Palatino Linotype" w:hAnsi="Palatino Linotype"/>
        </w:rPr>
        <w:t xml:space="preserve"> los nombres de los elementos que realizan funciones operativas, deben ser protegidos, con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w:t>
      </w:r>
      <w:r w:rsidR="00C75CD8">
        <w:rPr>
          <w:rFonts w:ascii="Palatino Linotype" w:hAnsi="Palatino Linotype"/>
        </w:rPr>
        <w:t xml:space="preserve"> incluso de las mismas áreas de seguridad pública</w:t>
      </w:r>
      <w:r w:rsidR="002F4CEB" w:rsidRPr="00FB0274">
        <w:rPr>
          <w:rFonts w:ascii="Palatino Linotype" w:hAnsi="Palatino Linotype"/>
        </w:rPr>
        <w:t>,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5C67B172" w14:textId="77777777" w:rsidR="002F4CEB" w:rsidRPr="00FB0274" w:rsidRDefault="002F4CEB" w:rsidP="002F4CEB">
      <w:pPr>
        <w:spacing w:after="0" w:line="360" w:lineRule="auto"/>
        <w:jc w:val="both"/>
        <w:rPr>
          <w:rFonts w:ascii="Palatino Linotype" w:hAnsi="Palatino Linotype"/>
        </w:rPr>
      </w:pPr>
    </w:p>
    <w:p w14:paraId="110F4313" w14:textId="1A7ED227"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 xml:space="preserve">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w:t>
      </w:r>
      <w:r w:rsidR="001A758C" w:rsidRPr="00FB0274">
        <w:rPr>
          <w:rFonts w:ascii="Palatino Linotype" w:hAnsi="Palatino Linotype"/>
        </w:rPr>
        <w:t>que,</w:t>
      </w:r>
      <w:r w:rsidRPr="00FB0274">
        <w:rPr>
          <w:rFonts w:ascii="Palatino Linotype" w:hAnsi="Palatino Linotype"/>
        </w:rPr>
        <w:t xml:space="preserve"> al pertenecer a una institución policial o área de seguridad pública, la difusión de esta información, pone en riesgo su vida,</w:t>
      </w:r>
      <w:r w:rsidR="00C75CD8">
        <w:rPr>
          <w:rFonts w:ascii="Palatino Linotype" w:hAnsi="Palatino Linotype"/>
        </w:rPr>
        <w:t xml:space="preserve"> </w:t>
      </w:r>
      <w:r w:rsidR="00F51D82">
        <w:rPr>
          <w:rFonts w:ascii="Palatino Linotype" w:hAnsi="Palatino Linotype"/>
        </w:rPr>
        <w:t>salud</w:t>
      </w:r>
      <w:r w:rsidR="00C75CD8">
        <w:rPr>
          <w:rFonts w:ascii="Palatino Linotype" w:hAnsi="Palatino Linotype"/>
        </w:rPr>
        <w:t>,</w:t>
      </w:r>
      <w:r w:rsidRPr="00FB0274">
        <w:rPr>
          <w:rFonts w:ascii="Palatino Linotype" w:hAnsi="Palatino Linotype"/>
        </w:rPr>
        <w:t xml:space="preserve"> integridad o seguridad.</w:t>
      </w:r>
    </w:p>
    <w:p w14:paraId="118CEF85" w14:textId="77777777" w:rsidR="002F4CEB" w:rsidRPr="00FB0274" w:rsidRDefault="002F4CEB" w:rsidP="002F4CEB">
      <w:pPr>
        <w:spacing w:after="0" w:line="360" w:lineRule="auto"/>
        <w:jc w:val="both"/>
        <w:rPr>
          <w:rFonts w:ascii="Palatino Linotype" w:hAnsi="Palatino Linotype"/>
        </w:rPr>
      </w:pPr>
    </w:p>
    <w:p w14:paraId="66CD7CF5" w14:textId="7C788FB2"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 xml:space="preserve">Se afirma lo anterior, en virtud de que no debe perderse de vista que 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 con el artículo 140, fracción IV, de la Ley </w:t>
      </w:r>
      <w:r w:rsidR="00C75CD8">
        <w:rPr>
          <w:rFonts w:ascii="Palatino Linotype" w:hAnsi="Palatino Linotype"/>
        </w:rPr>
        <w:t>Local</w:t>
      </w:r>
      <w:r w:rsidRPr="00FB0274">
        <w:rPr>
          <w:rFonts w:ascii="Palatino Linotype" w:hAnsi="Palatino Linotype"/>
        </w:rPr>
        <w:t>, antes referido, el cual dispone lo siguiente:</w:t>
      </w:r>
    </w:p>
    <w:p w14:paraId="743FB352" w14:textId="77777777" w:rsidR="002F4CEB" w:rsidRPr="006A7606" w:rsidRDefault="002F4CEB" w:rsidP="002F4CEB">
      <w:pPr>
        <w:spacing w:after="0" w:line="360" w:lineRule="auto"/>
        <w:jc w:val="both"/>
        <w:rPr>
          <w:rFonts w:ascii="Palatino Linotype" w:eastAsia="MS Mincho" w:hAnsi="Palatino Linotype" w:cs="Arial"/>
        </w:rPr>
      </w:pPr>
    </w:p>
    <w:p w14:paraId="4ACF3558"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1A758C">
        <w:rPr>
          <w:rFonts w:ascii="Palatino Linotype" w:eastAsia="MS Mincho" w:hAnsi="Palatino Linotype" w:cs="Arial"/>
          <w:b/>
          <w:bCs/>
          <w:i/>
          <w:sz w:val="20"/>
          <w:szCs w:val="20"/>
        </w:rPr>
        <w:t>“Artículo 140.</w:t>
      </w:r>
      <w:r w:rsidRPr="006E2C84">
        <w:rPr>
          <w:rFonts w:ascii="Palatino Linotype" w:eastAsia="MS Mincho" w:hAnsi="Palatino Linotype" w:cs="Arial"/>
          <w:i/>
          <w:sz w:val="20"/>
          <w:szCs w:val="20"/>
        </w:rPr>
        <w:t xml:space="preserve"> El acceso a la información pública será restringido excepcionalmente, cuando por razones de interés público, ésta sea clasificada como reservada, conforme a los criterios siguientes:</w:t>
      </w:r>
    </w:p>
    <w:p w14:paraId="0A3E41D2"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116FC865"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08677986"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04ADD151" w14:textId="77777777" w:rsidR="002F4CEB" w:rsidRDefault="002F4CEB" w:rsidP="002F4CEB">
      <w:pPr>
        <w:spacing w:after="0" w:line="360" w:lineRule="auto"/>
        <w:jc w:val="both"/>
        <w:rPr>
          <w:rFonts w:ascii="Palatino Linotype" w:eastAsia="MS Mincho" w:hAnsi="Palatino Linotype" w:cs="Arial"/>
        </w:rPr>
      </w:pPr>
    </w:p>
    <w:p w14:paraId="1B43B66B" w14:textId="60111A7E" w:rsidR="002F4CEB" w:rsidRPr="001A758C" w:rsidRDefault="002F4CEB" w:rsidP="002F4CEB">
      <w:pPr>
        <w:spacing w:after="0" w:line="360" w:lineRule="auto"/>
        <w:jc w:val="both"/>
        <w:rPr>
          <w:rFonts w:ascii="Palatino Linotype" w:eastAsia="MS Mincho" w:hAnsi="Palatino Linotype" w:cs="Arial"/>
          <w:b/>
        </w:rPr>
      </w:pPr>
      <w:r>
        <w:rPr>
          <w:rFonts w:ascii="Palatino Linotype" w:hAnsi="Palatino Linotype" w:cs="Tahoma"/>
        </w:rPr>
        <w:t xml:space="preserve">Además, el Vigésimo tercero de los Lineamientos Generales en Materia de Clasificación y Desclasificación de la Información, así como para la Elaboración de Versiones Públicas, establece que, para actualizar la causal de reserva aludida, se deberá </w:t>
      </w:r>
      <w:r w:rsidRPr="00C75CD8">
        <w:rPr>
          <w:rFonts w:ascii="Palatino Linotype" w:eastAsia="Calibri" w:hAnsi="Palatino Linotype" w:cs="Tahoma"/>
          <w:b/>
          <w:bCs/>
          <w:u w:val="single"/>
        </w:rPr>
        <w:t>acreditar el vínculo</w:t>
      </w:r>
      <w:r w:rsidRPr="000F496B">
        <w:rPr>
          <w:rFonts w:ascii="Palatino Linotype" w:eastAsia="Calibri" w:hAnsi="Palatino Linotype" w:cs="Tahoma"/>
          <w:b/>
          <w:bCs/>
        </w:rPr>
        <w:t>, entre la persona física y la información que pueda poner en riesgo su vida, seguridad o salud</w:t>
      </w:r>
      <w:r w:rsidR="001A758C">
        <w:rPr>
          <w:rFonts w:ascii="Palatino Linotype" w:eastAsia="Calibri" w:hAnsi="Palatino Linotype" w:cs="Tahoma"/>
          <w:bCs/>
        </w:rPr>
        <w:t xml:space="preserve">, </w:t>
      </w:r>
      <w:r w:rsidR="001A758C">
        <w:rPr>
          <w:rFonts w:ascii="Palatino Linotype" w:eastAsia="Calibri" w:hAnsi="Palatino Linotype" w:cs="Tahoma"/>
          <w:b/>
        </w:rPr>
        <w:t>por medio de la especificación del bien jurídico que será afectado, así como, el potencial del daño o riesgo que causaría.</w:t>
      </w:r>
    </w:p>
    <w:p w14:paraId="0FB9DDDF" w14:textId="77777777" w:rsidR="002F4CEB" w:rsidRDefault="002F4CEB" w:rsidP="002F4CEB">
      <w:pPr>
        <w:spacing w:after="0" w:line="360" w:lineRule="auto"/>
        <w:jc w:val="both"/>
        <w:rPr>
          <w:rFonts w:ascii="Palatino Linotype" w:eastAsia="MS Mincho" w:hAnsi="Palatino Linotype" w:cs="Arial"/>
        </w:rPr>
      </w:pPr>
    </w:p>
    <w:p w14:paraId="688173EC" w14:textId="02333F7D" w:rsidR="002F4CEB" w:rsidRPr="006A7606" w:rsidRDefault="002F4CEB" w:rsidP="002F4CEB">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w:t>
      </w:r>
      <w:r w:rsidR="00ED313F">
        <w:rPr>
          <w:rFonts w:ascii="Palatino Linotype" w:eastAsia="MS Mincho" w:hAnsi="Palatino Linotype" w:cs="Arial"/>
        </w:rPr>
        <w:t>,</w:t>
      </w:r>
      <w:r w:rsidRPr="006A7606">
        <w:rPr>
          <w:rFonts w:ascii="Palatino Linotype" w:eastAsia="MS Mincho" w:hAnsi="Palatino Linotype" w:cs="Arial"/>
        </w:rPr>
        <w:t xml:space="preserv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4949229D" w14:textId="77777777" w:rsidR="002F4CEB" w:rsidRPr="006A7606" w:rsidRDefault="002F4CEB" w:rsidP="002F4CEB">
      <w:pPr>
        <w:spacing w:after="0" w:line="360" w:lineRule="auto"/>
        <w:jc w:val="both"/>
        <w:rPr>
          <w:rFonts w:ascii="Palatino Linotype" w:eastAsia="MS Mincho" w:hAnsi="Palatino Linotype" w:cs="Arial"/>
          <w:lang w:val="es-ES_tradnl"/>
        </w:rPr>
      </w:pPr>
    </w:p>
    <w:p w14:paraId="15C1C0DF" w14:textId="77777777" w:rsidR="002F4CEB" w:rsidRPr="006A7606" w:rsidRDefault="002F4CEB" w:rsidP="002F4CEB">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4510EAB3" w14:textId="77777777" w:rsidR="002F4CEB" w:rsidRPr="006A7606" w:rsidRDefault="002F4CEB" w:rsidP="002F4CEB">
      <w:pPr>
        <w:spacing w:after="0" w:line="360" w:lineRule="auto"/>
        <w:ind w:left="851" w:right="851"/>
        <w:jc w:val="both"/>
        <w:rPr>
          <w:rFonts w:ascii="Palatino Linotype" w:eastAsia="MS Mincho" w:hAnsi="Palatino Linotype" w:cs="Arial"/>
          <w:i/>
          <w:lang w:val="es-ES_tradnl"/>
        </w:rPr>
      </w:pPr>
    </w:p>
    <w:p w14:paraId="3508BE01"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w:t>
      </w:r>
      <w:r w:rsidRPr="001A758C">
        <w:rPr>
          <w:rFonts w:ascii="Palatino Linotype" w:eastAsia="MS Mincho" w:hAnsi="Palatino Linotype" w:cs="Arial"/>
          <w:bCs/>
          <w:i/>
          <w:sz w:val="20"/>
          <w:szCs w:val="20"/>
          <w:lang w:val="es-ES_tradnl"/>
        </w:rPr>
        <w:t>información para la seguridad pública generada o en poder de Instituciones de Seguridad Pública o de cualquier instancia del Sistema Estatal debe registrarse, clasificarse y tratarse de conformidad con las disposiciones aplicables.</w:t>
      </w:r>
      <w:r w:rsidRPr="006E2C84">
        <w:rPr>
          <w:rFonts w:ascii="Palatino Linotype" w:eastAsia="MS Mincho" w:hAnsi="Palatino Linotype" w:cs="Arial"/>
          <w:b/>
          <w:i/>
          <w:sz w:val="20"/>
          <w:szCs w:val="20"/>
          <w:lang w:val="es-ES_tradnl"/>
        </w:rPr>
        <w:t xml:space="preserve"> </w:t>
      </w:r>
      <w:r w:rsidRPr="006E2C84">
        <w:rPr>
          <w:rFonts w:ascii="Palatino Linotype" w:eastAsia="MS Mincho" w:hAnsi="Palatino Linotype" w:cs="Arial"/>
          <w:b/>
          <w:i/>
          <w:sz w:val="20"/>
          <w:szCs w:val="20"/>
          <w:u w:val="single"/>
          <w:lang w:val="es-ES_tradnl"/>
        </w:rPr>
        <w:t>No obstante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2B6DF233"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33F14D18"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2DDBC39A" w14:textId="77777777" w:rsidR="00ED313F" w:rsidRDefault="00ED313F" w:rsidP="001A758C">
      <w:pPr>
        <w:spacing w:after="0" w:line="360" w:lineRule="auto"/>
        <w:jc w:val="both"/>
        <w:rPr>
          <w:rFonts w:ascii="Palatino Linotype" w:hAnsi="Palatino Linotype" w:cs="Arial"/>
        </w:rPr>
      </w:pPr>
    </w:p>
    <w:p w14:paraId="4070547A" w14:textId="03173F15" w:rsidR="002F4CEB" w:rsidRPr="006A7606" w:rsidRDefault="002F4CEB" w:rsidP="001A758C">
      <w:pPr>
        <w:spacing w:after="0" w:line="360" w:lineRule="auto"/>
        <w:jc w:val="both"/>
        <w:rPr>
          <w:rFonts w:ascii="Palatino Linotype" w:hAnsi="Palatino Linotype" w:cs="Arial"/>
        </w:rPr>
      </w:pPr>
      <w:r w:rsidRPr="006A7606">
        <w:rPr>
          <w:rFonts w:ascii="Palatino Linotype" w:hAnsi="Palatino Linotype" w:cs="Arial"/>
        </w:rPr>
        <w:t xml:space="preserve">Argumento que se fortalece con lo estipulado en el </w:t>
      </w:r>
      <w:r w:rsidR="001A758C" w:rsidRPr="001A758C">
        <w:rPr>
          <w:rFonts w:ascii="Palatino Linotype" w:hAnsi="Palatino Linotype" w:cs="Arial"/>
        </w:rPr>
        <w:t>Criterio de interpretación,</w:t>
      </w:r>
      <w:r w:rsidR="001A758C">
        <w:rPr>
          <w:rFonts w:ascii="Palatino Linotype" w:hAnsi="Palatino Linotype" w:cs="Arial"/>
        </w:rPr>
        <w:t xml:space="preserve"> </w:t>
      </w:r>
      <w:r w:rsidR="001A758C" w:rsidRPr="001A758C">
        <w:rPr>
          <w:rFonts w:ascii="Palatino Linotype" w:hAnsi="Palatino Linotype" w:cs="Arial"/>
        </w:rPr>
        <w:t>con número de registro SO/006/2009, de la Segunda Época, emitido por el entonces</w:t>
      </w:r>
      <w:r w:rsidR="001A758C">
        <w:rPr>
          <w:rFonts w:ascii="Palatino Linotype" w:hAnsi="Palatino Linotype" w:cs="Arial"/>
        </w:rPr>
        <w:t xml:space="preserve"> </w:t>
      </w:r>
      <w:r w:rsidR="001A758C" w:rsidRPr="001A758C">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3065ABA1" w14:textId="77777777" w:rsidR="002F4CEB" w:rsidRPr="006A7606" w:rsidRDefault="002F4CEB" w:rsidP="002F4CEB">
      <w:pPr>
        <w:spacing w:after="0" w:line="360" w:lineRule="auto"/>
        <w:jc w:val="both"/>
        <w:rPr>
          <w:rFonts w:ascii="Palatino Linotype" w:hAnsi="Palatino Linotype" w:cs="Arial"/>
        </w:rPr>
      </w:pPr>
    </w:p>
    <w:p w14:paraId="47761B20" w14:textId="77777777" w:rsidR="002F4CEB" w:rsidRPr="006E2C84" w:rsidRDefault="002F4CEB" w:rsidP="002F4CEB">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w:t>
      </w:r>
      <w:r w:rsidRPr="006E2C84">
        <w:rPr>
          <w:rFonts w:ascii="Palatino Linotype" w:hAnsi="Palatino Linotype" w:cs="Arial"/>
          <w:bCs/>
          <w:i/>
          <w:sz w:val="20"/>
          <w:szCs w:val="20"/>
          <w:lang w:eastAsia="es-MX"/>
        </w:rPr>
        <w:lastRenderedPageBreak/>
        <w:t xml:space="preserve">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18FB7A16" w14:textId="77777777" w:rsidR="002F4CEB" w:rsidRDefault="002F4CEB" w:rsidP="002F4CEB">
      <w:pPr>
        <w:spacing w:after="0" w:line="360" w:lineRule="auto"/>
        <w:jc w:val="both"/>
        <w:rPr>
          <w:rFonts w:ascii="Palatino Linotype" w:hAnsi="Palatino Linotype"/>
        </w:rPr>
      </w:pPr>
    </w:p>
    <w:p w14:paraId="02876135" w14:textId="6E1E160A" w:rsidR="002F4CEB" w:rsidRPr="006A7606" w:rsidRDefault="002F4CEB" w:rsidP="002F4CEB">
      <w:pPr>
        <w:spacing w:after="0" w:line="360" w:lineRule="auto"/>
        <w:jc w:val="both"/>
        <w:rPr>
          <w:rFonts w:ascii="Palatino Linotype" w:hAnsi="Palatino Linotype" w:cs="Arial"/>
        </w:rPr>
      </w:pPr>
      <w:r w:rsidRPr="006A7606">
        <w:rPr>
          <w:rFonts w:ascii="Palatino Linotype" w:hAnsi="Palatino Linotype"/>
        </w:rPr>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w:t>
      </w:r>
      <w:r w:rsidR="00ED313F">
        <w:rPr>
          <w:rFonts w:ascii="Palatino Linotype" w:hAnsi="Palatino Linotype" w:cs="Arial"/>
        </w:rPr>
        <w:t>,</w:t>
      </w:r>
      <w:r w:rsidRPr="006A7606">
        <w:rPr>
          <w:rFonts w:ascii="Palatino Linotype" w:hAnsi="Palatino Linotype" w:cs="Arial"/>
        </w:rPr>
        <w:t xml:space="preserve"> </w:t>
      </w:r>
      <w:r w:rsidR="00ED313F">
        <w:rPr>
          <w:rFonts w:ascii="Palatino Linotype" w:hAnsi="Palatino Linotype" w:cs="Arial"/>
        </w:rPr>
        <w:t>s</w:t>
      </w:r>
      <w:r w:rsidRPr="006A7606">
        <w:rPr>
          <w:rFonts w:ascii="Palatino Linotype" w:hAnsi="Palatino Linotype" w:cs="Arial"/>
        </w:rPr>
        <w:t>ituación que se replica en el escenario local.</w:t>
      </w:r>
    </w:p>
    <w:p w14:paraId="1EA8DF1C" w14:textId="77777777" w:rsidR="002F4CEB" w:rsidRPr="006A7606" w:rsidRDefault="002F4CEB" w:rsidP="002F4CEB">
      <w:pPr>
        <w:spacing w:after="0" w:line="360" w:lineRule="auto"/>
        <w:jc w:val="both"/>
        <w:rPr>
          <w:rFonts w:ascii="Palatino Linotype" w:hAnsi="Palatino Linotype"/>
        </w:rPr>
      </w:pPr>
    </w:p>
    <w:p w14:paraId="4F83F922" w14:textId="77777777" w:rsidR="002F4CEB" w:rsidRPr="006A7606" w:rsidRDefault="002F4CEB" w:rsidP="002F4CEB">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en razón de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14F97488" w14:textId="77777777" w:rsidR="002F4CEB" w:rsidRPr="006A7606" w:rsidRDefault="002F4CEB" w:rsidP="002F4CEB">
      <w:pPr>
        <w:spacing w:after="0" w:line="360" w:lineRule="auto"/>
        <w:jc w:val="both"/>
        <w:rPr>
          <w:rFonts w:ascii="Palatino Linotype" w:hAnsi="Palatino Linotype" w:cs="Segoe UI"/>
        </w:rPr>
      </w:pPr>
    </w:p>
    <w:p w14:paraId="40F83D74" w14:textId="77777777" w:rsidR="002F4CEB" w:rsidRPr="006E2C84" w:rsidRDefault="002F4CEB" w:rsidP="002F4CEB">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w:t>
      </w:r>
      <w:r w:rsidRPr="006E2C84">
        <w:rPr>
          <w:rFonts w:ascii="Palatino Linotype" w:eastAsia="Calibri" w:hAnsi="Palatino Linotype" w:cs="Arial"/>
          <w:i/>
          <w:sz w:val="20"/>
          <w:szCs w:val="20"/>
        </w:rPr>
        <w:lastRenderedPageBreak/>
        <w:t>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2AA71DD2" w14:textId="77777777" w:rsidR="00ED313F" w:rsidRDefault="00ED313F" w:rsidP="001A758C">
      <w:pPr>
        <w:autoSpaceDE w:val="0"/>
        <w:autoSpaceDN w:val="0"/>
        <w:adjustRightInd w:val="0"/>
        <w:spacing w:after="0" w:line="360" w:lineRule="auto"/>
        <w:ind w:left="567" w:right="567"/>
        <w:jc w:val="both"/>
        <w:rPr>
          <w:rFonts w:ascii="Palatino Linotype" w:eastAsia="Calibri" w:hAnsi="Palatino Linotype" w:cs="Arial"/>
          <w:b/>
          <w:bCs/>
          <w:i/>
          <w:sz w:val="20"/>
          <w:szCs w:val="20"/>
        </w:rPr>
      </w:pPr>
    </w:p>
    <w:p w14:paraId="0E5A5FE3" w14:textId="134073CC" w:rsidR="002F4CEB" w:rsidRPr="001A758C" w:rsidRDefault="002F4CEB" w:rsidP="001A758C">
      <w:pPr>
        <w:autoSpaceDE w:val="0"/>
        <w:autoSpaceDN w:val="0"/>
        <w:adjustRightInd w:val="0"/>
        <w:spacing w:after="0" w:line="360" w:lineRule="auto"/>
        <w:ind w:left="567" w:right="567"/>
        <w:jc w:val="both"/>
        <w:rPr>
          <w:rFonts w:ascii="Palatino Linotype" w:eastAsia="Calibri" w:hAnsi="Palatino Linotype" w:cs="Arial"/>
          <w:b/>
          <w:bCs/>
          <w:i/>
          <w:sz w:val="20"/>
          <w:szCs w:val="20"/>
        </w:rPr>
      </w:pPr>
      <w:r w:rsidRPr="001A758C">
        <w:rPr>
          <w:rFonts w:ascii="Palatino Linotype" w:eastAsia="Calibri" w:hAnsi="Palatino Linotype" w:cs="Arial"/>
          <w:b/>
          <w:bCs/>
          <w:i/>
          <w:sz w:val="20"/>
          <w:szCs w:val="20"/>
        </w:rPr>
        <w:t>“TRANSPARENCIA Y ACCESO A LA INFORMACIÓN PÚBLICA GUBERNAMENTAL. EL ARTÍCULO 14, FRACCIÓN I, DE LA LEY FEDERAL RELATIVA, NO VIOLA LA GARANTÍA DE ACCESO A LA INFORMACIÓN. </w:t>
      </w:r>
      <w:r w:rsidRPr="001A758C">
        <w:rPr>
          <w:rFonts w:ascii="Palatino Linotype" w:eastAsia="Calibri" w:hAnsi="Palatino Linotype" w:cs="Arial"/>
          <w:i/>
          <w:sz w:val="20"/>
          <w:szCs w:val="20"/>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w:t>
      </w:r>
      <w:r w:rsidRPr="001A758C">
        <w:rPr>
          <w:rFonts w:ascii="Palatino Linotype" w:eastAsia="Calibri" w:hAnsi="Palatino Linotype" w:cs="Arial"/>
          <w:i/>
          <w:sz w:val="20"/>
          <w:szCs w:val="20"/>
        </w:rPr>
        <w:lastRenderedPageBreak/>
        <w:t>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p>
    <w:p w14:paraId="3C1D4BA6" w14:textId="77777777" w:rsidR="002F4CEB" w:rsidRDefault="002F4CEB" w:rsidP="002F4CEB">
      <w:pPr>
        <w:spacing w:after="0" w:line="360" w:lineRule="auto"/>
        <w:jc w:val="both"/>
        <w:rPr>
          <w:rFonts w:ascii="Palatino Linotype" w:hAnsi="Palatino Linotype" w:cs="Arial"/>
        </w:rPr>
      </w:pPr>
    </w:p>
    <w:p w14:paraId="4AEC0462" w14:textId="0B076E08" w:rsidR="002F4CEB" w:rsidRDefault="002F4CEB" w:rsidP="002F4CEB">
      <w:pPr>
        <w:spacing w:after="0" w:line="360" w:lineRule="auto"/>
        <w:jc w:val="both"/>
        <w:rPr>
          <w:rFonts w:ascii="Palatino Linotype" w:hAnsi="Palatino Linotype" w:cs="Arial"/>
        </w:rPr>
      </w:pPr>
      <w:r>
        <w:rPr>
          <w:rFonts w:ascii="Palatino Linotype" w:hAnsi="Palatino Linotype" w:cs="Arial"/>
        </w:rPr>
        <w:t>Así y</w:t>
      </w:r>
      <w:r w:rsidRPr="006A7606">
        <w:rPr>
          <w:rFonts w:ascii="Palatino Linotype" w:hAnsi="Palatino Linotype" w:cs="Arial"/>
        </w:rPr>
        <w:t xml:space="preserve"> de acuerdo con lo expuesto, la limitación </w:t>
      </w:r>
      <w:r>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tutelado</w:t>
      </w:r>
      <w:r w:rsidR="00ED313F">
        <w:rPr>
          <w:rFonts w:ascii="Palatino Linotype" w:hAnsi="Palatino Linotype" w:cs="Arial"/>
        </w:rPr>
        <w:t xml:space="preserve"> y</w:t>
      </w:r>
      <w:r w:rsidRPr="006A7606">
        <w:rPr>
          <w:rFonts w:ascii="Palatino Linotype" w:hAnsi="Palatino Linotype" w:cs="Arial"/>
        </w:rPr>
        <w:t xml:space="preserve">,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permite garantizar el acceso a la información pública que es de interés público, 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w:t>
      </w:r>
      <w:r>
        <w:rPr>
          <w:rFonts w:ascii="Palatino Linotype" w:hAnsi="Palatino Linotype" w:cs="Arial"/>
        </w:rPr>
        <w:t xml:space="preserve"> </w:t>
      </w:r>
    </w:p>
    <w:p w14:paraId="5B70FEB7" w14:textId="77777777" w:rsidR="002F4CEB" w:rsidRDefault="002F4CEB" w:rsidP="002F4CEB">
      <w:pPr>
        <w:spacing w:after="0" w:line="360" w:lineRule="auto"/>
        <w:jc w:val="both"/>
        <w:rPr>
          <w:rFonts w:ascii="Palatino Linotype" w:hAnsi="Palatino Linotype" w:cs="Arial"/>
        </w:rPr>
      </w:pPr>
    </w:p>
    <w:p w14:paraId="18E88787" w14:textId="77777777" w:rsidR="002F4CEB" w:rsidRPr="00885189" w:rsidRDefault="002F4CEB" w:rsidP="002F4CEB">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976B1D">
        <w:rPr>
          <w:rFonts w:ascii="Palatino Linotype" w:hAnsi="Palatino Linotype" w:cs="Tahoma"/>
        </w:rPr>
        <w:t>además, 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2BA3FFBD" w14:textId="1383A92F" w:rsidR="002F4CEB" w:rsidRDefault="002F4CEB" w:rsidP="002F4CEB">
      <w:pPr>
        <w:spacing w:after="0" w:line="360" w:lineRule="auto"/>
        <w:jc w:val="both"/>
        <w:rPr>
          <w:rFonts w:ascii="Palatino Linotype" w:hAnsi="Palatino Linotype" w:cs="Tahoma"/>
        </w:rPr>
      </w:pPr>
    </w:p>
    <w:p w14:paraId="343AEDC8" w14:textId="0E50ECCD" w:rsidR="00D07D91" w:rsidRPr="00D07D91" w:rsidRDefault="00D07D91" w:rsidP="00D07D91">
      <w:pPr>
        <w:spacing w:after="0" w:line="360" w:lineRule="auto"/>
        <w:jc w:val="both"/>
        <w:rPr>
          <w:rFonts w:ascii="Palatino Linotype" w:eastAsia="Calibri" w:hAnsi="Palatino Linotype" w:cs="Tahoma"/>
        </w:rPr>
      </w:pPr>
      <w:r w:rsidRPr="00D07D91">
        <w:rPr>
          <w:rFonts w:ascii="Palatino Linotype" w:eastAsia="Calibri" w:hAnsi="Palatino Linotype" w:cs="Tahoma"/>
        </w:rPr>
        <w:t>También, el Juicio de Amparo Indirecto 1232/2017 resuelto por el Juzgado Cuarto de Distrito en Materia Administrativa en la Ciudad de México, cuya síntesis se expone en el libro</w:t>
      </w:r>
      <w:r w:rsidR="00ED313F">
        <w:rPr>
          <w:rFonts w:ascii="Palatino Linotype" w:eastAsia="Calibri" w:hAnsi="Palatino Linotype" w:cs="Tahoma"/>
        </w:rPr>
        <w:t xml:space="preserve"> </w:t>
      </w:r>
      <w:r w:rsidR="00ED313F" w:rsidRPr="00D07D91">
        <w:rPr>
          <w:rFonts w:ascii="Palatino Linotype" w:eastAsia="Calibri" w:hAnsi="Palatino Linotype" w:cs="Tahoma"/>
        </w:rPr>
        <w:t xml:space="preserve">Casos Paradigmáticos del Poder Judicial de la Federación en materia de acceso a la información y </w:t>
      </w:r>
      <w:r w:rsidR="00ED313F" w:rsidRPr="00D07D91">
        <w:rPr>
          <w:rFonts w:ascii="Palatino Linotype" w:eastAsia="Calibri" w:hAnsi="Palatino Linotype" w:cs="Tahoma"/>
        </w:rPr>
        <w:lastRenderedPageBreak/>
        <w:t>protección de datos personal</w:t>
      </w:r>
      <w:r w:rsidRPr="00D07D91">
        <w:rPr>
          <w:rFonts w:ascii="Palatino Linotype" w:eastAsia="Calibri" w:hAnsi="Palatino Linotype" w:cs="Tahoma"/>
        </w:rPr>
        <w:t xml:space="preserve"> (Esquivel,</w:t>
      </w:r>
      <w:r w:rsidR="00F51D82">
        <w:rPr>
          <w:rFonts w:ascii="Palatino Linotype" w:eastAsia="Calibri" w:hAnsi="Palatino Linotype" w:cs="Tahoma"/>
        </w:rPr>
        <w:t xml:space="preserve"> </w:t>
      </w:r>
      <w:r w:rsidRPr="00D07D91">
        <w:rPr>
          <w:rFonts w:ascii="Palatino Linotype" w:eastAsia="Calibri" w:hAnsi="Palatino Linotype" w:cs="Tahoma"/>
        </w:rPr>
        <w:t xml:space="preserve">Yasmin, </w:t>
      </w:r>
      <w:r w:rsidRPr="00D07D91">
        <w:rPr>
          <w:rFonts w:ascii="Palatino Linotype" w:eastAsia="Calibri" w:hAnsi="Palatino Linotype" w:cs="Tahoma"/>
          <w:i/>
          <w:iCs/>
        </w:rPr>
        <w:t>et al</w:t>
      </w:r>
      <w:r w:rsidRPr="00D07D91">
        <w:rPr>
          <w:rFonts w:ascii="Palatino Linotype" w:eastAsia="Calibri" w:hAnsi="Palatino Linotype" w:cs="Tahoma"/>
        </w:rPr>
        <w:t xml:space="preserve">. P. (2021), INAI, pp. 45 a 61 ), en donde </w:t>
      </w:r>
      <w:r w:rsidRPr="00D07D91">
        <w:rPr>
          <w:rFonts w:ascii="Palatino Linotype" w:eastAsia="Calibri" w:hAnsi="Palatino Linotype" w:cs="Tahoma"/>
          <w:i/>
          <w:iCs/>
        </w:rPr>
        <w:t>grosso modo</w:t>
      </w:r>
      <w:r w:rsidRPr="00D07D91">
        <w:rPr>
          <w:rFonts w:ascii="Palatino Linotype" w:eastAsia="Calibri" w:hAnsi="Palatino Linotype" w:cs="Tahoma"/>
        </w:rPr>
        <w:t xml:space="preserve"> se expone que se concedió el amparo y protección de la justicia al quejoso por un recurso de revisión resuelto por el INAI en donde destaca la necesidad de que el Organismo Garante Nacional acredite la prueba de daño para la reserva de información bajo los argumentos siguientes:</w:t>
      </w:r>
    </w:p>
    <w:p w14:paraId="53C0EECB" w14:textId="77777777" w:rsidR="00D07D91" w:rsidRPr="00D07D91" w:rsidRDefault="00D07D91" w:rsidP="00D07D91">
      <w:pPr>
        <w:spacing w:after="0" w:line="360" w:lineRule="auto"/>
        <w:jc w:val="both"/>
        <w:rPr>
          <w:rFonts w:ascii="Palatino Linotype" w:eastAsia="Calibri" w:hAnsi="Palatino Linotype" w:cs="Tahoma"/>
        </w:rPr>
      </w:pPr>
    </w:p>
    <w:p w14:paraId="2B95B31F" w14:textId="77777777" w:rsidR="00D07D91" w:rsidRPr="00D07D91" w:rsidRDefault="00D07D91" w:rsidP="00D07D91">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el hecho de que se solicitara información relacionada o inmersa en una investigación ministerial no genera, por sí misma, que tenga el carácter de reservada por obstaculizar una investigación ministerial, sino que es necesario que la reserva se funde y motive mediante una prueba de daño.</w:t>
      </w:r>
    </w:p>
    <w:p w14:paraId="290569C8" w14:textId="77777777" w:rsidR="00D07D91" w:rsidRPr="00D07D91" w:rsidRDefault="00D07D91" w:rsidP="00D07D91">
      <w:pPr>
        <w:spacing w:after="0" w:line="360" w:lineRule="auto"/>
        <w:jc w:val="both"/>
        <w:rPr>
          <w:rFonts w:ascii="Palatino Linotype" w:eastAsia="Calibri" w:hAnsi="Palatino Linotype" w:cs="Tahoma"/>
        </w:rPr>
      </w:pPr>
    </w:p>
    <w:p w14:paraId="4FB7D600" w14:textId="77777777" w:rsidR="00D07D91" w:rsidRPr="00D07D91" w:rsidRDefault="00D07D91" w:rsidP="00D07D91">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xml:space="preserve">(…) en la sentencia se sostuvo que el </w:t>
      </w:r>
      <w:r w:rsidRPr="00D07D91">
        <w:rPr>
          <w:rFonts w:ascii="Palatino Linotype" w:eastAsia="Calibri" w:hAnsi="Palatino Linotype" w:cs="Tahoma"/>
          <w:b/>
          <w:bCs/>
          <w:u w:val="single"/>
        </w:rPr>
        <w:t>INAI no había justificado debidamente la ponderación entre los intereses en conflicto al correr la prueba de daño</w:t>
      </w:r>
      <w:r w:rsidRPr="00D07D91">
        <w:rPr>
          <w:rFonts w:ascii="Palatino Linotype" w:eastAsia="Calibri" w:hAnsi="Palatino Linotype" w:cs="Tahoma"/>
        </w:rPr>
        <w:t>, pues si bien era cierto que existía un interés público en la protección de la actividad persecutoria de delitos, había soslayado la relevancia y trascendencia social del fenómeno relativo al descubrimiento de fosas clandestinas, al no observar el contexto y origen de la información solicitada.</w:t>
      </w:r>
    </w:p>
    <w:p w14:paraId="5A99AE9E" w14:textId="77777777" w:rsidR="00D07D91" w:rsidRPr="00D07D91" w:rsidRDefault="00D07D91" w:rsidP="00D07D91">
      <w:pPr>
        <w:spacing w:after="0" w:line="360" w:lineRule="auto"/>
        <w:jc w:val="both"/>
        <w:rPr>
          <w:rFonts w:ascii="Palatino Linotype" w:eastAsia="Calibri" w:hAnsi="Palatino Linotype" w:cs="Tahoma"/>
        </w:rPr>
      </w:pPr>
    </w:p>
    <w:p w14:paraId="54CCBD76" w14:textId="77777777" w:rsidR="00D07D91" w:rsidRPr="00D07D91" w:rsidRDefault="00D07D91" w:rsidP="00D07D91">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le fue concedido el amparo a la parte quejosa para el efecto de que el instituto garante responsable dejara insubsistente la resolución impugnada y dictara una nueva en el sentido de que: a) se considerara que no se satisfacen todos los elementos establecidos en el lineamiento Vigésimo Sexto de Lineamientos Generales en materia de clasificación y desclasificación de la información, así como para la elaboración de versiones públicas.</w:t>
      </w:r>
    </w:p>
    <w:p w14:paraId="4D8D3E72" w14:textId="77777777" w:rsidR="00D07D91" w:rsidRPr="00D07D91" w:rsidRDefault="00D07D91" w:rsidP="00D07D91">
      <w:pPr>
        <w:spacing w:after="0" w:line="360" w:lineRule="auto"/>
        <w:jc w:val="both"/>
        <w:rPr>
          <w:rFonts w:ascii="Palatino Linotype" w:eastAsia="Calibri" w:hAnsi="Palatino Linotype" w:cs="Tahoma"/>
        </w:rPr>
      </w:pPr>
    </w:p>
    <w:p w14:paraId="3EA16871" w14:textId="6EC8016F" w:rsidR="00D07D91" w:rsidRPr="00D07D91" w:rsidRDefault="00D07D91" w:rsidP="00D07D91">
      <w:pPr>
        <w:spacing w:after="0" w:line="360" w:lineRule="auto"/>
        <w:jc w:val="both"/>
        <w:rPr>
          <w:rFonts w:ascii="Palatino Linotype" w:eastAsia="Calibri" w:hAnsi="Palatino Linotype" w:cs="Tahoma"/>
        </w:rPr>
      </w:pPr>
      <w:r w:rsidRPr="00D07D91">
        <w:rPr>
          <w:rFonts w:ascii="Palatino Linotype" w:eastAsia="Calibri" w:hAnsi="Palatino Linotype" w:cs="Tahoma"/>
        </w:rPr>
        <w:t>Aún más, al resolverse la impugnación que interpuso el</w:t>
      </w:r>
      <w:r w:rsidR="00F16598">
        <w:rPr>
          <w:rFonts w:ascii="Palatino Linotype" w:eastAsia="Calibri" w:hAnsi="Palatino Linotype" w:cs="Tahoma"/>
        </w:rPr>
        <w:t xml:space="preserve"> Instituto Nacional de Transparencia, Acceso a la Información y Protección de Datos Personales, </w:t>
      </w:r>
      <w:r w:rsidRPr="00D07D91">
        <w:rPr>
          <w:rFonts w:ascii="Palatino Linotype" w:eastAsia="Calibri" w:hAnsi="Palatino Linotype" w:cs="Tahoma"/>
        </w:rPr>
        <w:t xml:space="preserve"> en términos del </w:t>
      </w:r>
      <w:r w:rsidRPr="00D07D91">
        <w:rPr>
          <w:rFonts w:ascii="Palatino Linotype" w:eastAsia="Calibri" w:hAnsi="Palatino Linotype" w:cs="Tahoma"/>
        </w:rPr>
        <w:lastRenderedPageBreak/>
        <w:t>artículo 81, inciso e) de la Ley de Amparo, que primero fue turnada al Vigésimo Primer Tribunal Colegiado en Materia del Primer Circuito, bajo el número de expediente 192/2018, mismo que fue atraído por la Suprema Corte de Justicia, determinó que:</w:t>
      </w:r>
    </w:p>
    <w:p w14:paraId="51308666" w14:textId="77777777" w:rsidR="00D07D91" w:rsidRPr="00D07D91" w:rsidRDefault="00D07D91" w:rsidP="00D07D91">
      <w:pPr>
        <w:spacing w:after="0" w:line="360" w:lineRule="auto"/>
        <w:jc w:val="both"/>
        <w:rPr>
          <w:rFonts w:ascii="Palatino Linotype" w:eastAsia="Calibri" w:hAnsi="Palatino Linotype" w:cs="Tahoma"/>
        </w:rPr>
      </w:pPr>
    </w:p>
    <w:p w14:paraId="4DA0DE9B" w14:textId="77777777" w:rsidR="00D07D91" w:rsidRPr="00D07D91" w:rsidRDefault="00D07D91" w:rsidP="00D07D91">
      <w:pPr>
        <w:numPr>
          <w:ilvl w:val="0"/>
          <w:numId w:val="2"/>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Este ejercicio hermenéutico parte de la premisa de que la causa de reserva de información prevista en la fracción VII del artículo 110 de la Ley Federal no debe interpretarse de manera aislada, sino que ha de hacerse en función de diversos artículos, como lo son aquellos que regulan la prueba de daño, las versiones públicas y las obligaciones de transparencia.</w:t>
      </w:r>
    </w:p>
    <w:p w14:paraId="2F88BB33" w14:textId="77777777" w:rsidR="00D07D91" w:rsidRPr="00D07D91" w:rsidRDefault="00D07D91" w:rsidP="00D07D91">
      <w:pPr>
        <w:spacing w:after="0" w:line="360" w:lineRule="auto"/>
        <w:jc w:val="both"/>
        <w:rPr>
          <w:rFonts w:ascii="Palatino Linotype" w:eastAsia="Calibri" w:hAnsi="Palatino Linotype" w:cs="Tahoma"/>
        </w:rPr>
      </w:pPr>
    </w:p>
    <w:p w14:paraId="2B8253AB" w14:textId="21D50D6A" w:rsidR="00D07D91" w:rsidRPr="00D07D91" w:rsidRDefault="00D07D91" w:rsidP="00D07D91">
      <w:pPr>
        <w:numPr>
          <w:ilvl w:val="0"/>
          <w:numId w:val="2"/>
        </w:numPr>
        <w:spacing w:after="0" w:line="360" w:lineRule="auto"/>
        <w:contextualSpacing/>
        <w:jc w:val="both"/>
        <w:rPr>
          <w:rFonts w:ascii="Palatino Linotype" w:eastAsia="Calibri" w:hAnsi="Palatino Linotype" w:cs="Tahoma"/>
          <w:b/>
          <w:bCs/>
          <w:u w:val="single"/>
        </w:rPr>
      </w:pPr>
      <w:r w:rsidRPr="00D07D91">
        <w:rPr>
          <w:rFonts w:ascii="Palatino Linotype" w:eastAsia="Calibri" w:hAnsi="Palatino Linotype" w:cs="Tahoma"/>
          <w:b/>
          <w:bCs/>
          <w:u w:val="single"/>
        </w:rPr>
        <w:t>Así, todas aquellas autoridades a las que se les solicita deberían considerarse a sí mismas como si fueran la última oportunidad que tiene un ciudadano para acceder a la información pública; es decir, como si la respuesta que dieran a la solicitud de acceso a la información no pudiera ser revisable y solamente dependiera de ellos que la información pública sea transparente. Esto le traería como beneficio al gobernado que su solicitud de acceso a la información quedar</w:t>
      </w:r>
      <w:r w:rsidR="00ED313F">
        <w:rPr>
          <w:rFonts w:ascii="Palatino Linotype" w:eastAsia="Calibri" w:hAnsi="Palatino Linotype" w:cs="Tahoma"/>
          <w:b/>
          <w:bCs/>
          <w:u w:val="single"/>
        </w:rPr>
        <w:t>a</w:t>
      </w:r>
      <w:r w:rsidRPr="00D07D91">
        <w:rPr>
          <w:rFonts w:ascii="Palatino Linotype" w:eastAsia="Calibri" w:hAnsi="Palatino Linotype" w:cs="Tahoma"/>
          <w:b/>
          <w:bCs/>
          <w:u w:val="single"/>
        </w:rPr>
        <w:t xml:space="preserve"> satisfecha en sede administrativa, sin verse en la necesidad de acudir a otras instancias, de tal suerte que se dilate el tiempo en el que verá satisfecho el ejercicio de su derecho.</w:t>
      </w:r>
    </w:p>
    <w:p w14:paraId="41D08D2E" w14:textId="77777777" w:rsidR="00D07D91" w:rsidRPr="00D07D91" w:rsidRDefault="00D07D91" w:rsidP="00D07D91">
      <w:pPr>
        <w:spacing w:after="0" w:line="360" w:lineRule="auto"/>
        <w:jc w:val="both"/>
        <w:rPr>
          <w:rFonts w:ascii="Palatino Linotype" w:eastAsia="Calibri" w:hAnsi="Palatino Linotype" w:cs="Tahoma"/>
        </w:rPr>
      </w:pPr>
    </w:p>
    <w:p w14:paraId="3CFE2E7D" w14:textId="430D4C73" w:rsidR="00D07D91" w:rsidRDefault="00D07D91" w:rsidP="00D07D91">
      <w:pPr>
        <w:spacing w:after="0" w:line="360" w:lineRule="auto"/>
        <w:jc w:val="both"/>
        <w:rPr>
          <w:rFonts w:ascii="Palatino Linotype" w:eastAsia="Calibri" w:hAnsi="Palatino Linotype" w:cs="Tahoma"/>
        </w:rPr>
      </w:pPr>
      <w:r w:rsidRPr="00D07D91">
        <w:rPr>
          <w:rFonts w:ascii="Palatino Linotype" w:eastAsia="Calibri" w:hAnsi="Palatino Linotype" w:cs="Tahoma"/>
        </w:rPr>
        <w:t>De acuerdo con lo ya señalado por la Corte, si bien, no existe disposición que de manera textual determine que los Organismos Garantes tienen atribuciones para hacer la prueba de daño, no es posible que ninguna instancia involucrada en garantizar el derecho humano de acceso a la información, reserve información sin analizar</w:t>
      </w:r>
      <w:r>
        <w:rPr>
          <w:rFonts w:ascii="Palatino Linotype" w:eastAsia="Calibri" w:hAnsi="Palatino Linotype" w:cs="Tahoma"/>
        </w:rPr>
        <w:t xml:space="preserve"> la prueba de daño.</w:t>
      </w:r>
    </w:p>
    <w:p w14:paraId="69C9F8F9" w14:textId="77777777" w:rsidR="00D07D91" w:rsidRPr="00885189" w:rsidRDefault="00D07D91" w:rsidP="00D07D91">
      <w:pPr>
        <w:spacing w:after="0" w:line="360" w:lineRule="auto"/>
        <w:jc w:val="both"/>
        <w:rPr>
          <w:rFonts w:ascii="Palatino Linotype" w:hAnsi="Palatino Linotype" w:cs="Tahoma"/>
        </w:rPr>
      </w:pPr>
    </w:p>
    <w:p w14:paraId="2CD9FC3A" w14:textId="06F89DE6" w:rsidR="002F4CEB" w:rsidRDefault="002F4CEB" w:rsidP="00F16598">
      <w:pPr>
        <w:spacing w:after="0" w:line="360" w:lineRule="auto"/>
        <w:jc w:val="both"/>
        <w:rPr>
          <w:rFonts w:ascii="Palatino Linotype" w:hAnsi="Palatino Linotype" w:cs="Tahoma"/>
        </w:rPr>
      </w:pPr>
      <w:r w:rsidRPr="00885189">
        <w:rPr>
          <w:rFonts w:ascii="Palatino Linotype" w:hAnsi="Palatino Linotype" w:cs="Tahoma"/>
        </w:rPr>
        <w:t xml:space="preserve">En ese sentido, se debe valorar el daño que causaría la divulgación de la información, con la finalidad de sustentar la reserva de la información y arribar a una determinación </w:t>
      </w:r>
      <w:r w:rsidRPr="00885189">
        <w:rPr>
          <w:rFonts w:ascii="Palatino Linotype" w:hAnsi="Palatino Linotype" w:cs="Tahoma"/>
        </w:rPr>
        <w:lastRenderedPageBreak/>
        <w:t>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w:t>
      </w:r>
      <w:r w:rsidR="00ED313F">
        <w:rPr>
          <w:rFonts w:ascii="Palatino Linotype" w:hAnsi="Palatino Linotype" w:cs="Tahoma"/>
        </w:rPr>
        <w:t>resolución</w:t>
      </w:r>
      <w:r w:rsidRPr="00885189">
        <w:rPr>
          <w:rFonts w:ascii="Palatino Linotype" w:hAnsi="Palatino Linotype" w:cs="Tahoma"/>
        </w:rPr>
        <w:t xml:space="preserve">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xml:space="preserve">, debe contener un análisis exhaustivo de los elementos de forma y fondo que establecen la Ley de Transparencia y Acceso a la Información Pública del Estado de México y Municipios y los </w:t>
      </w:r>
      <w:r w:rsidR="00F16598" w:rsidRPr="00F16598">
        <w:rPr>
          <w:rFonts w:ascii="Palatino Linotype" w:hAnsi="Palatino Linotype" w:cs="Tahoma"/>
        </w:rPr>
        <w:t>Lineamientos Generales en Materia de Clasificación y</w:t>
      </w:r>
      <w:r w:rsidR="00F16598">
        <w:rPr>
          <w:rFonts w:ascii="Palatino Linotype" w:hAnsi="Palatino Linotype" w:cs="Tahoma"/>
        </w:rPr>
        <w:t xml:space="preserve"> </w:t>
      </w:r>
      <w:r w:rsidR="00F16598" w:rsidRPr="00F16598">
        <w:rPr>
          <w:rFonts w:ascii="Palatino Linotype" w:hAnsi="Palatino Linotype" w:cs="Tahoma"/>
        </w:rPr>
        <w:t>Desclasificación de la Información, así como para la</w:t>
      </w:r>
      <w:r w:rsidR="00F16598">
        <w:rPr>
          <w:rFonts w:ascii="Palatino Linotype" w:hAnsi="Palatino Linotype" w:cs="Tahoma"/>
        </w:rPr>
        <w:t xml:space="preserve"> </w:t>
      </w:r>
      <w:r w:rsidR="00F16598" w:rsidRPr="00F16598">
        <w:rPr>
          <w:rFonts w:ascii="Palatino Linotype" w:hAnsi="Palatino Linotype" w:cs="Tahoma"/>
        </w:rPr>
        <w:t>Elaboración de Versiones Públicas</w:t>
      </w:r>
      <w:r w:rsidR="00F16598">
        <w:rPr>
          <w:rFonts w:ascii="Palatino Linotype" w:hAnsi="Palatino Linotype" w:cs="Tahoma"/>
        </w:rPr>
        <w:t>.</w:t>
      </w:r>
    </w:p>
    <w:p w14:paraId="083436EB" w14:textId="77777777" w:rsidR="00F16598" w:rsidRPr="00885189" w:rsidRDefault="00F16598" w:rsidP="00F16598">
      <w:pPr>
        <w:spacing w:after="0" w:line="360" w:lineRule="auto"/>
        <w:jc w:val="both"/>
        <w:rPr>
          <w:rFonts w:ascii="Palatino Linotype" w:hAnsi="Palatino Linotype" w:cs="Tahoma"/>
        </w:rPr>
      </w:pPr>
    </w:p>
    <w:p w14:paraId="41AE0407" w14:textId="77777777" w:rsidR="002F4CEB" w:rsidRDefault="002F4CEB" w:rsidP="002F4CEB">
      <w:pPr>
        <w:spacing w:after="0" w:line="360" w:lineRule="auto"/>
        <w:jc w:val="both"/>
        <w:rPr>
          <w:rFonts w:ascii="Palatino Linotype" w:hAnsi="Palatino Linotype" w:cs="Tahoma"/>
        </w:rPr>
      </w:pPr>
      <w:r w:rsidRPr="00885189">
        <w:rPr>
          <w:rFonts w:ascii="Palatino Linotype" w:hAnsi="Palatino Linotype" w:cs="Tahoma"/>
        </w:rPr>
        <w:t xml:space="preserve">Bajo esa lógica, estimo que en el presente caso, si bien </w:t>
      </w:r>
      <w:r>
        <w:rPr>
          <w:rFonts w:ascii="Palatino Linotype" w:hAnsi="Palatino Linotype" w:cs="Tahoma"/>
        </w:rPr>
        <w:t xml:space="preserve">la naturaleza de la información solicitada en efecto es la de reservada por las condiciones de inseguridad que imperan en esta época en nuestro Estado, por lo que </w:t>
      </w:r>
      <w:r w:rsidRPr="00885189">
        <w:rPr>
          <w:rFonts w:ascii="Palatino Linotype" w:hAnsi="Palatino Linotype" w:cs="Tahoma"/>
        </w:rPr>
        <w:t>se puede desprender que la información</w:t>
      </w:r>
      <w:r>
        <w:rPr>
          <w:rFonts w:ascii="Palatino Linotype" w:hAnsi="Palatino Linotype" w:cs="Tahoma"/>
        </w:rPr>
        <w:t xml:space="preserve">, </w:t>
      </w:r>
      <w:r w:rsidRPr="00885189">
        <w:rPr>
          <w:rFonts w:ascii="Palatino Linotype" w:hAnsi="Palatino Linotype" w:cs="Tahoma"/>
        </w:rPr>
        <w:t xml:space="preserve">actualiza </w:t>
      </w:r>
      <w:r>
        <w:rPr>
          <w:rFonts w:ascii="Palatino Linotype" w:hAnsi="Palatino Linotype" w:cs="Tahoma"/>
        </w:rPr>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IV, </w:t>
      </w:r>
      <w:r w:rsidRPr="00885189">
        <w:rPr>
          <w:rFonts w:ascii="Palatino Linotype" w:hAnsi="Palatino Linotype" w:cs="Tahoma"/>
        </w:rPr>
        <w:t>de la Ley de Transparencia y 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w:t>
      </w:r>
      <w:r>
        <w:rPr>
          <w:rFonts w:ascii="Palatino Linotype" w:hAnsi="Palatino Linotype" w:cs="Tahoma"/>
        </w:rPr>
        <w:t>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14:paraId="7ADC1E2F" w14:textId="77777777" w:rsidR="00EB7785" w:rsidRDefault="00EB7785" w:rsidP="002F4CEB">
      <w:pPr>
        <w:spacing w:after="0" w:line="360" w:lineRule="auto"/>
        <w:jc w:val="both"/>
        <w:rPr>
          <w:rFonts w:ascii="Palatino Linotype" w:hAnsi="Palatino Linotype" w:cs="Tahoma"/>
        </w:rPr>
      </w:pPr>
    </w:p>
    <w:p w14:paraId="41DFBB42" w14:textId="77777777" w:rsidR="00EB7785" w:rsidRPr="00885189" w:rsidRDefault="00EB7785" w:rsidP="00EB7785">
      <w:pPr>
        <w:spacing w:after="0" w:line="360" w:lineRule="auto"/>
        <w:jc w:val="both"/>
        <w:rPr>
          <w:rFonts w:ascii="Palatino Linotype" w:hAnsi="Palatino Linotype" w:cs="Tahoma"/>
        </w:rPr>
      </w:pPr>
      <w:r w:rsidRPr="00EB7785">
        <w:rPr>
          <w:rFonts w:ascii="Palatino Linotype" w:hAnsi="Palatino Linotype" w:cs="Tahoma"/>
        </w:rPr>
        <w:t>Por lo tanto, mi postura es a favor de efectuar un análisis exhaustivo en todos aquellos casos que restrinjan el derecho de acceso a la información de los particulares, como es la figura de la clasificación de la información como reservada para verificar que se acredita o no la fracción correspondiente del artículo 140 de la Ley de Transparencia y Acceso a la Información Pública del Estado de México y Municipios, así como la prueba de daño.</w:t>
      </w:r>
    </w:p>
    <w:p w14:paraId="48B858AF" w14:textId="77777777" w:rsidR="00EB7785" w:rsidRDefault="00EB7785" w:rsidP="002F4CEB">
      <w:pPr>
        <w:spacing w:after="0" w:line="360" w:lineRule="auto"/>
        <w:jc w:val="both"/>
        <w:rPr>
          <w:rFonts w:ascii="Palatino Linotype" w:hAnsi="Palatino Linotype" w:cs="Tahoma"/>
        </w:rPr>
      </w:pPr>
    </w:p>
    <w:p w14:paraId="7BAA965B" w14:textId="77777777" w:rsidR="001B287D" w:rsidRDefault="00EB7785" w:rsidP="002F4CEB">
      <w:pPr>
        <w:spacing w:after="0" w:line="360" w:lineRule="auto"/>
        <w:jc w:val="both"/>
        <w:rPr>
          <w:rFonts w:ascii="Palatino Linotype" w:hAnsi="Palatino Linotype" w:cs="Tahoma"/>
        </w:rPr>
      </w:pPr>
      <w:r>
        <w:rPr>
          <w:rFonts w:ascii="Palatino Linotype" w:hAnsi="Palatino Linotype" w:cs="Tahoma"/>
        </w:rPr>
        <w:t>Con base en lo detallado</w:t>
      </w:r>
      <w:r w:rsidRPr="00EB7785">
        <w:rPr>
          <w:rFonts w:ascii="Palatino Linotype" w:hAnsi="Palatino Linotype" w:cs="Tahoma"/>
        </w:rPr>
        <w:t>,</w:t>
      </w:r>
      <w:r>
        <w:rPr>
          <w:rFonts w:ascii="Palatino Linotype" w:hAnsi="Palatino Linotype" w:cs="Tahoma"/>
        </w:rPr>
        <w:t xml:space="preserve"> considero que</w:t>
      </w:r>
      <w:r w:rsidRPr="00EB7785">
        <w:rPr>
          <w:rFonts w:ascii="Palatino Linotype" w:hAnsi="Palatino Linotype" w:cs="Tahoma"/>
        </w:rPr>
        <w:t xml:space="preserve"> el Instituto como máxima autoridad en materia de derecho de acceso a la información y protección de datos personales, </w:t>
      </w:r>
      <w:r>
        <w:rPr>
          <w:rFonts w:ascii="Palatino Linotype" w:hAnsi="Palatino Linotype" w:cs="Tahoma"/>
        </w:rPr>
        <w:t xml:space="preserve">debe </w:t>
      </w:r>
      <w:r w:rsidRPr="00EB7785">
        <w:rPr>
          <w:rFonts w:ascii="Palatino Linotype" w:hAnsi="Palatino Linotype" w:cs="Tahoma"/>
        </w:rPr>
        <w:t>garantiza</w:t>
      </w:r>
      <w:r>
        <w:rPr>
          <w:rFonts w:ascii="Palatino Linotype" w:hAnsi="Palatino Linotype" w:cs="Tahoma"/>
        </w:rPr>
        <w:t>r</w:t>
      </w:r>
      <w:r w:rsidRPr="00EB7785">
        <w:rPr>
          <w:rFonts w:ascii="Palatino Linotype" w:hAnsi="Palatino Linotype" w:cs="Tahoma"/>
        </w:rPr>
        <w:t xml:space="preserve"> que los particulares puedan ejercer sus derechos y ser partícipes de la vida democrática de </w:t>
      </w:r>
      <w:r w:rsidRPr="00EB7785">
        <w:rPr>
          <w:rFonts w:ascii="Palatino Linotype" w:hAnsi="Palatino Linotype" w:cs="Tahoma"/>
        </w:rPr>
        <w:lastRenderedPageBreak/>
        <w:t>nuestro Estado y nuestro país, de lo contrario se corre el riesgo de que el Sujeto Obligado realice una clasificación incorrecta de la información</w:t>
      </w:r>
      <w:r w:rsidR="001B287D">
        <w:rPr>
          <w:rFonts w:ascii="Palatino Linotype" w:hAnsi="Palatino Linotype" w:cs="Tahoma"/>
        </w:rPr>
        <w:t>.</w:t>
      </w:r>
    </w:p>
    <w:p w14:paraId="5D1F4804" w14:textId="77777777" w:rsidR="001B287D" w:rsidRDefault="001B287D" w:rsidP="002F4CEB">
      <w:pPr>
        <w:spacing w:after="0" w:line="360" w:lineRule="auto"/>
        <w:jc w:val="both"/>
        <w:rPr>
          <w:rFonts w:ascii="Palatino Linotype" w:hAnsi="Palatino Linotype" w:cs="Tahoma"/>
        </w:rPr>
      </w:pPr>
    </w:p>
    <w:p w14:paraId="2EFA43A3" w14:textId="13A8E6F6" w:rsidR="002F4CEB" w:rsidRPr="00DF675F" w:rsidRDefault="001B287D" w:rsidP="002F4CEB">
      <w:pPr>
        <w:spacing w:after="0" w:line="360" w:lineRule="auto"/>
        <w:jc w:val="both"/>
        <w:rPr>
          <w:rFonts w:ascii="Palatino Linotype" w:hAnsi="Palatino Linotype" w:cs="Tahoma"/>
        </w:rPr>
      </w:pPr>
      <w:r>
        <w:rPr>
          <w:rFonts w:ascii="Palatino Linotype" w:hAnsi="Palatino Linotype" w:cs="Tahoma"/>
        </w:rPr>
        <w:t>Por lo anterior,</w:t>
      </w:r>
      <w:r w:rsidR="00574176">
        <w:rPr>
          <w:rFonts w:ascii="Palatino Linotype" w:hAnsi="Palatino Linotype" w:cs="Tahoma"/>
        </w:rPr>
        <w:t xml:space="preserve"> </w:t>
      </w:r>
      <w:r w:rsidR="002F4CEB" w:rsidRPr="00DF675F">
        <w:rPr>
          <w:rFonts w:ascii="Palatino Linotype" w:hAnsi="Palatino Linotype" w:cs="Tahoma"/>
        </w:rPr>
        <w:t>con base en los razonamientos expuestos, se emite el Presente Voto Particular.</w:t>
      </w:r>
      <w:r w:rsidR="002F4CEB" w:rsidRPr="001514DB">
        <w:rPr>
          <w:rFonts w:ascii="Palatino Linotype" w:eastAsia="Calibri" w:hAnsi="Palatino Linotype" w:cs="Times New Roman"/>
          <w:lang w:val="es-MX"/>
        </w:rPr>
        <w:t xml:space="preserve"> </w:t>
      </w:r>
      <w:r w:rsidR="002F4CEB" w:rsidRPr="001514DB">
        <w:rPr>
          <w:rFonts w:ascii="Palatino Linotype" w:hAnsi="Palatino Linotype" w:cs="Tahoma"/>
          <w:lang w:val="es-MX"/>
        </w:rPr>
        <w:t>-----------</w:t>
      </w:r>
      <w:r>
        <w:rPr>
          <w:rFonts w:ascii="Palatino Linotype" w:hAnsi="Palatino Linotype" w:cs="Tahoma"/>
          <w:lang w:val="es-MX"/>
        </w:rPr>
        <w:t>------------------------------------------------------------------------------------------------------------------------------------------------------------------------------------------------------------</w:t>
      </w:r>
      <w:r w:rsidR="002F4CEB" w:rsidRPr="001514DB">
        <w:rPr>
          <w:rFonts w:ascii="Palatino Linotype" w:hAnsi="Palatino Linotype" w:cs="Tahoma"/>
          <w:lang w:val="es-MX"/>
        </w:rPr>
        <w:t>-----------</w:t>
      </w:r>
    </w:p>
    <w:p w14:paraId="52017ECF" w14:textId="77777777" w:rsidR="002F4CEB" w:rsidRDefault="002F4CEB" w:rsidP="002F4CEB">
      <w:pPr>
        <w:spacing w:after="0" w:line="360" w:lineRule="auto"/>
        <w:jc w:val="both"/>
        <w:rPr>
          <w:rFonts w:ascii="Palatino Linotype" w:hAnsi="Palatino Linotype" w:cs="Tahoma"/>
        </w:rPr>
      </w:pPr>
    </w:p>
    <w:p w14:paraId="1E6AA6B0" w14:textId="77777777" w:rsidR="002F4CEB" w:rsidRDefault="002F4CEB" w:rsidP="002F4CEB">
      <w:pPr>
        <w:spacing w:after="0" w:line="360" w:lineRule="auto"/>
        <w:jc w:val="both"/>
        <w:rPr>
          <w:rFonts w:ascii="Palatino Linotype" w:hAnsi="Palatino Linotype" w:cs="Tahoma"/>
        </w:rPr>
      </w:pPr>
    </w:p>
    <w:p w14:paraId="7C897F75" w14:textId="77777777" w:rsidR="002F4CEB" w:rsidRDefault="002F4CEB" w:rsidP="002F4CEB">
      <w:pPr>
        <w:spacing w:after="0" w:line="360" w:lineRule="auto"/>
        <w:jc w:val="both"/>
        <w:rPr>
          <w:rFonts w:ascii="Palatino Linotype" w:hAnsi="Palatino Linotype" w:cs="Tahoma"/>
        </w:rPr>
      </w:pPr>
    </w:p>
    <w:p w14:paraId="41EB9D52" w14:textId="77777777" w:rsidR="002F4CEB" w:rsidRDefault="002F4CEB" w:rsidP="002F4CEB">
      <w:pPr>
        <w:spacing w:after="0" w:line="360" w:lineRule="auto"/>
        <w:jc w:val="both"/>
        <w:rPr>
          <w:rFonts w:ascii="Palatino Linotype" w:hAnsi="Palatino Linotype" w:cs="Tahoma"/>
        </w:rPr>
      </w:pPr>
    </w:p>
    <w:p w14:paraId="06FF2956" w14:textId="77777777" w:rsidR="002F4CEB" w:rsidRDefault="002F4CEB" w:rsidP="002F4CEB">
      <w:pPr>
        <w:spacing w:after="0" w:line="360" w:lineRule="auto"/>
        <w:jc w:val="both"/>
        <w:rPr>
          <w:rFonts w:ascii="Palatino Linotype" w:hAnsi="Palatino Linotype" w:cs="Tahoma"/>
        </w:rPr>
      </w:pPr>
    </w:p>
    <w:p w14:paraId="05E173DB" w14:textId="77777777" w:rsidR="002F4CEB" w:rsidRDefault="002F4CEB" w:rsidP="002F4CEB">
      <w:pPr>
        <w:spacing w:after="0" w:line="360" w:lineRule="auto"/>
        <w:jc w:val="both"/>
        <w:rPr>
          <w:rFonts w:ascii="Palatino Linotype" w:hAnsi="Palatino Linotype" w:cs="Tahoma"/>
        </w:rPr>
      </w:pPr>
    </w:p>
    <w:p w14:paraId="35264119" w14:textId="77777777" w:rsidR="002F4CEB" w:rsidRDefault="002F4CEB" w:rsidP="002F4CEB">
      <w:pPr>
        <w:spacing w:after="0" w:line="360" w:lineRule="auto"/>
        <w:jc w:val="both"/>
        <w:rPr>
          <w:rFonts w:ascii="Palatino Linotype" w:hAnsi="Palatino Linotype" w:cs="Tahoma"/>
        </w:rPr>
      </w:pPr>
    </w:p>
    <w:p w14:paraId="179C19D3" w14:textId="77777777" w:rsidR="00F34C61" w:rsidRDefault="00F34C61" w:rsidP="00B463E2">
      <w:pPr>
        <w:spacing w:after="0" w:line="360" w:lineRule="auto"/>
        <w:jc w:val="both"/>
        <w:rPr>
          <w:rFonts w:ascii="Palatino Linotype" w:hAnsi="Palatino Linotype" w:cs="Tahoma"/>
        </w:rPr>
      </w:pPr>
    </w:p>
    <w:p w14:paraId="5A9780E7" w14:textId="77777777" w:rsidR="00F34C61" w:rsidRDefault="00F34C61" w:rsidP="00B463E2">
      <w:pPr>
        <w:spacing w:after="0" w:line="360" w:lineRule="auto"/>
        <w:jc w:val="both"/>
        <w:rPr>
          <w:rFonts w:ascii="Palatino Linotype" w:hAnsi="Palatino Linotype" w:cs="Tahoma"/>
        </w:rPr>
      </w:pPr>
    </w:p>
    <w:p w14:paraId="0139022D" w14:textId="77777777" w:rsidR="00F34C61" w:rsidRDefault="00F34C61" w:rsidP="00B463E2">
      <w:pPr>
        <w:spacing w:after="0" w:line="360" w:lineRule="auto"/>
        <w:jc w:val="both"/>
        <w:rPr>
          <w:rFonts w:ascii="Palatino Linotype" w:hAnsi="Palatino Linotype" w:cs="Tahoma"/>
        </w:rPr>
      </w:pPr>
    </w:p>
    <w:p w14:paraId="03152D2D" w14:textId="77777777" w:rsidR="00F34C61" w:rsidRDefault="00F34C61" w:rsidP="00B463E2">
      <w:pPr>
        <w:spacing w:after="0" w:line="360" w:lineRule="auto"/>
        <w:jc w:val="both"/>
        <w:rPr>
          <w:rFonts w:ascii="Palatino Linotype" w:hAnsi="Palatino Linotype" w:cs="Tahoma"/>
        </w:rPr>
      </w:pPr>
    </w:p>
    <w:p w14:paraId="5E72CCFF" w14:textId="77777777" w:rsidR="00F34C61" w:rsidRDefault="00F34C61" w:rsidP="00B463E2">
      <w:pPr>
        <w:spacing w:after="0" w:line="360" w:lineRule="auto"/>
        <w:jc w:val="both"/>
        <w:rPr>
          <w:rFonts w:ascii="Palatino Linotype" w:hAnsi="Palatino Linotype" w:cs="Tahoma"/>
        </w:rPr>
      </w:pPr>
    </w:p>
    <w:p w14:paraId="752F3A12" w14:textId="77777777" w:rsidR="00F34C61" w:rsidRDefault="00F34C61" w:rsidP="00B463E2">
      <w:pPr>
        <w:spacing w:after="0" w:line="360" w:lineRule="auto"/>
        <w:jc w:val="both"/>
        <w:rPr>
          <w:rFonts w:ascii="Palatino Linotype" w:hAnsi="Palatino Linotype" w:cs="Tahoma"/>
        </w:rPr>
      </w:pPr>
    </w:p>
    <w:p w14:paraId="2FD3B78E" w14:textId="77777777" w:rsidR="00F34C61" w:rsidRDefault="00F34C61" w:rsidP="00B463E2">
      <w:pPr>
        <w:spacing w:after="0" w:line="360" w:lineRule="auto"/>
        <w:jc w:val="both"/>
        <w:rPr>
          <w:rFonts w:ascii="Palatino Linotype" w:hAnsi="Palatino Linotype" w:cs="Tahoma"/>
        </w:rPr>
      </w:pPr>
    </w:p>
    <w:p w14:paraId="68359588" w14:textId="77777777" w:rsidR="00F34C61" w:rsidRDefault="00F34C61" w:rsidP="00B463E2">
      <w:pPr>
        <w:spacing w:after="0" w:line="360" w:lineRule="auto"/>
        <w:jc w:val="both"/>
        <w:rPr>
          <w:rFonts w:ascii="Palatino Linotype" w:hAnsi="Palatino Linotype" w:cs="Tahoma"/>
        </w:rPr>
      </w:pPr>
    </w:p>
    <w:p w14:paraId="6AB65F2A" w14:textId="77777777" w:rsidR="00F34C61" w:rsidRDefault="00F34C61" w:rsidP="00B463E2">
      <w:pPr>
        <w:spacing w:after="0" w:line="360" w:lineRule="auto"/>
        <w:jc w:val="both"/>
        <w:rPr>
          <w:rFonts w:ascii="Palatino Linotype" w:hAnsi="Palatino Linotype" w:cs="Tahoma"/>
        </w:rPr>
      </w:pPr>
    </w:p>
    <w:p w14:paraId="716DC983" w14:textId="77777777" w:rsidR="00F34C61" w:rsidRDefault="00F34C61" w:rsidP="00B463E2">
      <w:pPr>
        <w:spacing w:after="0" w:line="360" w:lineRule="auto"/>
        <w:jc w:val="both"/>
        <w:rPr>
          <w:rFonts w:ascii="Palatino Linotype" w:hAnsi="Palatino Linotype" w:cs="Tahoma"/>
        </w:rPr>
      </w:pPr>
    </w:p>
    <w:p w14:paraId="1BD89F14" w14:textId="77777777" w:rsidR="00F34C61" w:rsidRDefault="00F34C61" w:rsidP="00B463E2">
      <w:pPr>
        <w:spacing w:after="0" w:line="360" w:lineRule="auto"/>
        <w:jc w:val="both"/>
        <w:rPr>
          <w:rFonts w:ascii="Palatino Linotype" w:hAnsi="Palatino Linotype" w:cs="Tahoma"/>
        </w:rPr>
      </w:pPr>
    </w:p>
    <w:p w14:paraId="605B78BD" w14:textId="77777777" w:rsidR="00F34C61" w:rsidRDefault="00F34C61" w:rsidP="00B463E2">
      <w:pPr>
        <w:spacing w:after="0" w:line="360" w:lineRule="auto"/>
        <w:jc w:val="both"/>
        <w:rPr>
          <w:rFonts w:ascii="Palatino Linotype" w:hAnsi="Palatino Linotype" w:cs="Tahoma"/>
        </w:rPr>
      </w:pPr>
    </w:p>
    <w:p w14:paraId="3033C686" w14:textId="77777777" w:rsidR="00F34C61" w:rsidRDefault="00F34C61" w:rsidP="00B463E2">
      <w:pPr>
        <w:spacing w:after="0" w:line="360" w:lineRule="auto"/>
        <w:jc w:val="both"/>
        <w:rPr>
          <w:rFonts w:ascii="Palatino Linotype" w:hAnsi="Palatino Linotype" w:cs="Tahoma"/>
        </w:rPr>
      </w:pPr>
    </w:p>
    <w:p w14:paraId="4D53D0AE" w14:textId="77777777" w:rsidR="00F34C61" w:rsidRDefault="00F34C61" w:rsidP="00B463E2">
      <w:pPr>
        <w:spacing w:after="0" w:line="360" w:lineRule="auto"/>
        <w:jc w:val="both"/>
        <w:rPr>
          <w:rFonts w:ascii="Palatino Linotype" w:hAnsi="Palatino Linotype" w:cs="Tahoma"/>
        </w:rPr>
      </w:pPr>
    </w:p>
    <w:p w14:paraId="2379806C" w14:textId="77777777" w:rsidR="00F34C61" w:rsidRDefault="00F34C61" w:rsidP="00B463E2">
      <w:pPr>
        <w:spacing w:after="0" w:line="360" w:lineRule="auto"/>
        <w:jc w:val="both"/>
        <w:rPr>
          <w:rFonts w:ascii="Palatino Linotype" w:hAnsi="Palatino Linotype" w:cs="Tahoma"/>
        </w:rPr>
      </w:pPr>
    </w:p>
    <w:p w14:paraId="07408794" w14:textId="77777777" w:rsidR="00F34C61" w:rsidRDefault="00F34C61" w:rsidP="00B463E2">
      <w:pPr>
        <w:spacing w:after="0" w:line="360" w:lineRule="auto"/>
        <w:jc w:val="both"/>
        <w:rPr>
          <w:rFonts w:ascii="Palatino Linotype" w:hAnsi="Palatino Linotype" w:cs="Tahoma"/>
        </w:rPr>
      </w:pPr>
    </w:p>
    <w:p w14:paraId="519DF229" w14:textId="77777777" w:rsidR="00F34C61" w:rsidRDefault="00F34C61" w:rsidP="00B463E2">
      <w:pPr>
        <w:spacing w:after="0" w:line="360" w:lineRule="auto"/>
        <w:jc w:val="both"/>
        <w:rPr>
          <w:rFonts w:ascii="Palatino Linotype" w:hAnsi="Palatino Linotype" w:cs="Tahoma"/>
        </w:rPr>
      </w:pPr>
    </w:p>
    <w:p w14:paraId="335FEDFB" w14:textId="77777777" w:rsidR="00F34C61" w:rsidRDefault="00F34C61" w:rsidP="00B463E2">
      <w:pPr>
        <w:spacing w:after="0" w:line="360" w:lineRule="auto"/>
        <w:jc w:val="both"/>
        <w:rPr>
          <w:rFonts w:ascii="Palatino Linotype" w:hAnsi="Palatino Linotype" w:cs="Tahoma"/>
        </w:rPr>
      </w:pPr>
    </w:p>
    <w:p w14:paraId="02397CEC" w14:textId="77777777" w:rsidR="00F34C61" w:rsidRDefault="00F34C61" w:rsidP="00B463E2">
      <w:pPr>
        <w:spacing w:after="0" w:line="360" w:lineRule="auto"/>
        <w:jc w:val="both"/>
        <w:rPr>
          <w:rFonts w:ascii="Palatino Linotype" w:hAnsi="Palatino Linotype" w:cs="Tahoma"/>
        </w:rPr>
      </w:pPr>
    </w:p>
    <w:p w14:paraId="727A08D4" w14:textId="77777777" w:rsidR="00F34C61" w:rsidRDefault="00F34C61" w:rsidP="00B463E2">
      <w:pPr>
        <w:spacing w:after="0" w:line="360" w:lineRule="auto"/>
        <w:jc w:val="both"/>
        <w:rPr>
          <w:rFonts w:ascii="Palatino Linotype" w:hAnsi="Palatino Linotype" w:cs="Tahoma"/>
        </w:rPr>
      </w:pPr>
    </w:p>
    <w:p w14:paraId="4EB19578" w14:textId="77777777" w:rsidR="00F84B95" w:rsidRDefault="00F84B95" w:rsidP="00B463E2">
      <w:pPr>
        <w:spacing w:after="0" w:line="360" w:lineRule="auto"/>
        <w:jc w:val="both"/>
      </w:pPr>
    </w:p>
    <w:sectPr w:rsidR="00F84B95" w:rsidSect="008E1028">
      <w:headerReference w:type="even" r:id="rId7"/>
      <w:headerReference w:type="default" r:id="rId8"/>
      <w:footerReference w:type="default" r:id="rId9"/>
      <w:headerReference w:type="first" r:id="rId10"/>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7ACFC" w14:textId="77777777" w:rsidR="00A45F3F" w:rsidRDefault="00A45F3F" w:rsidP="00A80C30">
      <w:pPr>
        <w:spacing w:after="0" w:line="240" w:lineRule="auto"/>
      </w:pPr>
      <w:r>
        <w:separator/>
      </w:r>
    </w:p>
  </w:endnote>
  <w:endnote w:type="continuationSeparator" w:id="0">
    <w:p w14:paraId="1DDF85A3" w14:textId="77777777" w:rsidR="00A45F3F" w:rsidRDefault="00A45F3F"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1BA8F3B8" w14:textId="77777777" w:rsidR="001B287D"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9453F2">
              <w:rPr>
                <w:b/>
                <w:bCs/>
                <w:noProof/>
              </w:rPr>
              <w:t>11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9453F2">
              <w:rPr>
                <w:b/>
                <w:bCs/>
                <w:noProof/>
              </w:rPr>
              <w:t>13</w:t>
            </w:r>
            <w:r>
              <w:rPr>
                <w:b/>
                <w:bCs/>
                <w:sz w:val="24"/>
                <w:szCs w:val="24"/>
              </w:rPr>
              <w:fldChar w:fldCharType="end"/>
            </w:r>
          </w:p>
        </w:sdtContent>
      </w:sdt>
    </w:sdtContent>
  </w:sdt>
  <w:p w14:paraId="3B9A91BE" w14:textId="77777777" w:rsidR="001B287D" w:rsidRDefault="001B287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24A0A" w14:textId="77777777" w:rsidR="00A45F3F" w:rsidRDefault="00A45F3F" w:rsidP="00A80C30">
      <w:pPr>
        <w:spacing w:after="0" w:line="240" w:lineRule="auto"/>
      </w:pPr>
      <w:r>
        <w:separator/>
      </w:r>
    </w:p>
  </w:footnote>
  <w:footnote w:type="continuationSeparator" w:id="0">
    <w:p w14:paraId="773C7869" w14:textId="77777777" w:rsidR="00A45F3F" w:rsidRDefault="00A45F3F" w:rsidP="00A80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9700B" w14:textId="77777777" w:rsidR="00A80C30" w:rsidRDefault="001B287D">
    <w:pPr>
      <w:pStyle w:val="Encabezado"/>
    </w:pPr>
    <w:r>
      <w:rPr>
        <w:noProof/>
      </w:rPr>
      <w:pict w14:anchorId="1A866D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2050"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5954"/>
    </w:tblGrid>
    <w:tr w:rsidR="0077694E" w:rsidRPr="001106EA" w14:paraId="586042BD" w14:textId="77777777" w:rsidTr="0040472D">
      <w:trPr>
        <w:trHeight w:val="1843"/>
      </w:trPr>
      <w:tc>
        <w:tcPr>
          <w:tcW w:w="3119" w:type="dxa"/>
          <w:vAlign w:val="bottom"/>
        </w:tcPr>
        <w:p w14:paraId="608D88A2" w14:textId="387BF980" w:rsidR="001B287D" w:rsidRDefault="0040472D"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88960" behindDoc="0" locked="0" layoutInCell="1" allowOverlap="1" wp14:anchorId="321FBE5F" wp14:editId="3E2FFE05">
                <wp:simplePos x="0" y="0"/>
                <wp:positionH relativeFrom="column">
                  <wp:posOffset>-291465</wp:posOffset>
                </wp:positionH>
                <wp:positionV relativeFrom="paragraph">
                  <wp:posOffset>-860425</wp:posOffset>
                </wp:positionV>
                <wp:extent cx="1873250" cy="112649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30BF8731" w14:textId="6DBAF5FE" w:rsidR="00285C7B" w:rsidRDefault="00285C7B" w:rsidP="00285C7B">
          <w:pPr>
            <w:pStyle w:val="Encabezado"/>
            <w:tabs>
              <w:tab w:val="clear" w:pos="4252"/>
              <w:tab w:val="center" w:pos="2614"/>
            </w:tabs>
            <w:ind w:left="-255"/>
          </w:pPr>
        </w:p>
      </w:tc>
      <w:tc>
        <w:tcPr>
          <w:tcW w:w="5954" w:type="dxa"/>
          <w:vAlign w:val="center"/>
        </w:tcPr>
        <w:p w14:paraId="3EB2428F" w14:textId="77777777" w:rsidR="001B287D"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57B04708" w14:textId="3B617DF1" w:rsidR="004E5EAD" w:rsidRDefault="001F75E5" w:rsidP="00285C7B">
          <w:pPr>
            <w:pStyle w:val="Encabezado"/>
            <w:ind w:left="-108" w:right="37"/>
            <w:jc w:val="both"/>
            <w:rPr>
              <w:rFonts w:ascii="Palatino Linotype" w:hAnsi="Palatino Linotype"/>
              <w:lang w:val="es-MX"/>
            </w:rPr>
          </w:pPr>
          <w:r w:rsidRPr="00B9745A">
            <w:rPr>
              <w:rFonts w:ascii="Palatino Linotype" w:hAnsi="Palatino Linotype" w:cs="Tahoma"/>
              <w:b/>
            </w:rPr>
            <w:t>Recurso de Revisión:</w:t>
          </w:r>
          <w:r w:rsidR="0018403B">
            <w:rPr>
              <w:rFonts w:ascii="Palatino Linotype" w:hAnsi="Palatino Linotype" w:cs="Tahoma"/>
              <w:b/>
            </w:rPr>
            <w:t xml:space="preserve"> </w:t>
          </w:r>
          <w:r w:rsidR="00BA74BB">
            <w:rPr>
              <w:rFonts w:ascii="Palatino Linotype" w:hAnsi="Palatino Linotype" w:cs="Tahoma"/>
              <w:bCs/>
            </w:rPr>
            <w:t>04</w:t>
          </w:r>
          <w:r w:rsidR="009453F2">
            <w:rPr>
              <w:rFonts w:ascii="Palatino Linotype" w:hAnsi="Palatino Linotype" w:cs="Tahoma"/>
              <w:bCs/>
            </w:rPr>
            <w:t>354</w:t>
          </w:r>
          <w:r w:rsidR="0095436B" w:rsidRPr="0095436B">
            <w:rPr>
              <w:rFonts w:ascii="Palatino Linotype" w:hAnsi="Palatino Linotype" w:cs="Tahoma"/>
              <w:bCs/>
            </w:rPr>
            <w:t>/INFOEM/IP/RR/202</w:t>
          </w:r>
          <w:r w:rsidR="00BA74BB">
            <w:rPr>
              <w:rFonts w:ascii="Palatino Linotype" w:hAnsi="Palatino Linotype" w:cs="Tahoma"/>
              <w:bCs/>
            </w:rPr>
            <w:t>3</w:t>
          </w:r>
        </w:p>
        <w:p w14:paraId="20A1EB01" w14:textId="5C9CAF15" w:rsidR="00100065" w:rsidRDefault="001F75E5"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9453F2">
            <w:rPr>
              <w:rFonts w:ascii="Palatino Linotype" w:hAnsi="Palatino Linotype"/>
              <w:bCs/>
              <w:lang w:val="es-MX"/>
            </w:rPr>
            <w:t>Ayuntamiento de Atlautla</w:t>
          </w:r>
        </w:p>
        <w:p w14:paraId="7EC14AD1" w14:textId="3DE1E79D" w:rsidR="00285C7B" w:rsidRPr="00285C7B" w:rsidRDefault="001F75E5" w:rsidP="009453F2">
          <w:pPr>
            <w:pStyle w:val="Encabezado"/>
            <w:ind w:left="-108"/>
            <w:jc w:val="both"/>
            <w:rPr>
              <w:rFonts w:ascii="Palatino Linotype" w:hAnsi="Palatino Linotype"/>
              <w:bCs/>
              <w:lang w:val="es-ES_tradnl"/>
            </w:rPr>
          </w:pPr>
          <w:r w:rsidRPr="00B9745A">
            <w:rPr>
              <w:rFonts w:ascii="Palatino Linotype" w:hAnsi="Palatino Linotype" w:cs="Tahoma"/>
              <w:b/>
            </w:rPr>
            <w:t xml:space="preserve">Comisionado Ponente: </w:t>
          </w:r>
          <w:r w:rsidR="009453F2">
            <w:rPr>
              <w:rFonts w:ascii="Palatino Linotype" w:hAnsi="Palatino Linotype" w:cs="Arial"/>
              <w:szCs w:val="20"/>
            </w:rPr>
            <w:t>Guadalupe Ramírez Peña</w:t>
          </w:r>
        </w:p>
      </w:tc>
    </w:tr>
  </w:tbl>
  <w:p w14:paraId="7FED2E96" w14:textId="77777777" w:rsidR="001B287D" w:rsidRPr="001106EA" w:rsidRDefault="001B287D">
    <w:pPr>
      <w:pStyle w:val="Encabezado"/>
      <w:rPr>
        <w:sz w:val="2"/>
        <w:szCs w:val="2"/>
      </w:rPr>
    </w:pPr>
    <w:r>
      <w:rPr>
        <w:noProof/>
      </w:rPr>
      <w:pict w14:anchorId="01D843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6" o:spid="_x0000_s2051" type="#_x0000_t136" style="position:absolute;margin-left:0;margin-top:0;width:541.8pt;height:81.25pt;rotation:315;z-index:-25165312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B73CF" w14:textId="77777777" w:rsidR="00A80C30" w:rsidRDefault="001B287D">
    <w:pPr>
      <w:pStyle w:val="Encabezado"/>
    </w:pPr>
    <w:r>
      <w:rPr>
        <w:noProof/>
      </w:rPr>
      <w:pict w14:anchorId="609D22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2049" type="#_x0000_t136" style="position:absolute;margin-left:0;margin-top:0;width:541.8pt;height:81.25pt;rotation:315;z-index:-25165721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1BFB3419"/>
    <w:multiLevelType w:val="hybridMultilevel"/>
    <w:tmpl w:val="9BC2E2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4B507C14"/>
    <w:multiLevelType w:val="hybridMultilevel"/>
    <w:tmpl w:val="AEA447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6C0539D8"/>
    <w:multiLevelType w:val="hybridMultilevel"/>
    <w:tmpl w:val="9F8C4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16cid:durableId="359935210">
    <w:abstractNumId w:val="2"/>
  </w:num>
  <w:num w:numId="2" w16cid:durableId="1569681952">
    <w:abstractNumId w:val="4"/>
  </w:num>
  <w:num w:numId="3" w16cid:durableId="1791897966">
    <w:abstractNumId w:val="0"/>
  </w:num>
  <w:num w:numId="4" w16cid:durableId="509611656">
    <w:abstractNumId w:val="1"/>
  </w:num>
  <w:num w:numId="5" w16cid:durableId="100883888">
    <w:abstractNumId w:val="7"/>
  </w:num>
  <w:num w:numId="6" w16cid:durableId="1780029687">
    <w:abstractNumId w:val="5"/>
  </w:num>
  <w:num w:numId="7" w16cid:durableId="252129131">
    <w:abstractNumId w:val="3"/>
  </w:num>
  <w:num w:numId="8" w16cid:durableId="9758380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C30"/>
    <w:rsid w:val="00003DA8"/>
    <w:rsid w:val="000062F8"/>
    <w:rsid w:val="0004695A"/>
    <w:rsid w:val="00047ED8"/>
    <w:rsid w:val="00052BC3"/>
    <w:rsid w:val="00082310"/>
    <w:rsid w:val="000E09CA"/>
    <w:rsid w:val="00100065"/>
    <w:rsid w:val="001830C9"/>
    <w:rsid w:val="0018403B"/>
    <w:rsid w:val="001971A0"/>
    <w:rsid w:val="001A758C"/>
    <w:rsid w:val="001B287D"/>
    <w:rsid w:val="001C25E0"/>
    <w:rsid w:val="001C4CC5"/>
    <w:rsid w:val="001F75E5"/>
    <w:rsid w:val="00271E8A"/>
    <w:rsid w:val="00285C7B"/>
    <w:rsid w:val="002D6AB3"/>
    <w:rsid w:val="002E5CC1"/>
    <w:rsid w:val="002F4CEB"/>
    <w:rsid w:val="00304A0F"/>
    <w:rsid w:val="00314859"/>
    <w:rsid w:val="003325D7"/>
    <w:rsid w:val="003365F9"/>
    <w:rsid w:val="003A4D84"/>
    <w:rsid w:val="003B390E"/>
    <w:rsid w:val="003E56C5"/>
    <w:rsid w:val="00400BE5"/>
    <w:rsid w:val="0040472D"/>
    <w:rsid w:val="004134DC"/>
    <w:rsid w:val="00427F85"/>
    <w:rsid w:val="004412C6"/>
    <w:rsid w:val="004474C6"/>
    <w:rsid w:val="0046388E"/>
    <w:rsid w:val="004669A2"/>
    <w:rsid w:val="004738C3"/>
    <w:rsid w:val="00480410"/>
    <w:rsid w:val="00486BD3"/>
    <w:rsid w:val="00494387"/>
    <w:rsid w:val="004A7A76"/>
    <w:rsid w:val="004B15AF"/>
    <w:rsid w:val="004C0D87"/>
    <w:rsid w:val="004C1C08"/>
    <w:rsid w:val="004C7D91"/>
    <w:rsid w:val="004D26F6"/>
    <w:rsid w:val="004E5EAD"/>
    <w:rsid w:val="00506560"/>
    <w:rsid w:val="00506AB5"/>
    <w:rsid w:val="00533E57"/>
    <w:rsid w:val="00541BAC"/>
    <w:rsid w:val="00543C9A"/>
    <w:rsid w:val="00574176"/>
    <w:rsid w:val="00585765"/>
    <w:rsid w:val="005974CA"/>
    <w:rsid w:val="005A777C"/>
    <w:rsid w:val="005B508B"/>
    <w:rsid w:val="00601591"/>
    <w:rsid w:val="0060185D"/>
    <w:rsid w:val="006408E2"/>
    <w:rsid w:val="0066427F"/>
    <w:rsid w:val="00677350"/>
    <w:rsid w:val="00684986"/>
    <w:rsid w:val="00686864"/>
    <w:rsid w:val="00690441"/>
    <w:rsid w:val="00691A36"/>
    <w:rsid w:val="006C2B09"/>
    <w:rsid w:val="006E7235"/>
    <w:rsid w:val="006F0AD4"/>
    <w:rsid w:val="00716333"/>
    <w:rsid w:val="00756729"/>
    <w:rsid w:val="007C7618"/>
    <w:rsid w:val="007F32AC"/>
    <w:rsid w:val="008036A4"/>
    <w:rsid w:val="00821A8D"/>
    <w:rsid w:val="00823E1B"/>
    <w:rsid w:val="0083177F"/>
    <w:rsid w:val="00833C20"/>
    <w:rsid w:val="00842979"/>
    <w:rsid w:val="0086164B"/>
    <w:rsid w:val="00864A25"/>
    <w:rsid w:val="00864FE8"/>
    <w:rsid w:val="00896B24"/>
    <w:rsid w:val="008A0141"/>
    <w:rsid w:val="008C507B"/>
    <w:rsid w:val="008C5093"/>
    <w:rsid w:val="008E1028"/>
    <w:rsid w:val="008E2746"/>
    <w:rsid w:val="008F78B8"/>
    <w:rsid w:val="0090293D"/>
    <w:rsid w:val="009073A7"/>
    <w:rsid w:val="00913F1E"/>
    <w:rsid w:val="00915819"/>
    <w:rsid w:val="00922026"/>
    <w:rsid w:val="00926BCA"/>
    <w:rsid w:val="00932696"/>
    <w:rsid w:val="00940F06"/>
    <w:rsid w:val="009453F2"/>
    <w:rsid w:val="009462C4"/>
    <w:rsid w:val="0095436B"/>
    <w:rsid w:val="00957CF3"/>
    <w:rsid w:val="00960C5A"/>
    <w:rsid w:val="00961702"/>
    <w:rsid w:val="00967EEE"/>
    <w:rsid w:val="009B2079"/>
    <w:rsid w:val="009B6FDE"/>
    <w:rsid w:val="009C33A4"/>
    <w:rsid w:val="009C6B45"/>
    <w:rsid w:val="009D400F"/>
    <w:rsid w:val="009F23B2"/>
    <w:rsid w:val="009F5F4C"/>
    <w:rsid w:val="00A17634"/>
    <w:rsid w:val="00A17F80"/>
    <w:rsid w:val="00A21473"/>
    <w:rsid w:val="00A45F3F"/>
    <w:rsid w:val="00A54CCC"/>
    <w:rsid w:val="00A72226"/>
    <w:rsid w:val="00A74B9C"/>
    <w:rsid w:val="00A80C30"/>
    <w:rsid w:val="00A9782A"/>
    <w:rsid w:val="00AA3F1A"/>
    <w:rsid w:val="00AD0D45"/>
    <w:rsid w:val="00AF1A41"/>
    <w:rsid w:val="00AF5CE0"/>
    <w:rsid w:val="00AF7673"/>
    <w:rsid w:val="00AF77D3"/>
    <w:rsid w:val="00B43526"/>
    <w:rsid w:val="00B463E2"/>
    <w:rsid w:val="00B55282"/>
    <w:rsid w:val="00B645DD"/>
    <w:rsid w:val="00B80272"/>
    <w:rsid w:val="00BA54EE"/>
    <w:rsid w:val="00BA74BB"/>
    <w:rsid w:val="00BE1261"/>
    <w:rsid w:val="00BE47BF"/>
    <w:rsid w:val="00C002CE"/>
    <w:rsid w:val="00C00E77"/>
    <w:rsid w:val="00C040FA"/>
    <w:rsid w:val="00C31DBA"/>
    <w:rsid w:val="00C5298B"/>
    <w:rsid w:val="00C60748"/>
    <w:rsid w:val="00C60C1A"/>
    <w:rsid w:val="00C75CD8"/>
    <w:rsid w:val="00C75F6B"/>
    <w:rsid w:val="00CA3EE9"/>
    <w:rsid w:val="00CB36F3"/>
    <w:rsid w:val="00CB5A21"/>
    <w:rsid w:val="00CC1080"/>
    <w:rsid w:val="00CC3620"/>
    <w:rsid w:val="00CD7937"/>
    <w:rsid w:val="00CF1FFD"/>
    <w:rsid w:val="00CF41C9"/>
    <w:rsid w:val="00D07D91"/>
    <w:rsid w:val="00D51BFD"/>
    <w:rsid w:val="00D53681"/>
    <w:rsid w:val="00D6254E"/>
    <w:rsid w:val="00D70FDE"/>
    <w:rsid w:val="00D76A6E"/>
    <w:rsid w:val="00D93066"/>
    <w:rsid w:val="00DA6E7C"/>
    <w:rsid w:val="00DB121C"/>
    <w:rsid w:val="00DB263D"/>
    <w:rsid w:val="00DD5D61"/>
    <w:rsid w:val="00E169DE"/>
    <w:rsid w:val="00E31450"/>
    <w:rsid w:val="00E43FEA"/>
    <w:rsid w:val="00E60460"/>
    <w:rsid w:val="00E6475C"/>
    <w:rsid w:val="00E67710"/>
    <w:rsid w:val="00E678EF"/>
    <w:rsid w:val="00E7322A"/>
    <w:rsid w:val="00E878DE"/>
    <w:rsid w:val="00EB135A"/>
    <w:rsid w:val="00EB7785"/>
    <w:rsid w:val="00ED313F"/>
    <w:rsid w:val="00EE633B"/>
    <w:rsid w:val="00EE7B51"/>
    <w:rsid w:val="00EF470A"/>
    <w:rsid w:val="00F04F7C"/>
    <w:rsid w:val="00F1426D"/>
    <w:rsid w:val="00F15993"/>
    <w:rsid w:val="00F16598"/>
    <w:rsid w:val="00F17B52"/>
    <w:rsid w:val="00F257E9"/>
    <w:rsid w:val="00F34C61"/>
    <w:rsid w:val="00F35BFB"/>
    <w:rsid w:val="00F51D82"/>
    <w:rsid w:val="00F53DD4"/>
    <w:rsid w:val="00F84B95"/>
    <w:rsid w:val="00FB0274"/>
    <w:rsid w:val="00FC3DE6"/>
    <w:rsid w:val="00FD2937"/>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701135"/>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 w:type="paragraph" w:styleId="Prrafodelista">
    <w:name w:val="List Paragraph"/>
    <w:basedOn w:val="Normal"/>
    <w:uiPriority w:val="34"/>
    <w:qFormat/>
    <w:rsid w:val="00AF76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858087970">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3430</Words>
  <Characters>18868</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RF</dc:creator>
  <cp:lastModifiedBy>Sandra Ivette Razo De La Paz</cp:lastModifiedBy>
  <cp:revision>5</cp:revision>
  <cp:lastPrinted>2023-10-30T19:49:00Z</cp:lastPrinted>
  <dcterms:created xsi:type="dcterms:W3CDTF">2024-01-18T20:59:00Z</dcterms:created>
  <dcterms:modified xsi:type="dcterms:W3CDTF">2024-01-18T23:07:00Z</dcterms:modified>
</cp:coreProperties>
</file>