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720" w:hanging="720"/>
        <w:jc w:val="both"/>
        <w:rPr>
          <w:rFonts w:ascii="Palatino Linotype" w:cs="Palatino Linotype" w:eastAsia="Palatino Linotype" w:hAnsi="Palatino Linotype"/>
          <w:b w:val="1"/>
          <w:sz w:val="24"/>
          <w:szCs w:val="24"/>
        </w:rPr>
      </w:pPr>
      <w:bookmarkStart w:colFirst="0" w:colLast="0" w:name="_heading=h.3dy6vkm" w:id="0"/>
      <w:bookmarkEnd w:id="0"/>
      <w:r w:rsidDel="00000000" w:rsidR="00000000" w:rsidRPr="00000000">
        <w:rPr>
          <w:rtl w:val="0"/>
        </w:rPr>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SESIÓN ORDINARIA DEL VEINTIOCHO DE AGOSTO DE DOS MIL VEINTICUATRO, EN EL RECURSO DE REVISIÓN 04365/INFOEM/IP/RR/2024.</w:t>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4">
      <w:pPr>
        <w:spacing w:after="0" w:line="360" w:lineRule="auto"/>
        <w:ind w:right="-93"/>
        <w:jc w:val="both"/>
        <w:rPr>
          <w:rFonts w:ascii="Palatino Linotype" w:cs="Palatino Linotype" w:eastAsia="Palatino Linotype" w:hAnsi="Palatino Linotype"/>
        </w:rPr>
      </w:pPr>
      <w:bookmarkStart w:colFirst="0" w:colLast="0" w:name="_heading=h.1t3h5sf" w:id="1"/>
      <w:bookmarkEnd w:id="1"/>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rtl w:val="0"/>
        </w:rPr>
        <w:t xml:space="preserve">04365/INFOEM/IP/RR/2024,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5">
      <w:pPr>
        <w:spacing w:after="0" w:line="360" w:lineRule="auto"/>
        <w:ind w:right="-9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6">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resulta importante señalar que coincido con los términos generales planteados en la Resolución, no obstante, considero que en el caso de </w:t>
      </w:r>
      <w:r w:rsidDel="00000000" w:rsidR="00000000" w:rsidRPr="00000000">
        <w:rPr>
          <w:rFonts w:ascii="Palatino Linotype" w:cs="Palatino Linotype" w:eastAsia="Palatino Linotype" w:hAnsi="Palatino Linotype"/>
          <w:b w:val="1"/>
          <w:rtl w:val="0"/>
        </w:rPr>
        <w:t xml:space="preserve">los documentos que den cuenta del sueldo de los servidores públicos adscritos a la Dirección de Seguridad Pública, incluyendo personal operativo</w:t>
      </w:r>
      <w:r w:rsidDel="00000000" w:rsidR="00000000" w:rsidRPr="00000000">
        <w:rPr>
          <w:rFonts w:ascii="Palatino Linotype" w:cs="Palatino Linotype" w:eastAsia="Palatino Linotype" w:hAnsi="Palatino Linotype"/>
          <w:rtl w:val="0"/>
        </w:rPr>
        <w:t xml:space="preserve">, deben tomarse en cuenta las consideraciones que a continuación se exponen. </w:t>
      </w:r>
    </w:p>
    <w:p w:rsidR="00000000" w:rsidDel="00000000" w:rsidP="00000000" w:rsidRDefault="00000000" w:rsidRPr="00000000" w14:paraId="00000007">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8">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Del="00000000" w:rsidR="00000000" w:rsidRPr="00000000">
        <w:rPr>
          <w:rFonts w:ascii="Palatino Linotype" w:cs="Palatino Linotype" w:eastAsia="Palatino Linotype" w:hAnsi="Palatino Linotype"/>
          <w:b w:val="1"/>
          <w:rtl w:val="0"/>
        </w:rPr>
        <w:t xml:space="preserve">los Municipios</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cuyos fines son salvaguardar la vida, las libertades, la integridad y el patrimonio de las personas, así como contribuir a la generación y preservación del orden público y la paz social</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9">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señala que la actuación de las instituciones de seguridad pública se regirá por los principios de legalidad, objetividad, eficiencia, profesionalismo, honradez y respeto a los derechos humanos.</w:t>
      </w:r>
    </w:p>
    <w:p w:rsidR="00000000" w:rsidDel="00000000" w:rsidP="00000000" w:rsidRDefault="00000000" w:rsidRPr="00000000" w14:paraId="0000000B">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000000" w:rsidDel="00000000" w:rsidP="00000000" w:rsidRDefault="00000000" w:rsidRPr="00000000" w14:paraId="0000000D">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000000" w:rsidDel="00000000" w:rsidP="00000000" w:rsidRDefault="00000000" w:rsidRPr="00000000" w14:paraId="0000000F">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000000" w:rsidDel="00000000" w:rsidP="00000000" w:rsidRDefault="00000000" w:rsidRPr="00000000" w14:paraId="00000011">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2">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000000" w:rsidDel="00000000" w:rsidP="00000000" w:rsidRDefault="00000000" w:rsidRPr="00000000" w14:paraId="00000013">
      <w:pPr>
        <w:spacing w:after="0" w:line="240" w:lineRule="auto"/>
        <w:ind w:left="851" w:right="900"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4">
      <w:pPr>
        <w:spacing w:after="0" w:line="240" w:lineRule="auto"/>
        <w:ind w:left="567" w:right="56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Artículo 81.-</w:t>
      </w:r>
      <w:r w:rsidDel="00000000" w:rsidR="00000000" w:rsidRPr="00000000">
        <w:rPr>
          <w:rFonts w:ascii="Palatino Linotype" w:cs="Palatino Linotype" w:eastAsia="Palatino Linotype" w:hAnsi="Palatino Linotype"/>
          <w:i w:val="1"/>
          <w:rtl w:val="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000000" w:rsidDel="00000000" w:rsidP="00000000" w:rsidRDefault="00000000" w:rsidRPr="00000000" w14:paraId="00000015">
      <w:pPr>
        <w:spacing w:after="0" w:line="240" w:lineRule="auto"/>
        <w:ind w:left="567" w:right="56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16">
      <w:pPr>
        <w:spacing w:after="0" w:line="240" w:lineRule="auto"/>
        <w:ind w:left="567" w:right="567" w:firstLine="0"/>
        <w:jc w:val="both"/>
        <w:rPr>
          <w:rFonts w:ascii="Palatino Linotype" w:cs="Palatino Linotype" w:eastAsia="Palatino Linotype" w:hAnsi="Palatino Linotype"/>
          <w:i w:val="1"/>
        </w:rPr>
      </w:pPr>
      <w:bookmarkStart w:colFirst="0" w:colLast="0" w:name="_heading=h.2et92p0" w:id="2"/>
      <w:bookmarkEnd w:id="2"/>
      <w:r w:rsidDel="00000000" w:rsidR="00000000" w:rsidRPr="00000000">
        <w:rPr>
          <w:rFonts w:ascii="Palatino Linotype" w:cs="Palatino Linotype" w:eastAsia="Palatino Linotype" w:hAnsi="Palatino Linotype"/>
          <w:b w:val="1"/>
          <w:i w:val="1"/>
          <w:u w:val="single"/>
          <w:rtl w:val="0"/>
        </w:rPr>
        <w:t xml:space="preserve">II. Aquella cuya revelación pueda ser utilizada para actualizar o potenciar una amenaza a la seguridad pública o a las instituciones del Estado de México ;</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tl w:val="0"/>
        </w:rPr>
      </w:r>
    </w:p>
    <w:p w:rsidR="00000000" w:rsidDel="00000000" w:rsidP="00000000" w:rsidRDefault="00000000" w:rsidRPr="00000000" w14:paraId="00000017">
      <w:pPr>
        <w:spacing w:after="0" w:line="360" w:lineRule="auto"/>
        <w:ind w:left="567" w:right="990" w:firstLine="0"/>
        <w:jc w:val="both"/>
        <w:rPr>
          <w:rFonts w:ascii="Palatino Linotype" w:cs="Palatino Linotype" w:eastAsia="Palatino Linotype" w:hAnsi="Palatino Linotype"/>
          <w:b w:val="1"/>
          <w:i w:val="1"/>
          <w:u w:val="single"/>
        </w:rPr>
      </w:pPr>
      <w:r w:rsidDel="00000000" w:rsidR="00000000" w:rsidRPr="00000000">
        <w:rPr>
          <w:rtl w:val="0"/>
        </w:rPr>
      </w:r>
    </w:p>
    <w:p w:rsidR="00000000" w:rsidDel="00000000" w:rsidP="00000000" w:rsidRDefault="00000000" w:rsidRPr="00000000" w14:paraId="00000018">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000000" w:rsidDel="00000000" w:rsidP="00000000" w:rsidRDefault="00000000" w:rsidRPr="00000000" w14:paraId="00000019">
      <w:pPr>
        <w:tabs>
          <w:tab w:val="left" w:leader="none" w:pos="284"/>
        </w:tabs>
        <w:spacing w:after="0" w:line="240" w:lineRule="auto"/>
        <w:ind w:left="567" w:right="709"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A">
      <w:pPr>
        <w:spacing w:after="0" w:line="360" w:lineRule="auto"/>
        <w:ind w:left="567" w:right="900"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“Ley General de Transparencia y Acceso a la Información Pública:</w:t>
      </w:r>
    </w:p>
    <w:p w:rsidR="00000000" w:rsidDel="00000000" w:rsidP="00000000" w:rsidRDefault="00000000" w:rsidRPr="00000000" w14:paraId="0000001B">
      <w:pPr>
        <w:spacing w:after="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Artículo 113</w:t>
      </w:r>
      <w:r w:rsidDel="00000000" w:rsidR="00000000" w:rsidRPr="00000000">
        <w:rPr>
          <w:rFonts w:ascii="Palatino Linotype" w:cs="Palatino Linotype" w:eastAsia="Palatino Linotype" w:hAnsi="Palatino Linotype"/>
          <w:i w:val="1"/>
          <w:rtl w:val="0"/>
        </w:rPr>
        <w:t xml:space="preserve">. Como información reservada podrá clasificarse aquella cuya publicación:</w:t>
      </w:r>
    </w:p>
    <w:p w:rsidR="00000000" w:rsidDel="00000000" w:rsidP="00000000" w:rsidRDefault="00000000" w:rsidRPr="00000000" w14:paraId="0000001C">
      <w:pPr>
        <w:spacing w:after="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I. Comprometa la seguridad nacional, la seguridad pública o la defensa nacional y cuente con un propósito genuino y un efecto demostrable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1D">
      <w:pPr>
        <w:spacing w:after="0" w:line="276" w:lineRule="auto"/>
        <w:ind w:left="567" w:right="900"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“Ley de Transparencia y Acceso a la Información Pública del Estado de México y Municipios: </w:t>
      </w:r>
    </w:p>
    <w:p w:rsidR="00000000" w:rsidDel="00000000" w:rsidP="00000000" w:rsidRDefault="00000000" w:rsidRPr="00000000" w14:paraId="0000001E">
      <w:pPr>
        <w:spacing w:after="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Artículo 140</w:t>
      </w:r>
      <w:r w:rsidDel="00000000" w:rsidR="00000000" w:rsidRPr="00000000">
        <w:rPr>
          <w:rFonts w:ascii="Palatino Linotype" w:cs="Palatino Linotype" w:eastAsia="Palatino Linotype" w:hAnsi="Palatino Linotype"/>
          <w:i w:val="1"/>
          <w:rtl w:val="0"/>
        </w:rPr>
        <w:t xml:space="preserve">. El acceso a la información pública será restringido excepcionalmente, cuando por razones de interés público, ésta sea clasificada como reservada, conforme a los criterios siguientes:</w:t>
      </w:r>
    </w:p>
    <w:p w:rsidR="00000000" w:rsidDel="00000000" w:rsidP="00000000" w:rsidRDefault="00000000" w:rsidRPr="00000000" w14:paraId="0000001F">
      <w:pPr>
        <w:spacing w:after="0" w:line="276" w:lineRule="auto"/>
        <w:ind w:left="567"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I. Comprometa la seguridad pública y cuente con un propósito genuino y un efecto demostrable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20">
      <w:pPr>
        <w:spacing w:after="0" w:line="276" w:lineRule="auto"/>
        <w:ind w:left="567" w:right="900" w:firstLine="0"/>
        <w:jc w:val="both"/>
        <w:rPr>
          <w:rFonts w:ascii="Palatino Linotype" w:cs="Palatino Linotype" w:eastAsia="Palatino Linotype" w:hAnsi="Palatino Linotype"/>
          <w:i w:val="1"/>
          <w:sz w:val="8"/>
          <w:szCs w:val="8"/>
        </w:rPr>
      </w:pPr>
      <w:r w:rsidDel="00000000" w:rsidR="00000000" w:rsidRPr="00000000">
        <w:rPr>
          <w:rtl w:val="0"/>
        </w:rPr>
      </w:r>
    </w:p>
    <w:p w:rsidR="00000000" w:rsidDel="00000000" w:rsidP="00000000" w:rsidRDefault="00000000" w:rsidRPr="00000000" w14:paraId="00000021">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000000" w:rsidDel="00000000" w:rsidP="00000000" w:rsidRDefault="00000000" w:rsidRPr="00000000" w14:paraId="00000023">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4">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crucial señalar que estos Lineamientos señalan </w:t>
      </w:r>
      <w:r w:rsidDel="00000000" w:rsidR="00000000" w:rsidRPr="00000000">
        <w:rPr>
          <w:rFonts w:ascii="Palatino Linotype" w:cs="Palatino Linotype" w:eastAsia="Palatino Linotype" w:hAnsi="Palatino Linotype"/>
          <w:b w:val="1"/>
          <w:u w:val="single"/>
          <w:rtl w:val="0"/>
        </w:rPr>
        <w:t xml:space="preserve">que es susceptible de considerarse como reservada aquella que revele datos que pudieran ser aprovechados para conocer la capacidad de reacción de las instituciones encargadas de la seguridad pública</w:t>
      </w:r>
      <w:r w:rsidDel="00000000" w:rsidR="00000000" w:rsidRPr="00000000">
        <w:rPr>
          <w:rFonts w:ascii="Palatino Linotype" w:cs="Palatino Linotype" w:eastAsia="Palatino Linotype" w:hAnsi="Palatino Linotype"/>
          <w:rtl w:val="0"/>
        </w:rPr>
        <w:t xml:space="preserve">, sus planes, estrategias, tecnología, información, sistemas de comunicaciones.</w:t>
      </w:r>
    </w:p>
    <w:p w:rsidR="00000000" w:rsidDel="00000000" w:rsidP="00000000" w:rsidRDefault="00000000" w:rsidRPr="00000000" w14:paraId="00000025">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000000" w:rsidDel="00000000" w:rsidP="00000000" w:rsidRDefault="00000000" w:rsidRPr="00000000" w14:paraId="00000027">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8">
      <w:pPr>
        <w:spacing w:after="0" w:line="360" w:lineRule="auto"/>
        <w:ind w:right="-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conclusión, la reserva del personal operativo procede por dos circunstancias:</w:t>
      </w:r>
    </w:p>
    <w:p w:rsidR="00000000" w:rsidDel="00000000" w:rsidP="00000000" w:rsidRDefault="00000000" w:rsidRPr="00000000" w14:paraId="00000029">
      <w:pPr>
        <w:spacing w:after="0" w:line="360" w:lineRule="auto"/>
        <w:ind w:right="-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A">
      <w:pPr>
        <w:spacing w:after="0" w:line="360" w:lineRule="auto"/>
        <w:ind w:left="284" w:right="-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 Se identifica en términos concretos cómo es que la información requerida podría comprometer el ejercicio de sus facultades constitucionales y, con ello, la seguridad pública, en virtud de que: </w:t>
      </w:r>
    </w:p>
    <w:p w:rsidR="00000000" w:rsidDel="00000000" w:rsidP="00000000" w:rsidRDefault="00000000" w:rsidRPr="00000000" w14:paraId="0000002B">
      <w:pPr>
        <w:spacing w:after="0" w:line="360" w:lineRule="auto"/>
        <w:ind w:left="284" w:right="-3"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C">
      <w:pPr>
        <w:spacing w:after="0" w:line="360" w:lineRule="auto"/>
        <w:ind w:left="567" w:right="90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La información podría ser aprovechada por los grupos criminales para conocer la capacidad de reacción </w:t>
      </w:r>
    </w:p>
    <w:p w:rsidR="00000000" w:rsidDel="00000000" w:rsidP="00000000" w:rsidRDefault="00000000" w:rsidRPr="00000000" w14:paraId="0000002D">
      <w:pPr>
        <w:spacing w:after="0" w:line="360" w:lineRule="auto"/>
        <w:ind w:left="567" w:right="900" w:firstLine="0"/>
        <w:jc w:val="both"/>
        <w:rPr>
          <w:rFonts w:ascii="Palatino Linotype" w:cs="Palatino Linotype" w:eastAsia="Palatino Linotype" w:hAnsi="Palatino Linotype"/>
        </w:rPr>
      </w:pPr>
      <w:bookmarkStart w:colFirst="0" w:colLast="0" w:name="_heading=h.1fob9te" w:id="3"/>
      <w:bookmarkEnd w:id="3"/>
      <w:r w:rsidDel="00000000" w:rsidR="00000000" w:rsidRPr="00000000">
        <w:rPr>
          <w:rFonts w:ascii="Palatino Linotype" w:cs="Palatino Linotype" w:eastAsia="Palatino Linotype" w:hAnsi="Palatino Linotype"/>
          <w:rtl w:val="0"/>
        </w:rPr>
        <w:t xml:space="preserve">b) Con dicha información se revelarían a detalle las características funcionales del personal y con ello, su organización para el cumplimiento de sus funciones; y </w:t>
      </w:r>
    </w:p>
    <w:p w:rsidR="00000000" w:rsidDel="00000000" w:rsidP="00000000" w:rsidRDefault="00000000" w:rsidRPr="00000000" w14:paraId="0000002E">
      <w:pPr>
        <w:spacing w:after="0" w:line="360" w:lineRule="auto"/>
        <w:ind w:left="567" w:right="90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000000" w:rsidDel="00000000" w:rsidP="00000000" w:rsidRDefault="00000000" w:rsidRPr="00000000" w14:paraId="0000002F">
      <w:pPr>
        <w:spacing w:after="0" w:line="360" w:lineRule="auto"/>
        <w:ind w:right="-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0">
      <w:pPr>
        <w:spacing w:after="0" w:line="360" w:lineRule="auto"/>
        <w:ind w:right="-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tanto, entre mayor información se dé a conocer respecto del </w:t>
      </w:r>
      <w:r w:rsidDel="00000000" w:rsidR="00000000" w:rsidRPr="00000000">
        <w:rPr>
          <w:rFonts w:ascii="Palatino Linotype" w:cs="Palatino Linotype" w:eastAsia="Palatino Linotype" w:hAnsi="Palatino Linotype"/>
          <w:b w:val="1"/>
          <w:i w:val="1"/>
          <w:rtl w:val="0"/>
        </w:rPr>
        <w:t xml:space="preserve">estado de fuerza </w:t>
      </w:r>
      <w:r w:rsidDel="00000000" w:rsidR="00000000" w:rsidRPr="00000000">
        <w:rPr>
          <w:rFonts w:ascii="Palatino Linotype" w:cs="Palatino Linotype" w:eastAsia="Palatino Linotype" w:hAnsi="Palatino Linotype"/>
          <w:rtl w:val="0"/>
        </w:rPr>
        <w:t xml:space="preserve">con que cuentan el Estado y Municipios, mayor es la probabilidad de que la información pueda implementarse como medio para actualizar o potenciar una amenaza en contra de la seguridad pública de los mismos.</w:t>
      </w:r>
    </w:p>
    <w:p w:rsidR="00000000" w:rsidDel="00000000" w:rsidP="00000000" w:rsidRDefault="00000000" w:rsidRPr="00000000" w14:paraId="00000031">
      <w:pPr>
        <w:spacing w:after="0" w:line="360" w:lineRule="auto"/>
        <w:ind w:right="-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32">
      <w:pPr>
        <w:spacing w:after="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No pasa inadvertido para la suscrita que en los casos en los que se publiciten diversas notas o documentos en los que se dé a conocer información estadística sobre el número de elementos de policía con los que cuenta el Ayuntamiento, esta información no se encuentra actualizada, aunado a que no se hace una distinción entre el número de personal operativo y administrativo.</w:t>
      </w:r>
    </w:p>
    <w:p w:rsidR="00000000" w:rsidDel="00000000" w:rsidP="00000000" w:rsidRDefault="00000000" w:rsidRPr="00000000" w14:paraId="00000033">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4">
      <w:pPr>
        <w:spacing w:after="0" w:line="360" w:lineRule="auto"/>
        <w:jc w:val="both"/>
        <w:rPr>
          <w:rFonts w:ascii="Palatino Linotype" w:cs="Palatino Linotype" w:eastAsia="Palatino Linotype" w:hAnsi="Palatino Linotype"/>
        </w:rPr>
      </w:pPr>
      <w:bookmarkStart w:colFirst="0" w:colLast="0" w:name="_heading=h.tyjcwt" w:id="4"/>
      <w:bookmarkEnd w:id="4"/>
      <w:r w:rsidDel="00000000" w:rsidR="00000000" w:rsidRPr="00000000">
        <w:rPr>
          <w:rFonts w:ascii="Palatino Linotype" w:cs="Palatino Linotype" w:eastAsia="Palatino Linotype" w:hAnsi="Palatino Linotype"/>
          <w:rtl w:val="0"/>
        </w:rPr>
        <w:t xml:space="preserve">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000000" w:rsidDel="00000000" w:rsidP="00000000" w:rsidRDefault="00000000" w:rsidRPr="00000000" w14:paraId="00000035">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6">
      <w:pPr>
        <w:spacing w:after="0" w:line="360" w:lineRule="auto"/>
        <w:jc w:val="both"/>
        <w:rPr>
          <w:rFonts w:ascii="Palatino Linotype" w:cs="Palatino Linotype" w:eastAsia="Palatino Linotype" w:hAnsi="Palatino Linotype"/>
          <w:sz w:val="24"/>
          <w:szCs w:val="24"/>
          <w:highlight w:val="red"/>
        </w:rPr>
      </w:pPr>
      <w:bookmarkStart w:colFirst="0" w:colLast="0" w:name="_heading=h.30j0zll" w:id="5"/>
      <w:bookmarkEnd w:id="5"/>
      <w:r w:rsidDel="00000000" w:rsidR="00000000" w:rsidRPr="00000000">
        <w:rPr>
          <w:rFonts w:ascii="Palatino Linotype" w:cs="Palatino Linotype" w:eastAsia="Palatino Linotype" w:hAnsi="Palatino Linotype"/>
          <w:rtl w:val="0"/>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Estatal 2024, en dicho documento obran los siguientes elementos: </w:t>
      </w:r>
      <w:r w:rsidDel="00000000" w:rsidR="00000000" w:rsidRPr="00000000">
        <w:rPr>
          <w:rtl w:val="0"/>
        </w:rPr>
      </w:r>
    </w:p>
    <w:p w:rsidR="00000000" w:rsidDel="00000000" w:rsidP="00000000" w:rsidRDefault="00000000" w:rsidRPr="00000000" w14:paraId="00000037">
      <w:pPr>
        <w:spacing w:after="0" w:line="36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spacing w:after="0" w:line="36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Pr>
        <w:drawing>
          <wp:inline distB="0" distT="0" distL="0" distR="0">
            <wp:extent cx="6127420" cy="5887815"/>
            <wp:effectExtent b="0" l="0" r="0" t="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27420" cy="588781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spacing w:after="0" w:line="360" w:lineRule="auto"/>
        <w:ind w:right="139"/>
        <w:jc w:val="both"/>
        <w:rPr>
          <w:rFonts w:ascii="Palatino Linotype" w:cs="Palatino Linotype" w:eastAsia="Palatino Linotype" w:hAnsi="Palatino Linotype"/>
        </w:rPr>
      </w:pPr>
      <w:bookmarkStart w:colFirst="0" w:colLast="0" w:name="_heading=h.4d34og8" w:id="6"/>
      <w:bookmarkEnd w:id="6"/>
      <w:r w:rsidDel="00000000" w:rsidR="00000000" w:rsidRPr="00000000">
        <w:rPr>
          <w:rFonts w:ascii="Palatino Linotype" w:cs="Palatino Linotype" w:eastAsia="Palatino Linotype" w:hAnsi="Palatino Linotype"/>
          <w:rtl w:val="0"/>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000000" w:rsidDel="00000000" w:rsidP="00000000" w:rsidRDefault="00000000" w:rsidRPr="00000000" w14:paraId="0000003B">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C">
      <w:pPr>
        <w:spacing w:after="0" w:line="360" w:lineRule="auto"/>
        <w:ind w:right="139"/>
        <w:jc w:val="both"/>
        <w:rPr>
          <w:rFonts w:ascii="Palatino Linotype" w:cs="Palatino Linotype" w:eastAsia="Palatino Linotype" w:hAnsi="Palatino Linotype"/>
        </w:rPr>
      </w:pPr>
      <w:bookmarkStart w:colFirst="0" w:colLast="0" w:name="_heading=h.jkaxn8mgxy7q" w:id="7"/>
      <w:bookmarkEnd w:id="7"/>
      <w:r w:rsidDel="00000000" w:rsidR="00000000" w:rsidRPr="00000000">
        <w:rPr>
          <w:rFonts w:ascii="Palatino Linotype" w:cs="Palatino Linotype" w:eastAsia="Palatino Linotype" w:hAnsi="Palatino Linotype"/>
          <w:rtl w:val="0"/>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Del="00000000" w:rsidR="00000000" w:rsidRPr="00000000">
        <w:rPr>
          <w:rFonts w:ascii="Palatino Linotype" w:cs="Palatino Linotype" w:eastAsia="Palatino Linotype" w:hAnsi="Palatino Linotype"/>
          <w:b w:val="1"/>
          <w:u w:val="single"/>
          <w:rtl w:val="0"/>
        </w:rPr>
        <w:t xml:space="preserve">facilitaría a las células delictivas el neutralizar las acciones implementadas o por implementar para la preservación de la paz pública, afectando así su estado de fuerza, o bien les permita </w:t>
      </w:r>
      <w:r w:rsidDel="00000000" w:rsidR="00000000" w:rsidRPr="00000000">
        <w:rPr>
          <w:rFonts w:ascii="Palatino Linotype" w:cs="Palatino Linotype" w:eastAsia="Palatino Linotype" w:hAnsi="Palatino Linotype"/>
          <w:rtl w:val="0"/>
        </w:rPr>
        <w:t xml:space="preserve">realizar actos para amenazar, inhibir, extorsionar o corromper las funciones del personal operativo, lo que causaría una vulneración al Ayuntamiento de Morelos, por lo tanto la suscrita no comparte las consideraciones vertidas en la resolución respecto del tratamiento que se le da a la información relativa a elementos operativos de instituciones de seguridad pública, y  por ende formula el presente voto particular.</w:t>
      </w:r>
    </w:p>
    <w:p w:rsidR="00000000" w:rsidDel="00000000" w:rsidP="00000000" w:rsidRDefault="00000000" w:rsidRPr="00000000" w14:paraId="0000003D">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E">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spacing w:after="0" w:line="360" w:lineRule="auto"/>
        <w:ind w:right="139"/>
        <w:jc w:val="both"/>
        <w:rPr>
          <w:rFonts w:ascii="Palatino Linotype" w:cs="Palatino Linotype" w:eastAsia="Palatino Linotype" w:hAnsi="Palatino Linotype"/>
        </w:rPr>
        <w:sectPr>
          <w:headerReference r:id="rId8" w:type="default"/>
          <w:footerReference r:id="rId9" w:type="default"/>
          <w:pgSz w:h="15840" w:w="12240" w:orient="portrait"/>
          <w:pgMar w:bottom="2835" w:top="1871" w:left="1701" w:right="900" w:header="709" w:footer="584"/>
          <w:pgNumType w:start="1"/>
        </w:sectPr>
      </w:pPr>
      <w:r w:rsidDel="00000000" w:rsidR="00000000" w:rsidRPr="00000000">
        <w:rPr>
          <w:rtl w:val="0"/>
        </w:rPr>
      </w:r>
    </w:p>
    <w:p w:rsidR="00000000" w:rsidDel="00000000" w:rsidP="00000000" w:rsidRDefault="00000000" w:rsidRPr="00000000" w14:paraId="00000040">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1">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2">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3">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4">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5">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6">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7">
      <w:pPr>
        <w:spacing w:after="0" w:line="360" w:lineRule="auto"/>
        <w:ind w:right="139"/>
        <w:jc w:val="both"/>
        <w:rPr>
          <w:rFonts w:ascii="Palatino Linotype" w:cs="Palatino Linotype" w:eastAsia="Palatino Linotype" w:hAnsi="Palatino Linotype"/>
        </w:rPr>
      </w:pPr>
      <w:r w:rsidDel="00000000" w:rsidR="00000000" w:rsidRPr="00000000">
        <w:rPr>
          <w:rtl w:val="0"/>
        </w:rPr>
      </w:r>
    </w:p>
    <w:sectPr>
      <w:headerReference r:id="rId10" w:type="default"/>
      <w:type w:val="nextPage"/>
      <w:pgSz w:h="15840" w:w="12240" w:orient="portrait"/>
      <w:pgMar w:bottom="2835" w:top="1871" w:left="1701" w:right="900" w:header="709" w:footer="5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Página </w:t>
    </w: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de </w:t>
    </w:r>
    <w:r w:rsidDel="00000000" w:rsidR="00000000" w:rsidRPr="00000000">
      <w:rPr>
        <w:rFonts w:ascii="Times New Roman" w:cs="Times New Roman" w:eastAsia="Times New Roman" w:hAnsi="Times New Roman"/>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-452754</wp:posOffset>
          </wp:positionV>
          <wp:extent cx="7510145" cy="9883775"/>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145" cy="9883775"/>
                  </a:xfrm>
                  <a:prstGeom prst="rect"/>
                  <a:ln/>
                </pic:spPr>
              </pic:pic>
            </a:graphicData>
          </a:graphic>
        </wp:anchor>
      </w:drawing>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   Recurso de Revisión: 04365/INFOEM/IP/RR/2024</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 </w:t>
    </w:r>
    <w:r w:rsidDel="00000000" w:rsidR="00000000" w:rsidRPr="00000000">
      <w:rPr>
        <w:rFonts w:ascii="Palatino Linotype" w:cs="Palatino Linotype" w:eastAsia="Palatino Linotype" w:hAnsi="Palatino Linotype"/>
        <w:b w:val="1"/>
        <w:sz w:val="20"/>
        <w:szCs w:val="20"/>
        <w:rtl w:val="0"/>
      </w:rPr>
      <w:t xml:space="preserve">Ayuntamiento de Morelos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w:t>
    </w:r>
    <w:r w:rsidDel="00000000" w:rsidR="00000000" w:rsidRPr="00000000">
      <w:rPr>
        <w:rFonts w:ascii="Palatino Linotype" w:cs="Palatino Linotype" w:eastAsia="Palatino Linotype" w:hAnsi="Palatino Linotype"/>
        <w:b w:val="1"/>
        <w:sz w:val="20"/>
        <w:szCs w:val="20"/>
        <w:rtl w:val="0"/>
      </w:rPr>
      <w:t xml:space="preserve">a</w:t>
    </w:r>
    <w:r w:rsidDel="00000000" w:rsidR="00000000" w:rsidRPr="00000000">
      <w:rPr>
        <w:rFonts w:ascii="Palatino Linotype" w:cs="Palatino Linotype" w:eastAsia="Palatino Linotype" w:hAnsi="Palatino Linotype"/>
        <w:b w:val="1"/>
        <w:color w:val="000000"/>
        <w:sz w:val="20"/>
        <w:szCs w:val="20"/>
        <w:rtl w:val="0"/>
      </w:rPr>
      <w:t xml:space="preserve"> Ponente: José Martínez Vilchis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val="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semiHidden w:val="1"/>
    <w:unhideWhenUsed w:val="1"/>
    <w:rsid w:val="00696A57"/>
    <w:rPr>
      <w:color w:val="0000ff"/>
      <w:u w:val="single"/>
    </w:rPr>
  </w:style>
  <w:style w:type="paragraph" w:styleId="Citas" w:customStyle="1">
    <w:name w:val="Citas"/>
    <w:basedOn w:val="Normal"/>
    <w:qFormat w:val="1"/>
    <w:rsid w:val="00191E4D"/>
    <w:pPr>
      <w:spacing w:before="240" w:line="360" w:lineRule="auto"/>
      <w:ind w:left="851" w:right="851"/>
      <w:jc w:val="both"/>
    </w:pPr>
    <w:rPr>
      <w:rFonts w:ascii="Palatino Linotype" w:cs="Arial" w:hAnsi="Palatino Linotype"/>
      <w:i w:val="1"/>
    </w:rPr>
  </w:style>
  <w:style w:type="paragraph" w:styleId="Sinespaciado">
    <w:name w:val="No Spacing"/>
    <w:aliases w:val="Francesa,INAI"/>
    <w:link w:val="SinespaciadoCar"/>
    <w:uiPriority w:val="1"/>
    <w:qFormat w:val="1"/>
    <w:rsid w:val="00AB4878"/>
    <w:pPr>
      <w:spacing w:after="0" w:line="240" w:lineRule="auto"/>
    </w:pPr>
    <w:rPr>
      <w:rFonts w:ascii="Times New Roman" w:cs="Times New Roman" w:eastAsia="Times New Roman" w:hAnsi="Times New Roman"/>
      <w:sz w:val="24"/>
      <w:szCs w:val="24"/>
      <w:lang w:eastAsia="es-ES"/>
    </w:rPr>
  </w:style>
  <w:style w:type="character" w:styleId="SinespaciadoCar" w:customStyle="1">
    <w:name w:val="Sin espaciado Car"/>
    <w:aliases w:val="Francesa Car,INAI Car"/>
    <w:link w:val="Sinespaciado"/>
    <w:uiPriority w:val="1"/>
    <w:locked w:val="1"/>
    <w:rsid w:val="00AB4878"/>
    <w:rPr>
      <w:rFonts w:ascii="Times New Roman" w:cs="Times New Roman" w:eastAsia="Times New Roman" w:hAnsi="Times New Roman"/>
      <w:sz w:val="24"/>
      <w:szCs w:val="24"/>
      <w:lang w:eastAsia="es-ES"/>
    </w:rPr>
  </w:style>
  <w:style w:type="paragraph" w:styleId="INFOEM" w:customStyle="1">
    <w:name w:val="INFOEM"/>
    <w:basedOn w:val="Normal"/>
    <w:qFormat w:val="1"/>
    <w:rsid w:val="00A430B5"/>
    <w:pPr>
      <w:spacing w:before="240" w:line="360" w:lineRule="auto"/>
      <w:ind w:left="851" w:right="851"/>
      <w:jc w:val="both"/>
    </w:pPr>
    <w:rPr>
      <w:rFonts w:ascii="Palatino Linotype" w:hAnsi="Palatino Linotype"/>
      <w:i w:val="1"/>
      <w:szCs w:val="1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0B7742"/>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table" w:styleId="Tablaconcuadrcula31" w:customStyle="1">
    <w:name w:val="Tabla con cuadrícula31"/>
    <w:basedOn w:val="Tablanormal"/>
    <w:uiPriority w:val="59"/>
    <w:rsid w:val="00E030B8"/>
    <w:pPr>
      <w:spacing w:after="0" w:line="240" w:lineRule="auto"/>
    </w:pPr>
    <w:rPr>
      <w:rFonts w:asciiTheme="minorHAnsi" w:cstheme="minorBidi" w:eastAsiaTheme="minorHAnsi" w:hAnsiTheme="minorHAnsi"/>
      <w:lang w:eastAsia="en-US"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9"/>
    <w:pPr>
      <w:spacing w:after="0" w:line="240" w:lineRule="auto"/>
    </w:pPr>
    <w:tblPr>
      <w:tblStyleRowBandSize w:val="1"/>
      <w:tblStyleColBandSize w:val="1"/>
      <w:tblCellMar>
        <w:left w:w="108.0" w:type="dxa"/>
        <w:right w:w="108.0" w:type="dxa"/>
      </w:tblCellMar>
    </w:tblPr>
  </w:style>
  <w:style w:type="table" w:styleId="a0" w:customStyle="1">
    <w:basedOn w:val="TableNormal9"/>
    <w:pPr>
      <w:spacing w:after="0" w:line="240" w:lineRule="auto"/>
    </w:pPr>
    <w:tblPr>
      <w:tblStyleRowBandSize w:val="1"/>
      <w:tblStyleColBandSize w:val="1"/>
      <w:tblCellMar>
        <w:left w:w="108.0" w:type="dxa"/>
        <w:right w:w="108.0" w:type="dxa"/>
      </w:tblCellMar>
    </w:tblPr>
  </w:style>
  <w:style w:type="paragraph" w:styleId="Listaconvietas3">
    <w:name w:val="List Bullet 3"/>
    <w:basedOn w:val="Normal"/>
    <w:uiPriority w:val="99"/>
    <w:unhideWhenUsed w:val="1"/>
    <w:rsid w:val="00A30B1D"/>
    <w:pPr>
      <w:numPr>
        <w:numId w:val="1"/>
      </w:numPr>
      <w:spacing w:after="0" w:line="240" w:lineRule="auto"/>
      <w:contextualSpacing w:val="1"/>
    </w:pPr>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3UBXox89b8dy600+j8IviNCIQ==">CgMxLjAyCWguM2R5NnZrbTIJaC4xdDNoNXNmMgloLjJldDkycDAyCWguMWZvYjl0ZTIIaC50eWpjd3QyCWguMzBqMHpsbDIJaC40ZDM0b2c4Mg5oLmprYXhuOG1neHk3cTgAciExVEN3TlpERTY4SkRGSzczOGtCUENFZGczbDJIMG1wQmo=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2024-08-30T19:52:00Z</dcterms:created>
  <dc:creator>USUARIO</dc:creator>
</cp:coreProperties>
</file>