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24" w:rsidRDefault="00323F24">
      <w:pPr>
        <w:spacing w:after="0" w:line="360" w:lineRule="auto"/>
        <w:jc w:val="both"/>
        <w:rPr>
          <w:rFonts w:ascii="Palatino Linotype" w:eastAsia="Palatino Linotype" w:hAnsi="Palatino Linotype" w:cs="Palatino Linotype"/>
          <w:b/>
        </w:rPr>
      </w:pPr>
      <w:bookmarkStart w:id="0" w:name="_heading=h.4s2qapfj6qj3" w:colFirst="0" w:colLast="0"/>
      <w:bookmarkEnd w:id="0"/>
    </w:p>
    <w:p w:rsidR="00323F24" w:rsidRDefault="00312C38">
      <w:pPr>
        <w:spacing w:after="0" w:line="360" w:lineRule="auto"/>
        <w:jc w:val="both"/>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NOVENA SESIÓN ORDINARIA DEL TRECE DE MARZO DE DOS MIL VEINTICUATRO, EN EL RECURSO DE REVISIÓN 04615/INFOEM/IP/RR/2023.</w:t>
      </w:r>
    </w:p>
    <w:p w:rsidR="00323F24" w:rsidRDefault="00323F24">
      <w:pPr>
        <w:spacing w:after="0" w:line="360" w:lineRule="auto"/>
        <w:jc w:val="both"/>
        <w:rPr>
          <w:rFonts w:ascii="Palatino Linotype" w:eastAsia="Palatino Linotype" w:hAnsi="Palatino Linotype" w:cs="Palatino Linotype"/>
          <w:b/>
        </w:rPr>
      </w:pPr>
    </w:p>
    <w:p w:rsidR="00323F24" w:rsidRDefault="00312C3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w:t>
      </w:r>
      <w:r>
        <w:rPr>
          <w:rFonts w:ascii="Palatino Linotype" w:eastAsia="Palatino Linotype" w:hAnsi="Palatino Linotype" w:cs="Palatino Linotype"/>
        </w:rPr>
        <w:t xml:space="preserve">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04615/INFOEM/IP/RR/2023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pronunciada por el Pleno de este Instituto ante el proyecto pre</w:t>
      </w:r>
      <w:r>
        <w:rPr>
          <w:rFonts w:ascii="Palatino Linotype" w:eastAsia="Palatino Linotype" w:hAnsi="Palatino Linotype" w:cs="Palatino Linotype"/>
        </w:rPr>
        <w:t xml:space="preserve">sentado por el </w:t>
      </w:r>
      <w:r>
        <w:rPr>
          <w:rFonts w:ascii="Palatino Linotype" w:eastAsia="Palatino Linotype" w:hAnsi="Palatino Linotype" w:cs="Palatino Linotype"/>
          <w:b/>
        </w:rPr>
        <w:t>Comisionado José Martínez Vilchis</w:t>
      </w:r>
      <w:r>
        <w:rPr>
          <w:rFonts w:ascii="Palatino Linotype" w:eastAsia="Palatino Linotype" w:hAnsi="Palatino Linotype" w:cs="Palatino Linotype"/>
        </w:rPr>
        <w:t>, el cual es al tenor siguiente:</w:t>
      </w:r>
    </w:p>
    <w:p w:rsidR="00323F24" w:rsidRDefault="00323F24">
      <w:pPr>
        <w:spacing w:after="0" w:line="360" w:lineRule="auto"/>
        <w:jc w:val="both"/>
        <w:rPr>
          <w:rFonts w:ascii="Palatino Linotype" w:eastAsia="Palatino Linotype" w:hAnsi="Palatino Linotype" w:cs="Palatino Linotype"/>
        </w:rPr>
      </w:pPr>
    </w:p>
    <w:p w:rsidR="00323F24" w:rsidRDefault="00312C38">
      <w:pPr>
        <w:numPr>
          <w:ilvl w:val="0"/>
          <w:numId w:val="3"/>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323F24" w:rsidRDefault="00323F24">
      <w:pPr>
        <w:spacing w:after="0" w:line="360" w:lineRule="auto"/>
        <w:ind w:left="567"/>
        <w:jc w:val="both"/>
        <w:rPr>
          <w:rFonts w:ascii="Palatino Linotype" w:eastAsia="Palatino Linotype" w:hAnsi="Palatino Linotype" w:cs="Palatino Linotype"/>
          <w:b/>
        </w:rPr>
      </w:pPr>
    </w:p>
    <w:p w:rsidR="00A91BAC" w:rsidRDefault="00312C38">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 la Universidad Estatal del Valle de Toluca,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lo </w:t>
      </w:r>
      <w:r>
        <w:rPr>
          <w:rFonts w:ascii="Palatino Linotype" w:eastAsia="Palatino Linotype" w:hAnsi="Palatino Linotype" w:cs="Palatino Linotype"/>
        </w:rPr>
        <w:t xml:space="preserve">siguiente: </w:t>
      </w:r>
    </w:p>
    <w:p w:rsidR="00A91BAC" w:rsidRPr="00A91BAC" w:rsidRDefault="00A91BAC" w:rsidP="00A91BAC">
      <w:pPr>
        <w:spacing w:after="120" w:line="360" w:lineRule="auto"/>
        <w:jc w:val="both"/>
        <w:rPr>
          <w:rFonts w:ascii="Palatino Linotype" w:eastAsia="Palatino Linotype" w:hAnsi="Palatino Linotype" w:cs="Palatino Linotype"/>
        </w:rPr>
      </w:pPr>
      <w:r w:rsidRPr="00A91BAC">
        <w:rPr>
          <w:rFonts w:ascii="Palatino Linotype" w:eastAsia="Palatino Linotype" w:hAnsi="Palatino Linotype" w:cs="Palatino Linotype"/>
        </w:rPr>
        <w:t xml:space="preserve">1. La razón por la cual la persona </w:t>
      </w:r>
      <w:r>
        <w:rPr>
          <w:rFonts w:ascii="Palatino Linotype" w:eastAsia="Palatino Linotype" w:hAnsi="Palatino Linotype" w:cs="Palatino Linotype"/>
        </w:rPr>
        <w:t xml:space="preserve">descrita en la solicitud de acceso a la información pública, </w:t>
      </w:r>
      <w:r w:rsidRPr="00A91BAC">
        <w:rPr>
          <w:rFonts w:ascii="Palatino Linotype" w:eastAsia="Palatino Linotype" w:hAnsi="Palatino Linotype" w:cs="Palatino Linotype"/>
        </w:rPr>
        <w:t>que en ese entonces ostentaba el cargo de</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Rector</w:t>
      </w:r>
      <w:r>
        <w:rPr>
          <w:rFonts w:ascii="Palatino Linotype" w:eastAsia="Palatino Linotype" w:hAnsi="Palatino Linotype" w:cs="Palatino Linotype"/>
        </w:rPr>
        <w:t>,</w:t>
      </w:r>
      <w:r w:rsidRPr="00A91BAC">
        <w:rPr>
          <w:rFonts w:ascii="Palatino Linotype" w:eastAsia="Palatino Linotype" w:hAnsi="Palatino Linotype" w:cs="Palatino Linotype"/>
        </w:rPr>
        <w:t xml:space="preserve"> lo hacía sin cumplir con los requisitos establecidos en el decreto de</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creación de la institución, en específico el establecido en el artículo 13 fracción</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III.</w:t>
      </w:r>
    </w:p>
    <w:p w:rsidR="00A91BAC" w:rsidRPr="00A91BAC" w:rsidRDefault="00A91BAC" w:rsidP="00A91BAC">
      <w:pPr>
        <w:spacing w:after="120" w:line="360" w:lineRule="auto"/>
        <w:jc w:val="both"/>
        <w:rPr>
          <w:rFonts w:ascii="Palatino Linotype" w:eastAsia="Palatino Linotype" w:hAnsi="Palatino Linotype" w:cs="Palatino Linotype"/>
        </w:rPr>
      </w:pPr>
      <w:r w:rsidRPr="00A91BAC">
        <w:rPr>
          <w:rFonts w:ascii="Palatino Linotype" w:eastAsia="Palatino Linotype" w:hAnsi="Palatino Linotype" w:cs="Palatino Linotype"/>
        </w:rPr>
        <w:lastRenderedPageBreak/>
        <w:t>2. Las pruebas</w:t>
      </w:r>
      <w:r>
        <w:rPr>
          <w:rFonts w:ascii="Palatino Linotype" w:eastAsia="Palatino Linotype" w:hAnsi="Palatino Linotype" w:cs="Palatino Linotype"/>
        </w:rPr>
        <w:t xml:space="preserve"> que acrediten que la persona referida en la solicitud de acceso a la información pública,</w:t>
      </w:r>
      <w:r w:rsidRPr="00A91BAC">
        <w:rPr>
          <w:rFonts w:ascii="Palatino Linotype" w:eastAsia="Palatino Linotype" w:hAnsi="Palatino Linotype" w:cs="Palatino Linotype"/>
        </w:rPr>
        <w:t xml:space="preserve"> cumple con todos y cada uno de</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los requisitos que establece el artículo 13 el Decreto por el que se crea el Organismo Público Descentralizado de carácter Estatal Denominado Universidad Estatal del Valle de Toluca</w:t>
      </w:r>
      <w:r>
        <w:rPr>
          <w:rFonts w:ascii="Palatino Linotype" w:eastAsia="Palatino Linotype" w:hAnsi="Palatino Linotype" w:cs="Palatino Linotype"/>
        </w:rPr>
        <w:t>,</w:t>
      </w:r>
      <w:r w:rsidRPr="00A91BAC">
        <w:rPr>
          <w:rFonts w:ascii="Palatino Linotype" w:eastAsia="Palatino Linotype" w:hAnsi="Palatino Linotype" w:cs="Palatino Linotype"/>
        </w:rPr>
        <w:t xml:space="preserve"> </w:t>
      </w:r>
      <w:r w:rsidRPr="00A91BAC">
        <w:rPr>
          <w:rFonts w:ascii="Palatino Linotype" w:eastAsia="Palatino Linotype" w:hAnsi="Palatino Linotype" w:cs="Palatino Linotype"/>
        </w:rPr>
        <w:t>para ocupar el cargo de Rector</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en esa Institución.</w:t>
      </w:r>
    </w:p>
    <w:p w:rsidR="00A91BAC" w:rsidRDefault="00A91BAC" w:rsidP="00A91BAC">
      <w:pPr>
        <w:spacing w:after="120" w:line="360" w:lineRule="auto"/>
        <w:jc w:val="both"/>
        <w:rPr>
          <w:rFonts w:ascii="Palatino Linotype" w:eastAsia="Palatino Linotype" w:hAnsi="Palatino Linotype" w:cs="Palatino Linotype"/>
        </w:rPr>
      </w:pPr>
      <w:r w:rsidRPr="00A91BAC">
        <w:rPr>
          <w:rFonts w:ascii="Palatino Linotype" w:eastAsia="Palatino Linotype" w:hAnsi="Palatino Linotype" w:cs="Palatino Linotype"/>
        </w:rPr>
        <w:t>3. El proceso del flujo de efectivo de los ingresos que percibe la Clínica Integral</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Universitaria de esa Institución, la forma en que se reciben los pagos y cuáles</w:t>
      </w:r>
      <w:r>
        <w:rPr>
          <w:rFonts w:ascii="Palatino Linotype" w:eastAsia="Palatino Linotype" w:hAnsi="Palatino Linotype" w:cs="Palatino Linotype"/>
        </w:rPr>
        <w:t xml:space="preserve"> </w:t>
      </w:r>
      <w:r w:rsidRPr="00A91BAC">
        <w:rPr>
          <w:rFonts w:ascii="Palatino Linotype" w:eastAsia="Palatino Linotype" w:hAnsi="Palatino Linotype" w:cs="Palatino Linotype"/>
        </w:rPr>
        <w:t>son los controles que garanticen que esos recursos se destinan a la Institución.</w:t>
      </w:r>
    </w:p>
    <w:p w:rsidR="00323F24" w:rsidRDefault="00312C38">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Dirección Administrativa, respondió respecto de los puntos 1 y 2 de la solicitud, se dio atención a los establecido en el Decreto referido por el solicitante, por lo que se pone a disposición la liga electr</w:t>
      </w:r>
      <w:r>
        <w:rPr>
          <w:rFonts w:ascii="Palatino Linotype" w:eastAsia="Palatino Linotype" w:hAnsi="Palatino Linotype" w:cs="Palatino Linotype"/>
        </w:rPr>
        <w:t xml:space="preserve">ónica con la ficha curricular en versión pública en la liga </w:t>
      </w:r>
      <w:hyperlink r:id="rId8">
        <w:r>
          <w:rPr>
            <w:rFonts w:ascii="Palatino Linotype" w:eastAsia="Palatino Linotype" w:hAnsi="Palatino Linotype" w:cs="Palatino Linotype"/>
            <w:color w:val="0000FF"/>
            <w:u w:val="single"/>
          </w:rPr>
          <w:t>https://universidad250-my.sharepoint.com/personal/transparencia_unevt_edu_mx/_layouts/15/onedrive.aspx?id=%2Fpersonal%2Ftransparencia%5Funevt%5Fedu%5Fmx%2FDocuments%2FIPOMEX%2F2021%2FDepartamento%20de%20Administraci%C3%B3n%20de%20Persona</w:t>
        </w:r>
        <w:r>
          <w:rPr>
            <w:rFonts w:ascii="Palatino Linotype" w:eastAsia="Palatino Linotype" w:hAnsi="Palatino Linotype" w:cs="Palatino Linotype"/>
            <w:color w:val="0000FF"/>
            <w:u w:val="single"/>
          </w:rPr>
          <w:t>l%2F92%2FXX1%2FFICHA%20CURRICULAR%20RECTOR%20%281%29%2Epdf&amp;parent=%2Fpersonal%2Ftransparencia%5Funevt%5Fedu%5Fmx%2FDocument$%2FIPOMEX%2F2021%2FDepartamento%20de%20Administraci%C3%B3n%20de%20Personal%2F92%2FXXI&amp;ga=1</w:t>
        </w:r>
      </w:hyperlink>
      <w:r>
        <w:rPr>
          <w:rFonts w:ascii="Palatino Linotype" w:eastAsia="Palatino Linotype" w:hAnsi="Palatino Linotype" w:cs="Palatino Linotype"/>
        </w:rPr>
        <w:t>. Mientras que por lo que toca al punto 3, se respondió que, por cuestiones de seguridad, dicha información no puede ser proporcionada con fundamento en lo dispuesto en el artículo 140 de la Ley de Transparencia estatal.</w:t>
      </w:r>
    </w:p>
    <w:p w:rsidR="00323F24" w:rsidRDefault="00312C38">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Una vez conocida la respuesta la pa</w:t>
      </w:r>
      <w:r>
        <w:rPr>
          <w:rFonts w:ascii="Palatino Linotype" w:eastAsia="Palatino Linotype" w:hAnsi="Palatino Linotype" w:cs="Palatino Linotype"/>
        </w:rPr>
        <w:t>rte Recurrente en su acto impugnado se inconformó, por lo siguiente:</w:t>
      </w:r>
    </w:p>
    <w:p w:rsidR="00323F24" w:rsidRDefault="00312C38">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lastRenderedPageBreak/>
        <w:t>«Violación al artículo 8 de la Constitución, falta de respuesta y ocultamiento de información. El Rector incurre en el delito de usurpación de funciones y en responsabilidad administrativ</w:t>
      </w:r>
      <w:r>
        <w:rPr>
          <w:rFonts w:ascii="Palatino Linotype" w:eastAsia="Palatino Linotype" w:hAnsi="Palatino Linotype" w:cs="Palatino Linotype"/>
          <w:i/>
          <w:color w:val="000000"/>
        </w:rPr>
        <w:t>a grave, puesto que no cumple con los requisitos para ostentar el cargo.» (Sic)</w:t>
      </w:r>
    </w:p>
    <w:p w:rsidR="00323F24" w:rsidRDefault="00323F24">
      <w:pPr>
        <w:spacing w:line="360" w:lineRule="auto"/>
        <w:ind w:right="49"/>
        <w:jc w:val="both"/>
        <w:rPr>
          <w:rFonts w:ascii="Palatino Linotype" w:eastAsia="Palatino Linotype" w:hAnsi="Palatino Linotype" w:cs="Palatino Linotype"/>
        </w:rPr>
      </w:pPr>
    </w:p>
    <w:p w:rsidR="00323F24" w:rsidRDefault="00312C38">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Una vez notificado el recurso de revisión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este fue omiso en rendir su informe ju</w:t>
      </w:r>
      <w:bookmarkStart w:id="2" w:name="_GoBack"/>
      <w:bookmarkEnd w:id="2"/>
      <w:r>
        <w:rPr>
          <w:rFonts w:ascii="Palatino Linotype" w:eastAsia="Palatino Linotype" w:hAnsi="Palatino Linotype" w:cs="Palatino Linotype"/>
        </w:rPr>
        <w:t xml:space="preserve">stificado. </w:t>
      </w:r>
    </w:p>
    <w:p w:rsidR="00323F24" w:rsidRDefault="00323F24">
      <w:pPr>
        <w:spacing w:after="0" w:line="360" w:lineRule="auto"/>
        <w:jc w:val="both"/>
        <w:rPr>
          <w:rFonts w:ascii="Palatino Linotype" w:eastAsia="Palatino Linotype" w:hAnsi="Palatino Linotype" w:cs="Palatino Linotype"/>
        </w:rPr>
      </w:pPr>
    </w:p>
    <w:p w:rsidR="00323F24" w:rsidRDefault="00312C38">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Así las cosas, la ponencia Resolutora una vez analizadas las constancias que obran en el expediente electrónico del SAIMEX, determina que los motivos de inconformidad de la parte Recurrente son fundados, por lo que revoca la respuesta y ordena la entrega e</w:t>
      </w:r>
      <w:r>
        <w:rPr>
          <w:rFonts w:ascii="Palatino Linotype" w:eastAsia="Palatino Linotype" w:hAnsi="Palatino Linotype" w:cs="Palatino Linotype"/>
        </w:rPr>
        <w:t>n versión pública de ser procedente, de lo siguiente</w:t>
      </w:r>
      <w:r>
        <w:rPr>
          <w:rFonts w:ascii="Palatino Linotype" w:eastAsia="Palatino Linotype" w:hAnsi="Palatino Linotype" w:cs="Palatino Linotype"/>
          <w:color w:val="000000"/>
        </w:rPr>
        <w:t>:</w:t>
      </w:r>
    </w:p>
    <w:p w:rsidR="00323F24" w:rsidRDefault="00323F24">
      <w:pPr>
        <w:spacing w:after="0" w:line="360" w:lineRule="auto"/>
        <w:jc w:val="both"/>
        <w:rPr>
          <w:rFonts w:ascii="Palatino Linotype" w:eastAsia="Palatino Linotype" w:hAnsi="Palatino Linotype" w:cs="Palatino Linotype"/>
          <w:color w:val="000000"/>
        </w:rPr>
      </w:pPr>
    </w:p>
    <w:p w:rsidR="00323F24" w:rsidRDefault="00312C38">
      <w:pPr>
        <w:pBdr>
          <w:top w:val="nil"/>
          <w:left w:val="nil"/>
          <w:bottom w:val="nil"/>
          <w:right w:val="nil"/>
          <w:between w:val="nil"/>
        </w:pBdr>
        <w:spacing w:after="0" w:line="240" w:lineRule="auto"/>
        <w:ind w:left="567" w:right="561"/>
        <w:jc w:val="both"/>
        <w:rPr>
          <w:rFonts w:ascii="Palatino Linotype" w:eastAsia="Palatino Linotype" w:hAnsi="Palatino Linotype" w:cs="Palatino Linotype"/>
          <w:i/>
          <w:color w:val="000000"/>
        </w:rPr>
      </w:pPr>
      <w:r>
        <w:rPr>
          <w:rFonts w:ascii="Palatino Linotype" w:eastAsia="Palatino Linotype" w:hAnsi="Palatino Linotype" w:cs="Palatino Linotype"/>
          <w:b/>
          <w:i/>
        </w:rPr>
        <w:t>“</w:t>
      </w: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Se </w:t>
      </w:r>
      <w:r>
        <w:rPr>
          <w:rFonts w:ascii="Palatino Linotype" w:eastAsia="Palatino Linotype" w:hAnsi="Palatino Linotype" w:cs="Palatino Linotype"/>
          <w:b/>
          <w:i/>
          <w:color w:val="000000"/>
        </w:rPr>
        <w:t>ORDENA</w:t>
      </w:r>
      <w:r>
        <w:rPr>
          <w:rFonts w:ascii="Palatino Linotype" w:eastAsia="Palatino Linotype" w:hAnsi="Palatino Linotype" w:cs="Palatino Linotype"/>
          <w:i/>
          <w:color w:val="000000"/>
        </w:rPr>
        <w:t xml:space="preserve"> al Sujeto Obligado que haga entrega al Recurrente mediante el Sistema de Acceso a la Información Mexiquense (SAIMEX) y correo electrónico, en versión pública de ser procedente y en </w:t>
      </w:r>
      <w:r>
        <w:rPr>
          <w:rFonts w:ascii="Palatino Linotype" w:eastAsia="Palatino Linotype" w:hAnsi="Palatino Linotype" w:cs="Palatino Linotype"/>
          <w:i/>
          <w:color w:val="000000"/>
        </w:rPr>
        <w:t xml:space="preserve">términos del </w:t>
      </w:r>
      <w:r>
        <w:rPr>
          <w:rFonts w:ascii="Palatino Linotype" w:eastAsia="Palatino Linotype" w:hAnsi="Palatino Linotype" w:cs="Palatino Linotype"/>
          <w:b/>
          <w:i/>
          <w:color w:val="000000"/>
        </w:rPr>
        <w:t>Considerando QUINTO</w:t>
      </w:r>
      <w:r>
        <w:rPr>
          <w:rFonts w:ascii="Palatino Linotype" w:eastAsia="Palatino Linotype" w:hAnsi="Palatino Linotype" w:cs="Palatino Linotype"/>
          <w:i/>
          <w:color w:val="000000"/>
        </w:rPr>
        <w:t xml:space="preserve">, del o de los documentos vigentes al doce de julio de dos mil veintitrés en donde conste lo siguiente: </w:t>
      </w:r>
    </w:p>
    <w:p w:rsidR="00323F24" w:rsidRDefault="00323F24">
      <w:pPr>
        <w:pBdr>
          <w:top w:val="nil"/>
          <w:left w:val="nil"/>
          <w:bottom w:val="nil"/>
          <w:right w:val="nil"/>
          <w:between w:val="nil"/>
        </w:pBdr>
        <w:spacing w:after="0" w:line="240" w:lineRule="auto"/>
        <w:ind w:left="567" w:right="561"/>
        <w:jc w:val="both"/>
        <w:rPr>
          <w:rFonts w:ascii="Palatino Linotype" w:eastAsia="Palatino Linotype" w:hAnsi="Palatino Linotype" w:cs="Palatino Linotype"/>
          <w:i/>
          <w:color w:val="000000"/>
        </w:rPr>
      </w:pPr>
    </w:p>
    <w:p w:rsidR="00323F24" w:rsidRDefault="00312C38">
      <w:pPr>
        <w:numPr>
          <w:ilvl w:val="0"/>
          <w:numId w:val="2"/>
        </w:numPr>
        <w:pBdr>
          <w:top w:val="nil"/>
          <w:left w:val="nil"/>
          <w:bottom w:val="nil"/>
          <w:right w:val="nil"/>
          <w:between w:val="nil"/>
        </w:pBdr>
        <w:spacing w:after="0" w:line="240" w:lineRule="auto"/>
        <w:ind w:left="567" w:right="561" w:hanging="4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cumplimiento de los requisitos establecidos en el artículo 13 del Decreto del Ejecutivo del Estado por el que se crea el Organismo Público Descentralizado de carácter estatal denominado “Universidad Estatal del Valle de Toluca”, por parte de la persona </w:t>
      </w:r>
      <w:r>
        <w:rPr>
          <w:rFonts w:ascii="Palatino Linotype" w:eastAsia="Palatino Linotype" w:hAnsi="Palatino Linotype" w:cs="Palatino Linotype"/>
          <w:i/>
          <w:color w:val="000000"/>
        </w:rPr>
        <w:t>referida en la solicitud de información que ocupó el cargo de Rector.</w:t>
      </w:r>
    </w:p>
    <w:p w:rsidR="00323F24" w:rsidRDefault="00312C38">
      <w:pPr>
        <w:numPr>
          <w:ilvl w:val="0"/>
          <w:numId w:val="2"/>
        </w:numPr>
        <w:pBdr>
          <w:top w:val="nil"/>
          <w:left w:val="nil"/>
          <w:bottom w:val="nil"/>
          <w:right w:val="nil"/>
          <w:between w:val="nil"/>
        </w:pBdr>
        <w:spacing w:after="0" w:line="240" w:lineRule="auto"/>
        <w:ind w:left="567" w:right="561" w:hanging="4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flujo de efectivo de los ingresos percibidos por los servicios prestados en la Clínica Integral Universitaria, la forma en la que se reciben los pagos y los controles que les son apli</w:t>
      </w:r>
      <w:r>
        <w:rPr>
          <w:rFonts w:ascii="Palatino Linotype" w:eastAsia="Palatino Linotype" w:hAnsi="Palatino Linotype" w:cs="Palatino Linotype"/>
          <w:i/>
          <w:color w:val="000000"/>
        </w:rPr>
        <w:t>cados.</w:t>
      </w:r>
    </w:p>
    <w:p w:rsidR="00323F24" w:rsidRDefault="00323F24">
      <w:pPr>
        <w:pBdr>
          <w:top w:val="nil"/>
          <w:left w:val="nil"/>
          <w:bottom w:val="nil"/>
          <w:right w:val="nil"/>
          <w:between w:val="nil"/>
        </w:pBdr>
        <w:spacing w:after="0" w:line="240" w:lineRule="auto"/>
        <w:ind w:left="567" w:right="561"/>
        <w:jc w:val="both"/>
        <w:rPr>
          <w:rFonts w:ascii="Palatino Linotype" w:eastAsia="Palatino Linotype" w:hAnsi="Palatino Linotype" w:cs="Palatino Linotype"/>
          <w:i/>
          <w:color w:val="000000"/>
        </w:rPr>
      </w:pPr>
    </w:p>
    <w:p w:rsidR="00323F24" w:rsidRDefault="00312C38">
      <w:pPr>
        <w:pBdr>
          <w:top w:val="nil"/>
          <w:left w:val="nil"/>
          <w:bottom w:val="nil"/>
          <w:right w:val="nil"/>
          <w:between w:val="nil"/>
        </w:pBdr>
        <w:spacing w:after="0" w:line="240"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color w:val="000000"/>
        </w:rPr>
        <w:t>De ser necesario, como sustento de la versión pública se deberá emitir Acuerdo del Comité de Transparencia correspondiente, en términos del artículo 49 fracción VIII y 132 fracción II de la Ley de Transparencia y Acceso a la Información Pública del</w:t>
      </w:r>
      <w:r>
        <w:rPr>
          <w:rFonts w:ascii="Palatino Linotype" w:eastAsia="Palatino Linotype" w:hAnsi="Palatino Linotype" w:cs="Palatino Linotype"/>
          <w:i/>
          <w:color w:val="000000"/>
        </w:rPr>
        <w:t xml:space="preserve"> Estado de México y Municipios, en el que funde y motive las razones sobre los datos que se supriman o eliminen dentro del soporte documental respectivo</w:t>
      </w:r>
      <w:r>
        <w:rPr>
          <w:rFonts w:ascii="Palatino Linotype" w:eastAsia="Palatino Linotype" w:hAnsi="Palatino Linotype" w:cs="Palatino Linotype"/>
          <w:i/>
        </w:rPr>
        <w:t>…”</w:t>
      </w:r>
    </w:p>
    <w:p w:rsidR="00323F24" w:rsidRDefault="00312C38">
      <w:pPr>
        <w:numPr>
          <w:ilvl w:val="0"/>
          <w:numId w:val="3"/>
        </w:numPr>
        <w:spacing w:after="0" w:line="360" w:lineRule="auto"/>
        <w:ind w:left="567" w:hanging="283"/>
        <w:jc w:val="both"/>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lastRenderedPageBreak/>
        <w:t xml:space="preserve">Razones del Voto Particular. </w:t>
      </w:r>
    </w:p>
    <w:p w:rsidR="00323F24" w:rsidRDefault="00323F24">
      <w:pPr>
        <w:spacing w:after="0" w:line="360" w:lineRule="auto"/>
        <w:jc w:val="both"/>
        <w:rPr>
          <w:rFonts w:ascii="Palatino Linotype" w:eastAsia="Palatino Linotype" w:hAnsi="Palatino Linotype" w:cs="Palatino Linotype"/>
          <w:b/>
        </w:rPr>
      </w:pPr>
    </w:p>
    <w:p w:rsidR="00323F24" w:rsidRDefault="00312C38">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la emisión del voto se centrará en que, si bien se comparte el sentido de la resolución, ya que del análisis de las constancias que conforman el expediente electrónico, se desprendió que la información solicitada es susceptible de </w:t>
      </w:r>
      <w:r>
        <w:rPr>
          <w:rFonts w:ascii="Palatino Linotype" w:eastAsia="Palatino Linotype" w:hAnsi="Palatino Linotype" w:cs="Palatino Linotype"/>
        </w:rPr>
        <w:t>transparentarse pues se encuentra relacionada con la gestión pública y con su publicidad se favorece indudablemente a la rendición de cuentas, sin embargo, no se coincide con los argumentos señalados en la misma particularmente respecto a lo siguiente:</w:t>
      </w:r>
    </w:p>
    <w:p w:rsidR="00323F24" w:rsidRDefault="00323F24">
      <w:pPr>
        <w:pBdr>
          <w:top w:val="nil"/>
          <w:left w:val="nil"/>
          <w:bottom w:val="nil"/>
          <w:right w:val="nil"/>
          <w:between w:val="nil"/>
        </w:pBdr>
        <w:spacing w:after="0" w:line="360" w:lineRule="auto"/>
        <w:jc w:val="both"/>
        <w:rPr>
          <w:rFonts w:ascii="Palatino Linotype" w:eastAsia="Palatino Linotype" w:hAnsi="Palatino Linotype" w:cs="Palatino Linotype"/>
        </w:rPr>
      </w:pPr>
    </w:p>
    <w:p w:rsidR="00323F24" w:rsidRDefault="00312C3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w:t>
      </w:r>
      <w:r>
        <w:rPr>
          <w:rFonts w:ascii="Palatino Linotype" w:eastAsia="Palatino Linotype" w:hAnsi="Palatino Linotype" w:cs="Palatino Linotype"/>
          <w:b/>
          <w:color w:val="000000"/>
        </w:rPr>
        <w:t xml:space="preserve"> la publicidad de la fotografía de servidores públicos. </w:t>
      </w:r>
    </w:p>
    <w:p w:rsidR="00323F24" w:rsidRDefault="00312C3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relación a la fotografía de los servidores públicos que obra en los documentos que dan cuenta de su grado de estudios, no coincido con los argumentos señalados en la resolución, particularmente p</w:t>
      </w:r>
      <w:r>
        <w:rPr>
          <w:rFonts w:ascii="Palatino Linotype" w:eastAsia="Palatino Linotype" w:hAnsi="Palatino Linotype" w:cs="Palatino Linotype"/>
        </w:rPr>
        <w:t xml:space="preserve">or considerar que la fotografía de todos los servidores públicos, sin importar el nivel o cargo y en cualquier documento que se encuentre vinculado con el cumplimiento de disposiciones legales, debe ser pública. </w:t>
      </w:r>
    </w:p>
    <w:p w:rsidR="00323F24" w:rsidRDefault="00312C38">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la Ponencia que resolvió, consi</w:t>
      </w:r>
      <w:r>
        <w:rPr>
          <w:rFonts w:ascii="Palatino Linotype" w:eastAsia="Palatino Linotype" w:hAnsi="Palatino Linotype" w:cs="Palatino Linotype"/>
        </w:rPr>
        <w:t>deró lo siguiente:</w:t>
      </w:r>
    </w:p>
    <w:p w:rsidR="00323F24" w:rsidRDefault="00323F24">
      <w:pPr>
        <w:widowControl w:val="0"/>
        <w:spacing w:after="0" w:line="240" w:lineRule="auto"/>
        <w:ind w:left="851" w:right="709"/>
        <w:jc w:val="both"/>
        <w:rPr>
          <w:rFonts w:ascii="Palatino Linotype" w:eastAsia="Palatino Linotype" w:hAnsi="Palatino Linotype" w:cs="Palatino Linotype"/>
        </w:rPr>
      </w:pPr>
    </w:p>
    <w:p w:rsidR="00323F24" w:rsidRDefault="00312C38">
      <w:pPr>
        <w:spacing w:after="80" w:line="240" w:lineRule="auto"/>
        <w:ind w:left="720" w:right="425"/>
        <w:jc w:val="both"/>
        <w:rPr>
          <w:rFonts w:ascii="Palatino Linotype" w:eastAsia="Palatino Linotype" w:hAnsi="Palatino Linotype" w:cs="Palatino Linotype"/>
          <w:i/>
        </w:rPr>
      </w:pPr>
      <w:r>
        <w:rPr>
          <w:rFonts w:ascii="Palatino Linotype" w:eastAsia="Palatino Linotype" w:hAnsi="Palatino Linotype" w:cs="Palatino Linotype"/>
          <w:i/>
        </w:rPr>
        <w:t>“Respecto a la fotografía de los servidores públicos, se debe señalar que los servidores públicos tienen un espectro menor de protección a sus datos personales en comparación con cualquier otra persona física. Esto debido al interés público que revisten su</w:t>
      </w:r>
      <w:r>
        <w:rPr>
          <w:rFonts w:ascii="Palatino Linotype" w:eastAsia="Palatino Linotype" w:hAnsi="Palatino Linotype" w:cs="Palatino Linotype"/>
          <w:i/>
        </w:rPr>
        <w:t>s funciones, por lo que sus actividades se encuentran sujetas a un escrutinio público mayor, coexistiendo un interés público de conocer su fotografía y así asociarla, en su caso, con su nombre, cargo, y función, lo que genera un beneficio mayor la divulgac</w:t>
      </w:r>
      <w:r>
        <w:rPr>
          <w:rFonts w:ascii="Palatino Linotype" w:eastAsia="Palatino Linotype" w:hAnsi="Palatino Linotype" w:cs="Palatino Linotype"/>
          <w:i/>
        </w:rPr>
        <w:t>ión de dicho dato personal que su clasificación.</w:t>
      </w:r>
    </w:p>
    <w:p w:rsidR="00323F24" w:rsidRDefault="00323F24">
      <w:pPr>
        <w:spacing w:after="80" w:line="240" w:lineRule="auto"/>
        <w:ind w:left="720" w:right="425"/>
        <w:jc w:val="both"/>
        <w:rPr>
          <w:rFonts w:ascii="Palatino Linotype" w:eastAsia="Palatino Linotype" w:hAnsi="Palatino Linotype" w:cs="Palatino Linotype"/>
          <w:i/>
        </w:rPr>
      </w:pPr>
    </w:p>
    <w:p w:rsidR="00323F24" w:rsidRDefault="00312C38">
      <w:pPr>
        <w:spacing w:after="80" w:line="240" w:lineRule="auto"/>
        <w:ind w:left="720" w:right="425"/>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Conforme a lo anterior, resulta necesario señalar que el Pleno de este Instituto emitió el criterio 03/2019 cuyo rubro dispone lo siguiente: “Servidores públicos con categoría de mando medio y superior. La </w:t>
      </w:r>
      <w:r>
        <w:rPr>
          <w:rFonts w:ascii="Palatino Linotype" w:eastAsia="Palatino Linotype" w:hAnsi="Palatino Linotype" w:cs="Palatino Linotype"/>
          <w:i/>
        </w:rPr>
        <w:t>fotografía de aquellos es de carácter público”; no obstante, dicho criterio fue interrumpido en términos del artículo 9, fracción XXVII del Reglamento Interior del Instituto de Transparencia, Acceso a la Información Pública y Protección de Datos Personales</w:t>
      </w:r>
      <w:r>
        <w:rPr>
          <w:rFonts w:ascii="Palatino Linotype" w:eastAsia="Palatino Linotype" w:hAnsi="Palatino Linotype" w:cs="Palatino Linotype"/>
          <w:i/>
        </w:rPr>
        <w:t xml:space="preserve"> del Estado de México y Municipios.</w:t>
      </w:r>
    </w:p>
    <w:p w:rsidR="00323F24" w:rsidRDefault="00323F24">
      <w:pPr>
        <w:spacing w:after="80" w:line="240" w:lineRule="auto"/>
        <w:ind w:left="720" w:right="425"/>
        <w:jc w:val="both"/>
        <w:rPr>
          <w:rFonts w:ascii="Palatino Linotype" w:eastAsia="Palatino Linotype" w:hAnsi="Palatino Linotype" w:cs="Palatino Linotype"/>
          <w:i/>
        </w:rPr>
      </w:pPr>
    </w:p>
    <w:p w:rsidR="00323F24" w:rsidRDefault="00312C38">
      <w:pPr>
        <w:spacing w:after="80" w:line="240" w:lineRule="auto"/>
        <w:ind w:left="720" w:right="425"/>
        <w:jc w:val="both"/>
        <w:rPr>
          <w:rFonts w:ascii="Palatino Linotype" w:eastAsia="Palatino Linotype" w:hAnsi="Palatino Linotype" w:cs="Palatino Linotype"/>
          <w:i/>
        </w:rPr>
      </w:pPr>
      <w:r>
        <w:rPr>
          <w:rFonts w:ascii="Palatino Linotype" w:eastAsia="Palatino Linotype" w:hAnsi="Palatino Linotype" w:cs="Palatino Linotype"/>
          <w:i/>
        </w:rPr>
        <w:t xml:space="preserve">Debido a lo anterior, las fotografías de servidores públicos sin importar el nivel o rango guardan la naturaleza de públicas (con excepción del personal operativo en materia de seguridad) y no procede su clasificación, </w:t>
      </w:r>
      <w:r>
        <w:rPr>
          <w:rFonts w:ascii="Palatino Linotype" w:eastAsia="Palatino Linotype" w:hAnsi="Palatino Linotype" w:cs="Palatino Linotype"/>
          <w:i/>
        </w:rPr>
        <w:t>en términos del artículo 143, fracción I, de la Ley de Transparencia y Acceso a la Información Pública del Estado de México y Municipios. Por tanto, el Sujeto Obligado deberá remitir los diplomas de especialización cartas de pasante, títulos y cédulas prof</w:t>
      </w:r>
      <w:r>
        <w:rPr>
          <w:rFonts w:ascii="Palatino Linotype" w:eastAsia="Palatino Linotype" w:hAnsi="Palatino Linotype" w:cs="Palatino Linotype"/>
          <w:i/>
        </w:rPr>
        <w:t>esionales con la fotografía visible, es decir en una correcta versión pública…” (Sic)</w:t>
      </w:r>
    </w:p>
    <w:p w:rsidR="00323F24" w:rsidRDefault="00323F24">
      <w:pPr>
        <w:spacing w:before="80" w:after="240" w:line="360" w:lineRule="auto"/>
        <w:jc w:val="both"/>
        <w:rPr>
          <w:rFonts w:ascii="Palatino Linotype" w:eastAsia="Palatino Linotype" w:hAnsi="Palatino Linotype" w:cs="Palatino Linotype"/>
        </w:rPr>
      </w:pPr>
      <w:bookmarkStart w:id="4" w:name="_heading=h.b4iiy4ij0zq" w:colFirst="0" w:colLast="0"/>
      <w:bookmarkEnd w:id="4"/>
    </w:p>
    <w:p w:rsidR="00323F24" w:rsidRPr="008353CB" w:rsidRDefault="00312C38">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los servidores públicos. Sin embargo, a consideración de la suscrita la</w:t>
      </w:r>
      <w:r>
        <w:rPr>
          <w:rFonts w:ascii="Palatino Linotype" w:eastAsia="Palatino Linotype" w:hAnsi="Palatino Linotype" w:cs="Palatino Linotype"/>
        </w:rPr>
        <w:t xml:space="preserve"> fotografía constituye la reproducción fiel de las características físicas de una persona en un momento determinado, además, de que representa un instrumento de identificación, proyección exterior y factor imprescindible para su propio reconocimiento como </w:t>
      </w:r>
      <w:r>
        <w:rPr>
          <w:rFonts w:ascii="Palatino Linotype" w:eastAsia="Palatino Linotype" w:hAnsi="Palatino Linotype" w:cs="Palatino Linotype"/>
        </w:rPr>
        <w:t xml:space="preserve">sujeto individual; por tanto, es considerada por regla </w:t>
      </w:r>
      <w:r w:rsidRPr="008353CB">
        <w:rPr>
          <w:rFonts w:ascii="Palatino Linotype" w:eastAsia="Palatino Linotype" w:hAnsi="Palatino Linotype" w:cs="Palatino Linotype"/>
        </w:rPr>
        <w:t>general, como un dato personal confidencial susceptible de protegerse en los documentos que lo contengan, en términos de los artículos 3, fracción IX, 143, fracción I de la Ley de Transparencia y Acces</w:t>
      </w:r>
      <w:r w:rsidRPr="008353CB">
        <w:rPr>
          <w:rFonts w:ascii="Palatino Linotype" w:eastAsia="Palatino Linotype" w:hAnsi="Palatino Linotype" w:cs="Palatino Linotype"/>
        </w:rPr>
        <w:t>o a la Información Pública del Estado de México y Municipios, en relación con el 4, fracción XI de La Ley de Protección de Datos Personales en Posesión de Sujetos Obligados del Estado de México y Municipios.</w:t>
      </w:r>
    </w:p>
    <w:p w:rsidR="00323F24" w:rsidRPr="008353CB" w:rsidRDefault="00312C38">
      <w:pPr>
        <w:spacing w:before="240" w:after="0" w:line="360" w:lineRule="auto"/>
        <w:jc w:val="both"/>
        <w:rPr>
          <w:rFonts w:ascii="Palatino Linotype" w:eastAsia="Palatino Linotype" w:hAnsi="Palatino Linotype" w:cs="Palatino Linotype"/>
        </w:rPr>
      </w:pPr>
      <w:r w:rsidRPr="008353CB">
        <w:rPr>
          <w:rFonts w:ascii="Palatino Linotype" w:eastAsia="Palatino Linotype" w:hAnsi="Palatino Linotype" w:cs="Palatino Linotype"/>
        </w:rPr>
        <w:t xml:space="preserve">Ahora bien, en materia de servidores públicos existen funciones que por su naturaleza pueden ser de un mayor interés público, es decir, aquellas que tienen un impacto directo en </w:t>
      </w:r>
      <w:r w:rsidRPr="008353CB">
        <w:rPr>
          <w:rFonts w:ascii="Palatino Linotype" w:eastAsia="Palatino Linotype" w:hAnsi="Palatino Linotype" w:cs="Palatino Linotype"/>
        </w:rPr>
        <w:lastRenderedPageBreak/>
        <w:t>la vida de las personas y en el funcionamiento de la sociedad o de las institu</w:t>
      </w:r>
      <w:r w:rsidRPr="008353CB">
        <w:rPr>
          <w:rFonts w:ascii="Palatino Linotype" w:eastAsia="Palatino Linotype" w:hAnsi="Palatino Linotype" w:cs="Palatino Linotype"/>
        </w:rPr>
        <w:t>ciones públicas, ejemplo de ello pueden ser los servidores públicos cuya función implica una posición de poder que deba estar sujeta a escrutinio y rendición de cuentas ante la sociedad; otros ejemplos son los servidores públicos responsables de la adminis</w:t>
      </w:r>
      <w:r w:rsidRPr="008353CB">
        <w:rPr>
          <w:rFonts w:ascii="Palatino Linotype" w:eastAsia="Palatino Linotype" w:hAnsi="Palatino Linotype" w:cs="Palatino Linotype"/>
        </w:rPr>
        <w:t>tración de recursos públicos, la implementación de políticas públicas, la prestación de servicios públicos, entre otros.</w:t>
      </w:r>
    </w:p>
    <w:p w:rsidR="00323F24" w:rsidRPr="008353CB" w:rsidRDefault="00312C38">
      <w:pPr>
        <w:spacing w:after="0" w:line="360" w:lineRule="auto"/>
        <w:ind w:right="140"/>
        <w:jc w:val="both"/>
        <w:rPr>
          <w:rFonts w:ascii="Palatino Linotype" w:eastAsia="Palatino Linotype" w:hAnsi="Palatino Linotype" w:cs="Palatino Linotype"/>
        </w:rPr>
      </w:pPr>
      <w:r w:rsidRPr="008353CB">
        <w:rPr>
          <w:rFonts w:ascii="Palatino Linotype" w:eastAsia="Palatino Linotype" w:hAnsi="Palatino Linotype" w:cs="Palatino Linotype"/>
        </w:rPr>
        <w:t>Por lo que, dado el interés público que reviste a las funciones de las y los funcionarios que dan atención al público, así como aquell</w:t>
      </w:r>
      <w:r w:rsidRPr="008353CB">
        <w:rPr>
          <w:rFonts w:ascii="Palatino Linotype" w:eastAsia="Palatino Linotype" w:hAnsi="Palatino Linotype" w:cs="Palatino Linotype"/>
        </w:rPr>
        <w:t>os que cuenten con la calidad de mando medio y/o superior, las suscritas consideramos que se debe dejar visible su fotografía pues, hacer pública la imagen de éstos, puede contribuir a la transparencia y la rendición de cuentas, ya que permite a la ciudada</w:t>
      </w:r>
      <w:r w:rsidRPr="008353CB">
        <w:rPr>
          <w:rFonts w:ascii="Palatino Linotype" w:eastAsia="Palatino Linotype" w:hAnsi="Palatino Linotype" w:cs="Palatino Linotype"/>
        </w:rPr>
        <w:t>nía identificar a los funcionarios que toman decisiones importantes en su nombre.</w:t>
      </w:r>
    </w:p>
    <w:p w:rsidR="00323F24" w:rsidRPr="008353CB" w:rsidRDefault="00312C38">
      <w:pPr>
        <w:tabs>
          <w:tab w:val="left" w:pos="4962"/>
        </w:tabs>
        <w:spacing w:before="240" w:after="0" w:line="360" w:lineRule="auto"/>
        <w:jc w:val="both"/>
        <w:rPr>
          <w:rFonts w:ascii="Palatino Linotype" w:eastAsia="Palatino Linotype" w:hAnsi="Palatino Linotype" w:cs="Palatino Linotype"/>
        </w:rPr>
      </w:pPr>
      <w:r w:rsidRPr="008353CB">
        <w:rPr>
          <w:rFonts w:ascii="Palatino Linotype" w:eastAsia="Palatino Linotype" w:hAnsi="Palatino Linotype" w:cs="Palatino Linotype"/>
        </w:rPr>
        <w:t xml:space="preserve">Sin embargo, en la resolución se estipuló que </w:t>
      </w:r>
      <w:r w:rsidRPr="008353CB">
        <w:rPr>
          <w:rFonts w:ascii="Palatino Linotype" w:eastAsia="Palatino Linotype" w:hAnsi="Palatino Linotype" w:cs="Palatino Linotype"/>
          <w:b/>
          <w:u w:val="single"/>
        </w:rPr>
        <w:t>las fotografías de servidores públicos, sin importar el nivel o rango, guardan la naturaleza de públicas</w:t>
      </w:r>
      <w:r w:rsidRPr="008353CB">
        <w:rPr>
          <w:rFonts w:ascii="Palatino Linotype" w:eastAsia="Palatino Linotype" w:hAnsi="Palatino Linotype" w:cs="Palatino Linotype"/>
        </w:rPr>
        <w:t>, -con excepción del per</w:t>
      </w:r>
      <w:r w:rsidRPr="008353CB">
        <w:rPr>
          <w:rFonts w:ascii="Palatino Linotype" w:eastAsia="Palatino Linotype" w:hAnsi="Palatino Linotype" w:cs="Palatino Linotype"/>
        </w:rPr>
        <w:t xml:space="preserve">sonal operativo en materia de seguridad-, </w:t>
      </w:r>
      <w:r w:rsidRPr="008353CB">
        <w:rPr>
          <w:rFonts w:ascii="Palatino Linotype" w:eastAsia="Palatino Linotype" w:hAnsi="Palatino Linotype" w:cs="Palatino Linotype"/>
          <w:b/>
          <w:u w:val="single"/>
        </w:rPr>
        <w:t>por lo tanto, que no procede su clasificación</w:t>
      </w:r>
      <w:r w:rsidRPr="008353CB">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comparto dicho</w:t>
      </w:r>
      <w:r w:rsidRPr="008353CB">
        <w:rPr>
          <w:rFonts w:ascii="Palatino Linotype" w:eastAsia="Palatino Linotype" w:hAnsi="Palatino Linotype" w:cs="Palatino Linotype"/>
        </w:rPr>
        <w:t xml:space="preserve"> argumento, ya que desde mi punto de vista, la fotografía de aquellos servidores públicos que no ostentan un cargo de mando medio o superior, o no brindan atención al público, debe conservarse como información confidencial, pues se considera  importante eq</w:t>
      </w:r>
      <w:r w:rsidRPr="008353CB">
        <w:rPr>
          <w:rFonts w:ascii="Palatino Linotype" w:eastAsia="Palatino Linotype" w:hAnsi="Palatino Linotype" w:cs="Palatino Linotype"/>
        </w:rPr>
        <w:t>uilibrar el interés público con el derecho a la privacidad de las y los servidores públicos y ponderar si realmente es necesario y proporcional hacer pública su imagen, ya que como se ha expresado con anterioridad, en algunos casos, el interés público de h</w:t>
      </w:r>
      <w:r w:rsidRPr="008353CB">
        <w:rPr>
          <w:rFonts w:ascii="Palatino Linotype" w:eastAsia="Palatino Linotype" w:hAnsi="Palatino Linotype" w:cs="Palatino Linotype"/>
        </w:rPr>
        <w:t>acer pública la imagen de un servidor público puede justificar la limitación de su derecho a la privacidad, pero esto debe evaluarse cuidadosamente en cada caso y no ser la regla general.</w:t>
      </w:r>
    </w:p>
    <w:p w:rsidR="00323F24" w:rsidRPr="008353CB" w:rsidRDefault="00312C38">
      <w:pPr>
        <w:tabs>
          <w:tab w:val="left" w:pos="4962"/>
        </w:tabs>
        <w:spacing w:before="240" w:after="240" w:line="360" w:lineRule="auto"/>
        <w:jc w:val="both"/>
        <w:rPr>
          <w:rFonts w:ascii="Palatino Linotype" w:eastAsia="Palatino Linotype" w:hAnsi="Palatino Linotype" w:cs="Palatino Linotype"/>
        </w:rPr>
      </w:pPr>
      <w:r w:rsidRPr="008353CB">
        <w:rPr>
          <w:rFonts w:ascii="Palatino Linotype" w:eastAsia="Palatino Linotype" w:hAnsi="Palatino Linotype" w:cs="Palatino Linotype"/>
        </w:rPr>
        <w:lastRenderedPageBreak/>
        <w:t>Correlativo a lo anterior, estimo que el acceso a los documentos que</w:t>
      </w:r>
      <w:r w:rsidRPr="008353CB">
        <w:rPr>
          <w:rFonts w:ascii="Palatino Linotype" w:eastAsia="Palatino Linotype" w:hAnsi="Palatino Linotype" w:cs="Palatino Linotype"/>
        </w:rPr>
        <w:t xml:space="preserve"> contengan el dato materia de análisis, aún clasificado, daría cuenta de lo que en realidad se pretende transparentar, como lo es, por ejemplo, la preparación académica que se refleja en la toma de decisiones para el óptimo desempeño de las funciones para </w:t>
      </w:r>
      <w:r w:rsidRPr="008353CB">
        <w:rPr>
          <w:rFonts w:ascii="Palatino Linotype" w:eastAsia="Palatino Linotype" w:hAnsi="Palatino Linotype" w:cs="Palatino Linotype"/>
        </w:rPr>
        <w:t>las cuales fueron designados, la idoneidad para ocupar un cargo, entre otros aspectos, pues el hecho de clasificar la fotografía no le resta validez a los documentos para los fines señalados.</w:t>
      </w:r>
    </w:p>
    <w:p w:rsidR="00323F24" w:rsidRPr="008353CB" w:rsidRDefault="00312C38">
      <w:pPr>
        <w:tabs>
          <w:tab w:val="left" w:pos="4962"/>
        </w:tabs>
        <w:spacing w:before="240" w:after="240" w:line="360" w:lineRule="auto"/>
        <w:jc w:val="both"/>
        <w:rPr>
          <w:rFonts w:ascii="Palatino Linotype" w:eastAsia="Palatino Linotype" w:hAnsi="Palatino Linotype" w:cs="Palatino Linotype"/>
        </w:rPr>
      </w:pPr>
      <w:r w:rsidRPr="008353CB">
        <w:rPr>
          <w:rFonts w:ascii="Palatino Linotype" w:eastAsia="Palatino Linotype" w:hAnsi="Palatino Linotype" w:cs="Palatino Linotype"/>
        </w:rPr>
        <w:t>Asimismo, es importante señalar que los objetivos de la transpar</w:t>
      </w:r>
      <w:r w:rsidRPr="008353CB">
        <w:rPr>
          <w:rFonts w:ascii="Palatino Linotype" w:eastAsia="Palatino Linotype" w:hAnsi="Palatino Linotype" w:cs="Palatino Linotype"/>
        </w:rPr>
        <w:t>encia se alcanzan al momento de permitir el acceso a los documentos, no siendo indispensable o determinante dar a conocer la fotografía para dar cuenta de la idoneidad de las personas servidoras públicas para ocupar sus puestos o para acreditar que cumplie</w:t>
      </w:r>
      <w:r w:rsidRPr="008353CB">
        <w:rPr>
          <w:rFonts w:ascii="Palatino Linotype" w:eastAsia="Palatino Linotype" w:hAnsi="Palatino Linotype" w:cs="Palatino Linotype"/>
        </w:rPr>
        <w:t>ron con determinados requisitos, lo que da cuenta de ello es el propio documento.</w:t>
      </w:r>
    </w:p>
    <w:p w:rsidR="00323F24" w:rsidRPr="008353CB" w:rsidRDefault="00312C38">
      <w:pPr>
        <w:tabs>
          <w:tab w:val="left" w:pos="4962"/>
        </w:tabs>
        <w:spacing w:before="240" w:after="240" w:line="360" w:lineRule="auto"/>
        <w:jc w:val="both"/>
        <w:rPr>
          <w:rFonts w:ascii="Palatino Linotype" w:eastAsia="Palatino Linotype" w:hAnsi="Palatino Linotype" w:cs="Palatino Linotype"/>
        </w:rPr>
      </w:pPr>
      <w:r w:rsidRPr="008353CB">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8353CB">
        <w:rPr>
          <w:rFonts w:ascii="Palatino Linotype" w:eastAsia="Palatino Linotype" w:hAnsi="Palatino Linotype" w:cs="Palatino Linotype"/>
          <w:b/>
        </w:rPr>
        <w:t xml:space="preserve">Voto Particular pues considero que </w:t>
      </w:r>
      <w:r w:rsidRPr="008353CB">
        <w:rPr>
          <w:rFonts w:ascii="Palatino Linotype" w:eastAsia="Palatino Linotype" w:hAnsi="Palatino Linotype" w:cs="Palatino Linotype"/>
          <w:b/>
          <w:u w:val="single"/>
        </w:rPr>
        <w:t xml:space="preserve">no se </w:t>
      </w:r>
      <w:r w:rsidRPr="008353CB">
        <w:rPr>
          <w:rFonts w:ascii="Palatino Linotype" w:eastAsia="Palatino Linotype" w:hAnsi="Palatino Linotype" w:cs="Palatino Linotype"/>
          <w:b/>
          <w:u w:val="single"/>
        </w:rPr>
        <w:t>debe dejar visible la fotografía de las y los servidores públicos que NO cuenten con la calidad de mando medio y/o superior,</w:t>
      </w:r>
      <w:r w:rsidRPr="008353CB">
        <w:rPr>
          <w:rFonts w:ascii="Palatino Linotype" w:eastAsia="Palatino Linotype" w:hAnsi="Palatino Linotype" w:cs="Palatino Linotype"/>
        </w:rPr>
        <w:t xml:space="preserve"> </w:t>
      </w:r>
      <w:r w:rsidRPr="008353CB">
        <w:rPr>
          <w:rFonts w:ascii="Palatino Linotype" w:eastAsia="Palatino Linotype" w:hAnsi="Palatino Linotype" w:cs="Palatino Linotype"/>
          <w:b/>
          <w:u w:val="single"/>
        </w:rPr>
        <w:t>o no tengan atención al público</w:t>
      </w:r>
      <w:r w:rsidRPr="008353CB">
        <w:rPr>
          <w:rFonts w:ascii="Palatino Linotype" w:eastAsia="Palatino Linotype" w:hAnsi="Palatino Linotype" w:cs="Palatino Linotype"/>
        </w:rPr>
        <w:t>,  pues se estima que se actualiza la causal de clasificación establecida en el artículo 143, fracci</w:t>
      </w:r>
      <w:r w:rsidRPr="008353CB">
        <w:rPr>
          <w:rFonts w:ascii="Palatino Linotype" w:eastAsia="Palatino Linotype" w:hAnsi="Palatino Linotype" w:cs="Palatino Linotype"/>
        </w:rPr>
        <w:t>ón I, de la Ley de la Ley de Transparencia y Acceso a la Información Pública del Estado de México y Municipios.</w:t>
      </w:r>
    </w:p>
    <w:p w:rsidR="00323F24" w:rsidRDefault="00312C38">
      <w:pPr>
        <w:tabs>
          <w:tab w:val="left" w:pos="4962"/>
        </w:tabs>
        <w:spacing w:after="0" w:line="360" w:lineRule="auto"/>
        <w:ind w:right="-3"/>
        <w:jc w:val="both"/>
        <w:rPr>
          <w:rFonts w:ascii="Palatino Linotype" w:eastAsia="Palatino Linotype" w:hAnsi="Palatino Linotype" w:cs="Palatino Linotype"/>
        </w:rPr>
        <w:sectPr w:rsidR="00323F24">
          <w:headerReference w:type="even" r:id="rId9"/>
          <w:headerReference w:type="default" r:id="rId10"/>
          <w:footerReference w:type="default" r:id="rId11"/>
          <w:pgSz w:w="12240" w:h="15840"/>
          <w:pgMar w:top="1871" w:right="1327" w:bottom="2836" w:left="1985" w:header="709" w:footer="586" w:gutter="0"/>
          <w:pgNumType w:start="1"/>
          <w:cols w:space="720"/>
        </w:sectPr>
      </w:pPr>
      <w:bookmarkStart w:id="5" w:name="_heading=h.3znysh7" w:colFirst="0" w:colLast="0"/>
      <w:bookmarkEnd w:id="5"/>
      <w:r w:rsidRPr="008353CB">
        <w:rPr>
          <w:rFonts w:ascii="Palatino Linotype" w:eastAsia="Palatino Linotype" w:hAnsi="Palatino Linotype" w:cs="Palatino Linotype"/>
        </w:rPr>
        <w:t>Por las razones antes expuestas, se emite el presente Voto Particular</w:t>
      </w:r>
      <w:r>
        <w:rPr>
          <w:rFonts w:ascii="Palatino Linotype" w:eastAsia="Palatino Linotype" w:hAnsi="Palatino Linotype" w:cs="Palatino Linotype"/>
        </w:rPr>
        <w:t>.</w: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304800</wp:posOffset>
                </wp:positionV>
                <wp:extent cx="5517738" cy="1889826"/>
                <wp:effectExtent l="0" t="0" r="0" b="0"/>
                <wp:wrapNone/>
                <wp:docPr id="11" name="Conector recto de flecha 11"/>
                <wp:cNvGraphicFramePr/>
                <a:graphic xmlns:a="http://schemas.openxmlformats.org/drawingml/2006/main">
                  <a:graphicData uri="http://schemas.microsoft.com/office/word/2010/wordprocessingShape">
                    <wps:wsp>
                      <wps:cNvCnPr/>
                      <wps:spPr>
                        <a:xfrm>
                          <a:off x="2599831" y="2847787"/>
                          <a:ext cx="5492338" cy="1864426"/>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304800</wp:posOffset>
                </wp:positionV>
                <wp:extent cx="5517738" cy="1889826"/>
                <wp:effectExtent b="0" l="0" r="0" t="0"/>
                <wp:wrapNone/>
                <wp:docPr id="1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517738" cy="1889826"/>
                        </a:xfrm>
                        <a:prstGeom prst="rect"/>
                        <a:ln/>
                      </pic:spPr>
                    </pic:pic>
                  </a:graphicData>
                </a:graphic>
              </wp:anchor>
            </w:drawing>
          </mc:Fallback>
        </mc:AlternateContent>
      </w:r>
    </w:p>
    <w:p w:rsidR="00323F24" w:rsidRDefault="00323F24">
      <w:pPr>
        <w:spacing w:before="240" w:after="240" w:line="360" w:lineRule="auto"/>
        <w:ind w:right="423"/>
        <w:jc w:val="both"/>
        <w:rPr>
          <w:rFonts w:ascii="Palatino Linotype" w:eastAsia="Palatino Linotype" w:hAnsi="Palatino Linotype" w:cs="Palatino Linotype"/>
        </w:rPr>
      </w:pPr>
    </w:p>
    <w:sectPr w:rsidR="00323F24">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38" w:rsidRDefault="00312C38">
      <w:pPr>
        <w:spacing w:after="0" w:line="240" w:lineRule="auto"/>
      </w:pPr>
      <w:r>
        <w:separator/>
      </w:r>
    </w:p>
  </w:endnote>
  <w:endnote w:type="continuationSeparator" w:id="0">
    <w:p w:rsidR="00312C38" w:rsidRDefault="0031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24" w:rsidRDefault="00312C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A91BAC">
      <w:rPr>
        <w:rFonts w:ascii="Arial" w:eastAsia="Arial" w:hAnsi="Arial" w:cs="Arial"/>
        <w:b/>
        <w:color w:val="000000"/>
        <w:sz w:val="20"/>
        <w:szCs w:val="20"/>
      </w:rPr>
      <w:fldChar w:fldCharType="separate"/>
    </w:r>
    <w:r w:rsidR="001503A7">
      <w:rPr>
        <w:rFonts w:ascii="Arial" w:eastAsia="Arial" w:hAnsi="Arial" w:cs="Arial"/>
        <w:b/>
        <w:noProof/>
        <w:color w:val="000000"/>
        <w:sz w:val="20"/>
        <w:szCs w:val="20"/>
      </w:rPr>
      <w:t>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A91BAC">
      <w:rPr>
        <w:rFonts w:ascii="Arial" w:eastAsia="Arial" w:hAnsi="Arial" w:cs="Arial"/>
        <w:b/>
        <w:color w:val="000000"/>
        <w:sz w:val="20"/>
        <w:szCs w:val="20"/>
      </w:rPr>
      <w:fldChar w:fldCharType="separate"/>
    </w:r>
    <w:r w:rsidR="001503A7">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323F24" w:rsidRDefault="00323F2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38" w:rsidRDefault="00312C38">
      <w:pPr>
        <w:spacing w:after="0" w:line="240" w:lineRule="auto"/>
      </w:pPr>
      <w:r>
        <w:separator/>
      </w:r>
    </w:p>
  </w:footnote>
  <w:footnote w:type="continuationSeparator" w:id="0">
    <w:p w:rsidR="00312C38" w:rsidRDefault="00312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24" w:rsidRDefault="00312C3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12" name="Rectángulo 12"/>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323F24" w:rsidRDefault="00312C38">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2643183" cy="42643183"/>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643183" cy="4264318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24" w:rsidRDefault="00312C3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-695321</wp:posOffset>
          </wp:positionH>
          <wp:positionV relativeFrom="paragraph">
            <wp:posOffset>-433064</wp:posOffset>
          </wp:positionV>
          <wp:extent cx="7510628" cy="988377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323F24" w:rsidRDefault="00323F2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23F24" w:rsidRDefault="00323F2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23F24" w:rsidRDefault="00312C3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323F24" w:rsidRDefault="00312C3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   RECURSOS DE REVISIÓN 04615/INFOEM/IP/RR/202</w:t>
    </w:r>
    <w:r>
      <w:rPr>
        <w:rFonts w:ascii="Palatino Linotype" w:eastAsia="Palatino Linotype" w:hAnsi="Palatino Linotype" w:cs="Palatino Linotype"/>
        <w:b/>
        <w:sz w:val="20"/>
        <w:szCs w:val="20"/>
      </w:rPr>
      <w:t>3</w:t>
    </w:r>
  </w:p>
  <w:p w:rsidR="00323F24" w:rsidRDefault="00323F2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24" w:rsidRDefault="00323F2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23F24" w:rsidRDefault="00323F2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23F24" w:rsidRDefault="00323F2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23F24" w:rsidRDefault="00323F2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13667"/>
    <w:multiLevelType w:val="multilevel"/>
    <w:tmpl w:val="A8A66EEC"/>
    <w:lvl w:ilvl="0">
      <w:start w:val="1"/>
      <w:numFmt w:val="decimal"/>
      <w:lvlText w:val="%1."/>
      <w:lvlJc w:val="left"/>
      <w:pPr>
        <w:ind w:left="709" w:hanging="424"/>
      </w:pPr>
      <w:rPr>
        <w:i/>
      </w:rPr>
    </w:lvl>
    <w:lvl w:ilvl="1">
      <w:start w:val="1"/>
      <w:numFmt w:val="decimal"/>
      <w:lvlText w:val="%1.%2."/>
      <w:lvlJc w:val="left"/>
      <w:pPr>
        <w:ind w:left="1276" w:hanging="567"/>
      </w:pPr>
      <w:rPr>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E4158E"/>
    <w:multiLevelType w:val="multilevel"/>
    <w:tmpl w:val="51AEF3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D3138B"/>
    <w:multiLevelType w:val="multilevel"/>
    <w:tmpl w:val="04BE3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4"/>
    <w:rsid w:val="001503A7"/>
    <w:rsid w:val="00312C38"/>
    <w:rsid w:val="00323F24"/>
    <w:rsid w:val="008353CB"/>
    <w:rsid w:val="00A91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2DFC6-C8F3-4528-AEA0-91A5909A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86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0AB"/>
  </w:style>
  <w:style w:type="paragraph" w:styleId="Encabezado">
    <w:name w:val="header"/>
    <w:basedOn w:val="Normal"/>
    <w:link w:val="EncabezadoCar"/>
    <w:uiPriority w:val="99"/>
    <w:unhideWhenUsed/>
    <w:rsid w:val="0086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0A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20A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20AB"/>
    <w:rPr>
      <w:rFonts w:ascii="Times New Roman" w:eastAsia="Times New Roman" w:hAnsi="Times New Roman" w:cs="Times New Roman"/>
      <w:sz w:val="24"/>
      <w:szCs w:val="24"/>
      <w:lang w:val="es-MX" w:eastAsia="es-ES"/>
    </w:rPr>
  </w:style>
  <w:style w:type="paragraph" w:customStyle="1" w:styleId="Fundamentos">
    <w:name w:val="Fundamentos"/>
    <w:basedOn w:val="Normal"/>
    <w:qFormat/>
    <w:rsid w:val="00C262C1"/>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257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niversidad250-my.sharepoint.com/personal/transparencia_unevt_edu_mx/_layouts/15/onedrive.aspx?id=%2Fpersonal%2Ftransparencia%5Funevt%5Fedu%5Fmx%2FDocuments%2FIPOMEX%2F2021%2FDepartamento%20de%20Administraci%C3%B3n%20de%20Personal%2F92%2FXX1%2FFICHA%20CURRICULAR%20RECTOR%20%281%29%2Epdf&amp;parent=%2Fpersonal%2Ftransparencia%5Funevt%5Fedu%5Fmx%2FDocument$%2FIPOMEX%2F2021%2FDepartamento%20de%20Administraci%C3%B3n%20de%20Personal%2F92%2FXXI&amp;ga=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HIoVbdFIlRbfRrxErfBm/oGRA==">CgMxLjAyDmguNHMycWFwZmo2cWozMghoLmdqZGd4czIJaC4zMGowemxsMg1oLmI0aWl5NGlqMHpxMgloLjN6bnlzaDc4AHIhMS1uRENEV0l4OWxYS3FTTVZxdjd4ODVDRjBWRVdjMERS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4</cp:revision>
  <cp:lastPrinted>2024-03-19T18:56:00Z</cp:lastPrinted>
  <dcterms:created xsi:type="dcterms:W3CDTF">2024-03-14T20:37:00Z</dcterms:created>
  <dcterms:modified xsi:type="dcterms:W3CDTF">2024-03-19T18:56:00Z</dcterms:modified>
</cp:coreProperties>
</file>